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lang w:eastAsia="zh-CN"/>
        </w:rPr>
      </w:pP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全国重点文物保护单位</w:t>
      </w:r>
    </w:p>
    <w:p>
      <w:pPr>
        <w:pStyle w:val="183"/>
        <w:keepNext w:val="0"/>
        <w:keepLines w:val="0"/>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《大鹏所城文物保护规划》</w:t>
      </w:r>
      <w:r>
        <w:rPr>
          <w:rFonts w:hint="eastAsia" w:ascii="方正小标宋简体" w:hAnsi="方正小标宋简体" w:eastAsia="方正小标宋简体" w:cs="方正小标宋简体"/>
          <w:color w:val="000000"/>
          <w:spacing w:val="0"/>
          <w:w w:val="100"/>
          <w:position w:val="0"/>
          <w:sz w:val="44"/>
          <w:szCs w:val="44"/>
          <w:lang w:val="en-US" w:eastAsia="en-US" w:bidi="en-US"/>
        </w:rPr>
        <w:t>(2021—2035)</w:t>
      </w:r>
    </w:p>
    <w:p>
      <w:pPr>
        <w:spacing w:line="276" w:lineRule="auto"/>
        <w:ind w:left="480"/>
        <w:jc w:val="center"/>
        <w:rPr>
          <w:rFonts w:hint="eastAsia" w:ascii="黑体" w:hAnsi="黑体" w:eastAsia="黑体"/>
          <w:color w:val="000000" w:themeColor="text1"/>
          <w:sz w:val="32"/>
          <w14:textFill>
            <w14:solidFill>
              <w14:schemeClr w14:val="tx1"/>
            </w14:solidFill>
          </w14:textFill>
        </w:rPr>
      </w:pPr>
    </w:p>
    <w:p>
      <w:pPr>
        <w:spacing w:line="276" w:lineRule="auto"/>
        <w:ind w:left="480"/>
        <w:jc w:val="center"/>
        <w:rPr>
          <w:rFonts w:hint="eastAsia" w:ascii="黑体" w:hAnsi="黑体" w:eastAsia="黑体"/>
          <w:color w:val="000000" w:themeColor="text1"/>
          <w:sz w:val="32"/>
          <w14:textFill>
            <w14:solidFill>
              <w14:schemeClr w14:val="tx1"/>
            </w14:solidFill>
          </w14:textFill>
        </w:rPr>
      </w:pPr>
    </w:p>
    <w:p>
      <w:pPr>
        <w:spacing w:line="276" w:lineRule="auto"/>
        <w:ind w:left="480"/>
        <w:jc w:val="center"/>
        <w:rPr>
          <w:rFonts w:hint="eastAsia" w:ascii="黑体" w:hAnsi="黑体" w:eastAsia="黑体"/>
          <w:color w:val="000000" w:themeColor="text1"/>
          <w:sz w:val="32"/>
          <w:lang w:eastAsia="zh-CN"/>
          <w14:textFill>
            <w14:solidFill>
              <w14:schemeClr w14:val="tx1"/>
            </w14:solidFill>
          </w14:textFill>
        </w:rPr>
        <w:sectPr>
          <w:headerReference r:id="rId5" w:type="default"/>
          <w:footerReference r:id="rId6" w:type="default"/>
          <w:footerReference r:id="rId7" w:type="even"/>
          <w:type w:val="oddPage"/>
          <w:pgSz w:w="23814" w:h="16839" w:orient="landscape"/>
          <w:pgMar w:top="720" w:right="720" w:bottom="720" w:left="720" w:header="851" w:footer="992" w:gutter="0"/>
          <w:pgNumType w:fmt="upperRoman"/>
          <w:cols w:space="840" w:num="1"/>
          <w:docGrid w:type="lines" w:linePitch="381" w:charSpace="0"/>
        </w:sectPr>
      </w:pPr>
      <w:r>
        <w:rPr>
          <w:rFonts w:hint="eastAsia" w:ascii="黑体" w:hAnsi="黑体" w:eastAsia="黑体"/>
          <w:color w:val="000000" w:themeColor="text1"/>
          <w:sz w:val="32"/>
          <w:lang w:eastAsia="zh-CN"/>
          <w14:textFill>
            <w14:solidFill>
              <w14:schemeClr w14:val="tx1"/>
            </w14:solidFill>
          </w14:textFill>
        </w:rPr>
        <w:t>规划文本</w:t>
      </w:r>
    </w:p>
    <w:p>
      <w:pPr>
        <w:spacing w:line="276" w:lineRule="auto"/>
        <w:ind w:left="480"/>
        <w:jc w:val="center"/>
        <w:rPr>
          <w:rFonts w:ascii="黑体" w:hAnsi="黑体" w:eastAsia="黑体"/>
          <w:color w:val="000000" w:themeColor="text1"/>
          <w:sz w:val="32"/>
          <w14:textFill>
            <w14:solidFill>
              <w14:schemeClr w14:val="tx1"/>
            </w14:solidFill>
          </w14:textFill>
        </w:rPr>
        <w:sectPr>
          <w:pgSz w:w="23814" w:h="16839" w:orient="landscape"/>
          <w:pgMar w:top="720" w:right="720" w:bottom="720" w:left="720" w:header="851" w:footer="992" w:gutter="0"/>
          <w:pgNumType w:fmt="upperRoman"/>
          <w:cols w:space="840" w:num="1"/>
          <w:docGrid w:type="lines" w:linePitch="381" w:charSpace="0"/>
        </w:sectPr>
      </w:pPr>
      <w:r>
        <w:rPr>
          <w:rFonts w:hint="eastAsia" w:ascii="黑体" w:hAnsi="黑体" w:eastAsia="黑体"/>
          <w:color w:val="000000" w:themeColor="text1"/>
          <w:sz w:val="32"/>
          <w14:textFill>
            <w14:solidFill>
              <w14:schemeClr w14:val="tx1"/>
            </w14:solidFill>
          </w14:textFill>
        </w:rPr>
        <w:t>目  录</w:t>
      </w:r>
    </w:p>
    <w:p>
      <w:pPr>
        <w:pStyle w:val="59"/>
        <w:tabs>
          <w:tab w:val="left" w:pos="960"/>
          <w:tab w:val="right" w:leader="dot" w:pos="10037"/>
        </w:tabs>
        <w:rPr>
          <w:rFonts w:asciiTheme="minorHAnsi" w:hAnsiTheme="minorHAnsi" w:eastAsiaTheme="minorEastAsia" w:cstheme="minorBidi"/>
          <w:bCs w:val="0"/>
          <w:caps w:val="0"/>
          <w:sz w:val="21"/>
          <w:szCs w:val="22"/>
        </w:rPr>
      </w:pPr>
      <w:bookmarkStart w:id="0" w:name="_Toc351534640"/>
      <w:r>
        <w:rPr>
          <w:rFonts w:ascii="黑体" w:hAnsi="黑体"/>
          <w:bCs w:val="0"/>
          <w:caps w:val="0"/>
          <w:color w:val="000000" w:themeColor="text1"/>
          <w:szCs w:val="28"/>
          <w14:textFill>
            <w14:solidFill>
              <w14:schemeClr w14:val="tx1"/>
            </w14:solidFill>
          </w14:textFill>
        </w:rPr>
        <w:fldChar w:fldCharType="begin"/>
      </w:r>
      <w:r>
        <w:rPr>
          <w:rFonts w:ascii="黑体" w:hAnsi="黑体"/>
          <w:bCs w:val="0"/>
          <w:caps w:val="0"/>
          <w:color w:val="000000" w:themeColor="text1"/>
          <w:szCs w:val="28"/>
          <w14:textFill>
            <w14:solidFill>
              <w14:schemeClr w14:val="tx1"/>
            </w14:solidFill>
          </w14:textFill>
        </w:rPr>
        <w:instrText xml:space="preserve"> TOC \o "1-3" \h \z \u </w:instrText>
      </w:r>
      <w:r>
        <w:rPr>
          <w:rFonts w:ascii="黑体" w:hAnsi="黑体"/>
          <w:bCs w:val="0"/>
          <w:caps w:val="0"/>
          <w:color w:val="000000" w:themeColor="text1"/>
          <w:szCs w:val="28"/>
          <w14:textFill>
            <w14:solidFill>
              <w14:schemeClr w14:val="tx1"/>
            </w14:solidFill>
          </w14:textFill>
        </w:rPr>
        <w:fldChar w:fldCharType="separate"/>
      </w:r>
      <w:r>
        <w:fldChar w:fldCharType="begin"/>
      </w:r>
      <w:r>
        <w:instrText xml:space="preserve"> HYPERLINK \l "_Toc75013254" </w:instrText>
      </w:r>
      <w:r>
        <w:fldChar w:fldCharType="separate"/>
      </w:r>
      <w:r>
        <w:rPr>
          <w:rStyle w:val="98"/>
          <w:rFonts w:hint="eastAsia"/>
        </w:rPr>
        <w:t>第一章</w:t>
      </w:r>
      <w:r>
        <w:rPr>
          <w:rFonts w:asciiTheme="minorHAnsi" w:hAnsiTheme="minorHAnsi" w:eastAsiaTheme="minorEastAsia" w:cstheme="minorBidi"/>
          <w:bCs w:val="0"/>
          <w:caps w:val="0"/>
          <w:sz w:val="21"/>
          <w:szCs w:val="22"/>
        </w:rPr>
        <w:tab/>
      </w:r>
      <w:r>
        <w:rPr>
          <w:rStyle w:val="98"/>
          <w:rFonts w:hint="eastAsia"/>
        </w:rPr>
        <w:t>规划总则</w:t>
      </w:r>
      <w:r>
        <w:tab/>
      </w:r>
      <w:r>
        <w:fldChar w:fldCharType="begin"/>
      </w:r>
      <w:r>
        <w:instrText xml:space="preserve"> PAGEREF _Toc75013254 \h </w:instrText>
      </w:r>
      <w:r>
        <w:fldChar w:fldCharType="separate"/>
      </w:r>
      <w:r>
        <w:t>1</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"_Toc75013255" </w:instrText>
      </w:r>
      <w:r>
        <w:fldChar w:fldCharType="separate"/>
      </w:r>
      <w:r>
        <w:rPr>
          <w:rStyle w:val="98"/>
          <w:rFonts w:hint="eastAsia"/>
        </w:rPr>
        <w:t>第1条</w:t>
      </w:r>
      <w:r>
        <w:rPr>
          <w:rFonts w:asciiTheme="minorHAnsi" w:hAnsiTheme="minorHAnsi" w:eastAsiaTheme="minorEastAsia" w:cstheme="minorBidi"/>
          <w:iCs w:val="0"/>
          <w:sz w:val="21"/>
          <w:szCs w:val="22"/>
        </w:rPr>
        <w:tab/>
      </w:r>
      <w:r>
        <w:rPr>
          <w:rStyle w:val="98"/>
          <w:rFonts w:hint="eastAsia"/>
        </w:rPr>
        <w:t>指导思想</w:t>
      </w:r>
      <w:r>
        <w:tab/>
      </w:r>
      <w:r>
        <w:fldChar w:fldCharType="begin"/>
      </w:r>
      <w:r>
        <w:instrText xml:space="preserve"> PAGEREF _Toc75013255 \h </w:instrText>
      </w:r>
      <w:r>
        <w:fldChar w:fldCharType="separate"/>
      </w:r>
      <w:r>
        <w:t>1</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"_Toc75013256" </w:instrText>
      </w:r>
      <w:r>
        <w:fldChar w:fldCharType="separate"/>
      </w:r>
      <w:r>
        <w:rPr>
          <w:rStyle w:val="98"/>
          <w:rFonts w:hint="eastAsia"/>
        </w:rPr>
        <w:t>第2条</w:t>
      </w:r>
      <w:r>
        <w:rPr>
          <w:rFonts w:asciiTheme="minorHAnsi" w:hAnsiTheme="minorHAnsi" w:eastAsiaTheme="minorEastAsia" w:cstheme="minorBidi"/>
          <w:iCs w:val="0"/>
          <w:sz w:val="21"/>
          <w:szCs w:val="22"/>
        </w:rPr>
        <w:tab/>
      </w:r>
      <w:r>
        <w:rPr>
          <w:rStyle w:val="98"/>
          <w:rFonts w:hint="eastAsia"/>
        </w:rPr>
        <w:t>规划性质</w:t>
      </w:r>
      <w:r>
        <w:tab/>
      </w:r>
      <w:r>
        <w:fldChar w:fldCharType="begin"/>
      </w:r>
      <w:r>
        <w:instrText xml:space="preserve"> PAGEREF _Toc75013256 \h </w:instrText>
      </w:r>
      <w:r>
        <w:fldChar w:fldCharType="separate"/>
      </w:r>
      <w:r>
        <w:t>1</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"_Toc75013257" </w:instrText>
      </w:r>
      <w:r>
        <w:fldChar w:fldCharType="separate"/>
      </w:r>
      <w:r>
        <w:rPr>
          <w:rStyle w:val="98"/>
          <w:rFonts w:hint="eastAsia"/>
        </w:rPr>
        <w:t>第3条</w:t>
      </w:r>
      <w:r>
        <w:rPr>
          <w:rFonts w:asciiTheme="minorHAnsi" w:hAnsiTheme="minorHAnsi" w:eastAsiaTheme="minorEastAsia" w:cstheme="minorBidi"/>
          <w:iCs w:val="0"/>
          <w:sz w:val="21"/>
          <w:szCs w:val="22"/>
        </w:rPr>
        <w:tab/>
      </w:r>
      <w:r>
        <w:rPr>
          <w:rStyle w:val="98"/>
          <w:rFonts w:hint="eastAsia"/>
        </w:rPr>
        <w:t>规划编制依据</w:t>
      </w:r>
      <w:r>
        <w:tab/>
      </w:r>
      <w:r>
        <w:fldChar w:fldCharType="begin"/>
      </w:r>
      <w:r>
        <w:instrText xml:space="preserve"> PAGEREF _Toc75013257 \h </w:instrText>
      </w:r>
      <w:r>
        <w:fldChar w:fldCharType="separate"/>
      </w:r>
      <w:r>
        <w:t>1</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"_Toc75013258" </w:instrText>
      </w:r>
      <w:r>
        <w:fldChar w:fldCharType="separate"/>
      </w:r>
      <w:r>
        <w:rPr>
          <w:rStyle w:val="98"/>
          <w:rFonts w:hint="eastAsia"/>
        </w:rPr>
        <w:t>第4条</w:t>
      </w:r>
      <w:r>
        <w:rPr>
          <w:rFonts w:asciiTheme="minorHAnsi" w:hAnsiTheme="minorHAnsi" w:eastAsiaTheme="minorEastAsia" w:cstheme="minorBidi"/>
          <w:iCs w:val="0"/>
          <w:sz w:val="21"/>
          <w:szCs w:val="22"/>
        </w:rPr>
        <w:tab/>
      </w:r>
      <w:r>
        <w:rPr>
          <w:rStyle w:val="98"/>
          <w:rFonts w:hint="eastAsia"/>
        </w:rPr>
        <w:t>规划范围</w:t>
      </w:r>
      <w:r>
        <w:tab/>
      </w:r>
      <w:r>
        <w:fldChar w:fldCharType="begin"/>
      </w:r>
      <w:r>
        <w:instrText xml:space="preserve"> PAGEREF _Toc75013258 \h </w:instrText>
      </w:r>
      <w:r>
        <w:fldChar w:fldCharType="separate"/>
      </w:r>
      <w:r>
        <w:t>1</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"_Toc75013259" </w:instrText>
      </w:r>
      <w:r>
        <w:fldChar w:fldCharType="separate"/>
      </w:r>
      <w:r>
        <w:rPr>
          <w:rStyle w:val="98"/>
          <w:rFonts w:hint="eastAsia"/>
        </w:rPr>
        <w:t>第5条</w:t>
      </w:r>
      <w:r>
        <w:rPr>
          <w:rFonts w:asciiTheme="minorHAnsi" w:hAnsiTheme="minorHAnsi" w:eastAsiaTheme="minorEastAsia" w:cstheme="minorBidi"/>
          <w:iCs w:val="0"/>
          <w:sz w:val="21"/>
          <w:szCs w:val="22"/>
        </w:rPr>
        <w:tab/>
      </w:r>
      <w:r>
        <w:rPr>
          <w:rStyle w:val="98"/>
          <w:rFonts w:hint="eastAsia"/>
        </w:rPr>
        <w:t>规划期限</w:t>
      </w:r>
      <w:r>
        <w:tab/>
      </w:r>
      <w:r>
        <w:fldChar w:fldCharType="begin"/>
      </w:r>
      <w:r>
        <w:instrText xml:space="preserve"> PAGEREF _Toc75013259 \h </w:instrText>
      </w:r>
      <w:r>
        <w:fldChar w:fldCharType="separate"/>
      </w:r>
      <w:r>
        <w:t>2</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"_Toc75013260" </w:instrText>
      </w:r>
      <w:r>
        <w:fldChar w:fldCharType="separate"/>
      </w:r>
      <w:r>
        <w:rPr>
          <w:rStyle w:val="98"/>
          <w:rFonts w:hint="eastAsia"/>
        </w:rPr>
        <w:t>第6条</w:t>
      </w:r>
      <w:r>
        <w:rPr>
          <w:rFonts w:asciiTheme="minorHAnsi" w:hAnsiTheme="minorHAnsi" w:eastAsiaTheme="minorEastAsia" w:cstheme="minorBidi"/>
          <w:iCs w:val="0"/>
          <w:sz w:val="21"/>
          <w:szCs w:val="22"/>
        </w:rPr>
        <w:tab/>
      </w:r>
      <w:r>
        <w:rPr>
          <w:rStyle w:val="98"/>
          <w:rFonts w:hint="eastAsia"/>
        </w:rPr>
        <w:t>规划主要内容</w:t>
      </w:r>
      <w:r>
        <w:tab/>
      </w:r>
      <w:r>
        <w:fldChar w:fldCharType="begin"/>
      </w:r>
      <w:r>
        <w:instrText xml:space="preserve"> PAGEREF _Toc75013260 \h </w:instrText>
      </w:r>
      <w:r>
        <w:fldChar w:fldCharType="separate"/>
      </w:r>
      <w:r>
        <w:t>2</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"_Toc75013261" </w:instrText>
      </w:r>
      <w:r>
        <w:fldChar w:fldCharType="separate"/>
      </w:r>
      <w:r>
        <w:rPr>
          <w:rStyle w:val="98"/>
          <w:rFonts w:hint="eastAsia"/>
        </w:rPr>
        <w:t>第二章</w:t>
      </w:r>
      <w:r>
        <w:rPr>
          <w:rFonts w:asciiTheme="minorHAnsi" w:hAnsiTheme="minorHAnsi" w:eastAsiaTheme="minorEastAsia" w:cstheme="minorBidi"/>
          <w:bCs w:val="0"/>
          <w:caps w:val="0"/>
          <w:sz w:val="21"/>
          <w:szCs w:val="22"/>
        </w:rPr>
        <w:tab/>
      </w:r>
      <w:r>
        <w:rPr>
          <w:rStyle w:val="98"/>
          <w:rFonts w:hint="eastAsia"/>
        </w:rPr>
        <w:t>文物概况</w:t>
      </w:r>
      <w:r>
        <w:tab/>
      </w:r>
      <w:r>
        <w:fldChar w:fldCharType="begin"/>
      </w:r>
      <w:r>
        <w:instrText xml:space="preserve"> PAGEREF _Toc75013261 \h </w:instrText>
      </w:r>
      <w:r>
        <w:fldChar w:fldCharType="separate"/>
      </w:r>
      <w:r>
        <w:t>2</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"_Toc75013262" </w:instrText>
      </w:r>
      <w:r>
        <w:fldChar w:fldCharType="separate"/>
      </w:r>
      <w:r>
        <w:rPr>
          <w:rStyle w:val="98"/>
          <w:rFonts w:hint="eastAsia"/>
        </w:rPr>
        <w:t>第7条</w:t>
      </w:r>
      <w:r>
        <w:rPr>
          <w:rFonts w:asciiTheme="minorHAnsi" w:hAnsiTheme="minorHAnsi" w:eastAsiaTheme="minorEastAsia" w:cstheme="minorBidi"/>
          <w:iCs w:val="0"/>
          <w:sz w:val="21"/>
          <w:szCs w:val="22"/>
        </w:rPr>
        <w:tab/>
      </w:r>
      <w:r>
        <w:rPr>
          <w:rStyle w:val="98"/>
          <w:rFonts w:hint="eastAsia"/>
        </w:rPr>
        <w:t>地理位置</w:t>
      </w:r>
      <w:r>
        <w:tab/>
      </w:r>
      <w:r>
        <w:fldChar w:fldCharType="begin"/>
      </w:r>
      <w:r>
        <w:instrText xml:space="preserve"> PAGEREF _Toc75013262 \h </w:instrText>
      </w:r>
      <w:r>
        <w:fldChar w:fldCharType="separate"/>
      </w:r>
      <w:r>
        <w:t>2</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"_Toc75013263" </w:instrText>
      </w:r>
      <w:r>
        <w:fldChar w:fldCharType="separate"/>
      </w:r>
      <w:r>
        <w:rPr>
          <w:rStyle w:val="98"/>
          <w:rFonts w:hint="eastAsia"/>
        </w:rPr>
        <w:t>第8条</w:t>
      </w:r>
      <w:r>
        <w:rPr>
          <w:rFonts w:asciiTheme="minorHAnsi" w:hAnsiTheme="minorHAnsi" w:eastAsiaTheme="minorEastAsia" w:cstheme="minorBidi"/>
          <w:iCs w:val="0"/>
          <w:sz w:val="21"/>
          <w:szCs w:val="22"/>
        </w:rPr>
        <w:tab/>
      </w:r>
      <w:r>
        <w:rPr>
          <w:rStyle w:val="98"/>
          <w:rFonts w:hint="eastAsia"/>
        </w:rPr>
        <w:t>文物性质</w:t>
      </w:r>
      <w:r>
        <w:tab/>
      </w:r>
      <w:r>
        <w:fldChar w:fldCharType="begin"/>
      </w:r>
      <w:r>
        <w:instrText xml:space="preserve"> PAGEREF _Toc75013263 \h </w:instrText>
      </w:r>
      <w:r>
        <w:fldChar w:fldCharType="separate"/>
      </w:r>
      <w:r>
        <w:t>2</w:t>
      </w:r>
      <w:r>
        <w:fldChar w:fldCharType="end"/>
      </w:r>
      <w:r>
        <w:fldChar w:fldCharType="end"/>
      </w:r>
    </w:p>
    <w:p>
      <w:pPr>
        <w:pStyle w:val="44"/>
        <w:tabs>
          <w:tab w:val="left" w:pos="1440"/>
          <w:tab w:val="right" w:leader="dot" w:pos="10037"/>
        </w:tabs>
        <w:rPr>
          <w:rFonts w:asciiTheme="minorHAnsi" w:hAnsiTheme="minorHAnsi" w:eastAsiaTheme="minorEastAsia" w:cstheme="minorBidi"/>
          <w:iCs w:val="0"/>
          <w:sz w:val="21"/>
          <w:szCs w:val="22"/>
        </w:rPr>
      </w:pPr>
      <w:r>
        <w:fldChar w:fldCharType="begin"/>
      </w:r>
      <w:r>
        <w:instrText xml:space="preserve"> HYPERLINK \l "_Toc75013264" </w:instrText>
      </w:r>
      <w:r>
        <w:fldChar w:fldCharType="separate"/>
      </w:r>
      <w:r>
        <w:rPr>
          <w:rStyle w:val="98"/>
          <w:rFonts w:hint="eastAsia"/>
        </w:rPr>
        <w:t>第9条</w:t>
      </w:r>
      <w:r>
        <w:rPr>
          <w:rFonts w:asciiTheme="minorHAnsi" w:hAnsiTheme="minorHAnsi" w:eastAsiaTheme="minorEastAsia" w:cstheme="minorBidi"/>
          <w:iCs w:val="0"/>
          <w:sz w:val="21"/>
          <w:szCs w:val="22"/>
        </w:rPr>
        <w:tab/>
      </w:r>
      <w:r>
        <w:rPr>
          <w:rStyle w:val="98"/>
          <w:rFonts w:hint="eastAsia"/>
        </w:rPr>
        <w:t>文物简介</w:t>
      </w:r>
      <w:r>
        <w:tab/>
      </w:r>
      <w:r>
        <w:fldChar w:fldCharType="begin"/>
      </w:r>
      <w:r>
        <w:instrText xml:space="preserve"> PAGEREF _Toc75013264 \h </w:instrText>
      </w:r>
      <w:r>
        <w:fldChar w:fldCharType="separate"/>
      </w:r>
      <w:r>
        <w:t>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"_Toc75013265" </w:instrText>
      </w:r>
      <w:r>
        <w:fldChar w:fldCharType="separate"/>
      </w:r>
      <w:r>
        <w:rPr>
          <w:rStyle w:val="98"/>
          <w:rFonts w:hint="eastAsia"/>
        </w:rPr>
        <w:t>第10条</w:t>
      </w:r>
      <w:r>
        <w:rPr>
          <w:rFonts w:asciiTheme="minorHAnsi" w:hAnsiTheme="minorHAnsi" w:eastAsiaTheme="minorEastAsia" w:cstheme="minorBidi"/>
          <w:iCs w:val="0"/>
          <w:sz w:val="21"/>
          <w:szCs w:val="22"/>
        </w:rPr>
        <w:tab/>
      </w:r>
      <w:r>
        <w:rPr>
          <w:rStyle w:val="98"/>
          <w:rFonts w:hint="eastAsia"/>
        </w:rPr>
        <w:t>历史沿革</w:t>
      </w:r>
      <w:r>
        <w:tab/>
      </w:r>
      <w:r>
        <w:fldChar w:fldCharType="begin"/>
      </w:r>
      <w:r>
        <w:instrText xml:space="preserve"> PAGEREF _Toc75013265 \h </w:instrText>
      </w:r>
      <w:r>
        <w:fldChar w:fldCharType="separate"/>
      </w:r>
      <w:r>
        <w:t>2</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"_Toc75013266" </w:instrText>
      </w:r>
      <w:r>
        <w:fldChar w:fldCharType="separate"/>
      </w:r>
      <w:r>
        <w:rPr>
          <w:rStyle w:val="98"/>
          <w:rFonts w:hint="eastAsia"/>
        </w:rPr>
        <w:t>第三章</w:t>
      </w:r>
      <w:r>
        <w:rPr>
          <w:rFonts w:asciiTheme="minorHAnsi" w:hAnsiTheme="minorHAnsi" w:eastAsiaTheme="minorEastAsia" w:cstheme="minorBidi"/>
          <w:bCs w:val="0"/>
          <w:caps w:val="0"/>
          <w:sz w:val="21"/>
          <w:szCs w:val="22"/>
        </w:rPr>
        <w:tab/>
      </w:r>
      <w:r>
        <w:rPr>
          <w:rStyle w:val="98"/>
          <w:rFonts w:hint="eastAsia"/>
        </w:rPr>
        <w:t>保护对象构成</w:t>
      </w:r>
      <w:r>
        <w:tab/>
      </w:r>
      <w:r>
        <w:fldChar w:fldCharType="begin"/>
      </w:r>
      <w:r>
        <w:instrText xml:space="preserve"> PAGEREF _Toc75013266 \h </w:instrText>
      </w:r>
      <w:r>
        <w:fldChar w:fldCharType="separate"/>
      </w:r>
      <w:r>
        <w:t>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"_Toc75013267" </w:instrText>
      </w:r>
      <w:r>
        <w:fldChar w:fldCharType="separate"/>
      </w:r>
      <w:r>
        <w:rPr>
          <w:rStyle w:val="98"/>
          <w:rFonts w:hint="eastAsia"/>
        </w:rPr>
        <w:t>第11条</w:t>
      </w:r>
      <w:r>
        <w:rPr>
          <w:rFonts w:asciiTheme="minorHAnsi" w:hAnsiTheme="minorHAnsi" w:eastAsiaTheme="minorEastAsia" w:cstheme="minorBidi"/>
          <w:iCs w:val="0"/>
          <w:sz w:val="21"/>
          <w:szCs w:val="22"/>
        </w:rPr>
        <w:tab/>
      </w:r>
      <w:r>
        <w:rPr>
          <w:rStyle w:val="98"/>
          <w:rFonts w:hint="eastAsia"/>
        </w:rPr>
        <w:t>文物本体</w:t>
      </w:r>
      <w:r>
        <w:tab/>
      </w:r>
      <w:r>
        <w:fldChar w:fldCharType="begin"/>
      </w:r>
      <w:r>
        <w:instrText xml:space="preserve"> PAGEREF _Toc75013267 \h </w:instrText>
      </w:r>
      <w:r>
        <w:fldChar w:fldCharType="separate"/>
      </w:r>
      <w:r>
        <w:t>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"_Toc75013268" </w:instrText>
      </w:r>
      <w:r>
        <w:fldChar w:fldCharType="separate"/>
      </w:r>
      <w:r>
        <w:rPr>
          <w:rStyle w:val="98"/>
          <w:rFonts w:hint="eastAsia"/>
        </w:rPr>
        <w:t>第12条</w:t>
      </w:r>
      <w:r>
        <w:rPr>
          <w:rFonts w:asciiTheme="minorHAnsi" w:hAnsiTheme="minorHAnsi" w:eastAsiaTheme="minorEastAsia" w:cstheme="minorBidi"/>
          <w:iCs w:val="0"/>
          <w:sz w:val="21"/>
          <w:szCs w:val="22"/>
        </w:rPr>
        <w:tab/>
      </w:r>
      <w:r>
        <w:rPr>
          <w:rStyle w:val="98"/>
          <w:rFonts w:hint="eastAsia"/>
        </w:rPr>
        <w:t>文物环境</w:t>
      </w:r>
      <w:r>
        <w:tab/>
      </w:r>
      <w:r>
        <w:fldChar w:fldCharType="begin"/>
      </w:r>
      <w:r>
        <w:instrText xml:space="preserve"> PAGEREF _Toc75013268 \h </w:instrText>
      </w:r>
      <w:r>
        <w:fldChar w:fldCharType="separate"/>
      </w:r>
      <w:r>
        <w:t>3</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"_Toc75013269" </w:instrText>
      </w:r>
      <w:r>
        <w:fldChar w:fldCharType="separate"/>
      </w:r>
      <w:r>
        <w:rPr>
          <w:rStyle w:val="98"/>
          <w:rFonts w:hint="eastAsia"/>
        </w:rPr>
        <w:t>第四章</w:t>
      </w:r>
      <w:r>
        <w:rPr>
          <w:rFonts w:asciiTheme="minorHAnsi" w:hAnsiTheme="minorHAnsi" w:eastAsiaTheme="minorEastAsia" w:cstheme="minorBidi"/>
          <w:bCs w:val="0"/>
          <w:caps w:val="0"/>
          <w:sz w:val="21"/>
          <w:szCs w:val="22"/>
        </w:rPr>
        <w:tab/>
      </w:r>
      <w:r>
        <w:rPr>
          <w:rStyle w:val="98"/>
          <w:rFonts w:hint="eastAsia"/>
        </w:rPr>
        <w:t>价值评估</w:t>
      </w:r>
      <w:r>
        <w:tab/>
      </w:r>
      <w:r>
        <w:fldChar w:fldCharType="begin"/>
      </w:r>
      <w:r>
        <w:instrText xml:space="preserve"> PAGEREF _Toc75013269 \h </w:instrText>
      </w:r>
      <w:r>
        <w:fldChar w:fldCharType="separate"/>
      </w:r>
      <w:r>
        <w:t>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"_Toc75013270" </w:instrText>
      </w:r>
      <w:r>
        <w:fldChar w:fldCharType="separate"/>
      </w:r>
      <w:r>
        <w:rPr>
          <w:rStyle w:val="98"/>
          <w:rFonts w:hint="eastAsia"/>
        </w:rPr>
        <w:t>第13条</w:t>
      </w:r>
      <w:r>
        <w:rPr>
          <w:rFonts w:asciiTheme="minorHAnsi" w:hAnsiTheme="minorHAnsi" w:eastAsiaTheme="minorEastAsia" w:cstheme="minorBidi"/>
          <w:iCs w:val="0"/>
          <w:sz w:val="21"/>
          <w:szCs w:val="22"/>
        </w:rPr>
        <w:tab/>
      </w:r>
      <w:r>
        <w:rPr>
          <w:rStyle w:val="98"/>
          <w:rFonts w:hint="eastAsia"/>
        </w:rPr>
        <w:t>历史价值</w:t>
      </w:r>
      <w:r>
        <w:tab/>
      </w:r>
      <w:r>
        <w:fldChar w:fldCharType="begin"/>
      </w:r>
      <w:r>
        <w:instrText xml:space="preserve"> PAGEREF _Toc75013270 \h </w:instrText>
      </w:r>
      <w:r>
        <w:fldChar w:fldCharType="separate"/>
      </w:r>
      <w:r>
        <w:t>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"_Toc75013271" </w:instrText>
      </w:r>
      <w:r>
        <w:fldChar w:fldCharType="separate"/>
      </w:r>
      <w:r>
        <w:rPr>
          <w:rStyle w:val="98"/>
          <w:rFonts w:hint="eastAsia"/>
        </w:rPr>
        <w:t>第14条</w:t>
      </w:r>
      <w:r>
        <w:rPr>
          <w:rFonts w:asciiTheme="minorHAnsi" w:hAnsiTheme="minorHAnsi" w:eastAsiaTheme="minorEastAsia" w:cstheme="minorBidi"/>
          <w:iCs w:val="0"/>
          <w:sz w:val="21"/>
          <w:szCs w:val="22"/>
        </w:rPr>
        <w:tab/>
      </w:r>
      <w:r>
        <w:rPr>
          <w:rStyle w:val="98"/>
          <w:rFonts w:hint="eastAsia"/>
        </w:rPr>
        <w:t>科学价值</w:t>
      </w:r>
      <w:r>
        <w:tab/>
      </w:r>
      <w:r>
        <w:fldChar w:fldCharType="begin"/>
      </w:r>
      <w:r>
        <w:instrText xml:space="preserve"> PAGEREF _Toc75013271 \h </w:instrText>
      </w:r>
      <w:r>
        <w:fldChar w:fldCharType="separate"/>
      </w:r>
      <w:r>
        <w:t>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"_Toc75013272" </w:instrText>
      </w:r>
      <w:r>
        <w:fldChar w:fldCharType="separate"/>
      </w:r>
      <w:r>
        <w:rPr>
          <w:rStyle w:val="98"/>
          <w:rFonts w:hint="eastAsia"/>
        </w:rPr>
        <w:t>第15条</w:t>
      </w:r>
      <w:r>
        <w:rPr>
          <w:rFonts w:asciiTheme="minorHAnsi" w:hAnsiTheme="minorHAnsi" w:eastAsiaTheme="minorEastAsia" w:cstheme="minorBidi"/>
          <w:iCs w:val="0"/>
          <w:sz w:val="21"/>
          <w:szCs w:val="22"/>
        </w:rPr>
        <w:tab/>
      </w:r>
      <w:r>
        <w:rPr>
          <w:rStyle w:val="98"/>
          <w:rFonts w:hint="eastAsia"/>
        </w:rPr>
        <w:t>艺术价值</w:t>
      </w:r>
      <w:r>
        <w:tab/>
      </w:r>
      <w:r>
        <w:fldChar w:fldCharType="begin"/>
      </w:r>
      <w:r>
        <w:instrText xml:space="preserve"> PAGEREF _Toc75013272 \h </w:instrText>
      </w:r>
      <w:r>
        <w:fldChar w:fldCharType="separate"/>
      </w:r>
      <w:r>
        <w:t>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"_Toc75013273" </w:instrText>
      </w:r>
      <w:r>
        <w:fldChar w:fldCharType="separate"/>
      </w:r>
      <w:r>
        <w:rPr>
          <w:rStyle w:val="98"/>
          <w:rFonts w:hint="eastAsia"/>
        </w:rPr>
        <w:t>第16条</w:t>
      </w:r>
      <w:r>
        <w:rPr>
          <w:rFonts w:asciiTheme="minorHAnsi" w:hAnsiTheme="minorHAnsi" w:eastAsiaTheme="minorEastAsia" w:cstheme="minorBidi"/>
          <w:iCs w:val="0"/>
          <w:sz w:val="21"/>
          <w:szCs w:val="22"/>
        </w:rPr>
        <w:tab/>
      </w:r>
      <w:r>
        <w:rPr>
          <w:rStyle w:val="98"/>
          <w:rFonts w:hint="eastAsia"/>
        </w:rPr>
        <w:t>社会价值</w:t>
      </w:r>
      <w:r>
        <w:tab/>
      </w:r>
      <w:r>
        <w:fldChar w:fldCharType="begin"/>
      </w:r>
      <w:r>
        <w:instrText xml:space="preserve"> PAGEREF _Toc75013273 \h </w:instrText>
      </w:r>
      <w:r>
        <w:fldChar w:fldCharType="separate"/>
      </w:r>
      <w:r>
        <w:t>5</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"_Toc75013274" </w:instrText>
      </w:r>
      <w:r>
        <w:fldChar w:fldCharType="separate"/>
      </w:r>
      <w:r>
        <w:rPr>
          <w:rStyle w:val="98"/>
          <w:rFonts w:hint="eastAsia"/>
        </w:rPr>
        <w:t>第五章</w:t>
      </w:r>
      <w:r>
        <w:rPr>
          <w:rFonts w:asciiTheme="minorHAnsi" w:hAnsiTheme="minorHAnsi" w:eastAsiaTheme="minorEastAsia" w:cstheme="minorBidi"/>
          <w:bCs w:val="0"/>
          <w:caps w:val="0"/>
          <w:sz w:val="21"/>
          <w:szCs w:val="22"/>
        </w:rPr>
        <w:tab/>
      </w:r>
      <w:r>
        <w:rPr>
          <w:rStyle w:val="98"/>
          <w:rFonts w:hint="eastAsia"/>
        </w:rPr>
        <w:t>专项评估</w:t>
      </w:r>
      <w:r>
        <w:tab/>
      </w:r>
      <w:r>
        <w:fldChar w:fldCharType="begin"/>
      </w:r>
      <w:r>
        <w:instrText xml:space="preserve"> PAGEREF _Toc75013274 \h </w:instrText>
      </w:r>
      <w:r>
        <w:fldChar w:fldCharType="separate"/>
      </w:r>
      <w:r>
        <w:t>6</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"_Toc75013275" </w:instrText>
      </w:r>
      <w:r>
        <w:fldChar w:fldCharType="separate"/>
      </w:r>
      <w:r>
        <w:rPr>
          <w:rStyle w:val="98"/>
          <w:rFonts w:hint="eastAsia" w:ascii="Times New Roman" w:hAnsi="Times New Roman"/>
          <w14:scene3d>
            <w14:lightRig w14:rig="threePt" w14:dir="t">
              <w14:rot w14:lat="0" w14:lon="0" w14:rev="0"/>
            </w14:lightRig>
          </w14:scene3d>
        </w:rPr>
        <w:t>第一节</w:t>
      </w:r>
      <w:r>
        <w:rPr>
          <w:rFonts w:asciiTheme="minorHAnsi" w:hAnsiTheme="minorHAnsi" w:eastAsiaTheme="minorEastAsia" w:cstheme="minorBidi"/>
          <w:smallCaps w:val="0"/>
          <w:sz w:val="21"/>
          <w:szCs w:val="22"/>
        </w:rPr>
        <w:tab/>
      </w:r>
      <w:r>
        <w:rPr>
          <w:rStyle w:val="98"/>
          <w:rFonts w:hint="eastAsia"/>
        </w:rPr>
        <w:t>保护对象现状评估</w:t>
      </w:r>
      <w:r>
        <w:tab/>
      </w:r>
      <w:r>
        <w:fldChar w:fldCharType="begin"/>
      </w:r>
      <w:r>
        <w:instrText xml:space="preserve"> PAGEREF _Toc75013275 \h </w:instrText>
      </w:r>
      <w:r>
        <w:fldChar w:fldCharType="separate"/>
      </w:r>
      <w:r>
        <w:t>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"_Toc75013276" </w:instrText>
      </w:r>
      <w:r>
        <w:fldChar w:fldCharType="separate"/>
      </w:r>
      <w:r>
        <w:rPr>
          <w:rStyle w:val="98"/>
          <w:rFonts w:hint="eastAsia"/>
        </w:rPr>
        <w:t>第17条</w:t>
      </w:r>
      <w:r>
        <w:rPr>
          <w:rFonts w:asciiTheme="minorHAnsi" w:hAnsiTheme="minorHAnsi" w:eastAsiaTheme="minorEastAsia" w:cstheme="minorBidi"/>
          <w:iCs w:val="0"/>
          <w:sz w:val="21"/>
          <w:szCs w:val="22"/>
        </w:rPr>
        <w:tab/>
      </w:r>
      <w:r>
        <w:rPr>
          <w:rStyle w:val="98"/>
          <w:rFonts w:hint="eastAsia"/>
        </w:rPr>
        <w:t>保护对象评估分类</w:t>
      </w:r>
      <w:r>
        <w:tab/>
      </w:r>
      <w:r>
        <w:fldChar w:fldCharType="begin"/>
      </w:r>
      <w:r>
        <w:instrText xml:space="preserve"> PAGEREF _Toc75013276 \h </w:instrText>
      </w:r>
      <w:r>
        <w:fldChar w:fldCharType="separate"/>
      </w:r>
      <w:r>
        <w:t>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"_Toc75013277" </w:instrText>
      </w:r>
      <w:r>
        <w:fldChar w:fldCharType="separate"/>
      </w:r>
      <w:r>
        <w:rPr>
          <w:rStyle w:val="98"/>
          <w:rFonts w:hint="eastAsia"/>
        </w:rPr>
        <w:t>第18条</w:t>
      </w:r>
      <w:r>
        <w:rPr>
          <w:rFonts w:asciiTheme="minorHAnsi" w:hAnsiTheme="minorHAnsi" w:eastAsiaTheme="minorEastAsia" w:cstheme="minorBidi"/>
          <w:iCs w:val="0"/>
          <w:sz w:val="21"/>
          <w:szCs w:val="22"/>
        </w:rPr>
        <w:tab/>
      </w:r>
      <w:r>
        <w:rPr>
          <w:rStyle w:val="98"/>
          <w:rFonts w:hint="eastAsia"/>
        </w:rPr>
        <w:t>文物本体现状评估</w:t>
      </w:r>
      <w:r>
        <w:tab/>
      </w:r>
      <w:r>
        <w:fldChar w:fldCharType="begin"/>
      </w:r>
      <w:r>
        <w:instrText xml:space="preserve"> PAGEREF _Toc75013277 \h </w:instrText>
      </w:r>
      <w:r>
        <w:fldChar w:fldCharType="separate"/>
      </w:r>
      <w:r>
        <w:t>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"_Toc75013278" </w:instrText>
      </w:r>
      <w:r>
        <w:fldChar w:fldCharType="separate"/>
      </w:r>
      <w:r>
        <w:rPr>
          <w:rStyle w:val="98"/>
          <w:rFonts w:hint="eastAsia"/>
        </w:rPr>
        <w:t>第19条</w:t>
      </w:r>
      <w:r>
        <w:rPr>
          <w:rFonts w:asciiTheme="minorHAnsi" w:hAnsiTheme="minorHAnsi" w:eastAsiaTheme="minorEastAsia" w:cstheme="minorBidi"/>
          <w:iCs w:val="0"/>
          <w:sz w:val="21"/>
          <w:szCs w:val="22"/>
        </w:rPr>
        <w:tab/>
      </w:r>
      <w:r>
        <w:rPr>
          <w:rStyle w:val="98"/>
          <w:rFonts w:hint="eastAsia"/>
        </w:rPr>
        <w:t>“三防”设施现状</w:t>
      </w:r>
      <w:r>
        <w:tab/>
      </w:r>
      <w:r>
        <w:fldChar w:fldCharType="begin"/>
      </w:r>
      <w:r>
        <w:instrText xml:space="preserve"> PAGEREF _Toc75013278 \h </w:instrText>
      </w:r>
      <w:r>
        <w:fldChar w:fldCharType="separate"/>
      </w:r>
      <w:r>
        <w:t>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"_Toc75013279" </w:instrText>
      </w:r>
      <w:r>
        <w:fldChar w:fldCharType="separate"/>
      </w:r>
      <w:r>
        <w:rPr>
          <w:rStyle w:val="98"/>
          <w:rFonts w:hint="eastAsia"/>
        </w:rPr>
        <w:t>第20条</w:t>
      </w:r>
      <w:r>
        <w:rPr>
          <w:rFonts w:asciiTheme="minorHAnsi" w:hAnsiTheme="minorHAnsi" w:eastAsiaTheme="minorEastAsia" w:cstheme="minorBidi"/>
          <w:iCs w:val="0"/>
          <w:sz w:val="21"/>
          <w:szCs w:val="22"/>
        </w:rPr>
        <w:tab/>
      </w:r>
      <w:r>
        <w:rPr>
          <w:rStyle w:val="98"/>
          <w:rFonts w:hint="eastAsia"/>
        </w:rPr>
        <w:t>文物环境现状评估</w:t>
      </w:r>
      <w:r>
        <w:tab/>
      </w:r>
      <w:r>
        <w:fldChar w:fldCharType="begin"/>
      </w:r>
      <w:r>
        <w:instrText xml:space="preserve"> PAGEREF _Toc75013279 \h </w:instrText>
      </w:r>
      <w:r>
        <w:fldChar w:fldCharType="separate"/>
      </w:r>
      <w:r>
        <w:t>6</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"_Toc75013280" </w:instrText>
      </w:r>
      <w:r>
        <w:fldChar w:fldCharType="separate"/>
      </w:r>
      <w:r>
        <w:rPr>
          <w:rStyle w:val="98"/>
          <w:rFonts w:hint="eastAsia" w:ascii="Times New Roman" w:hAnsi="Times New Roman"/>
          <w14:scene3d>
            <w14:lightRig w14:rig="threePt" w14:dir="t">
              <w14:rot w14:lat="0" w14:lon="0" w14:rev="0"/>
            </w14:lightRig>
          </w14:scene3d>
        </w:rPr>
        <w:t>第二节</w:t>
      </w:r>
      <w:r>
        <w:rPr>
          <w:rFonts w:asciiTheme="minorHAnsi" w:hAnsiTheme="minorHAnsi" w:eastAsiaTheme="minorEastAsia" w:cstheme="minorBidi"/>
          <w:smallCaps w:val="0"/>
          <w:sz w:val="21"/>
          <w:szCs w:val="22"/>
        </w:rPr>
        <w:tab/>
      </w:r>
      <w:r>
        <w:rPr>
          <w:rStyle w:val="98"/>
          <w:rFonts w:hint="eastAsia"/>
        </w:rPr>
        <w:t>环境现状评估</w:t>
      </w:r>
      <w:r>
        <w:tab/>
      </w:r>
      <w:r>
        <w:fldChar w:fldCharType="begin"/>
      </w:r>
      <w:r>
        <w:instrText xml:space="preserve"> PAGEREF _Toc75013280 \h </w:instrText>
      </w:r>
      <w:r>
        <w:fldChar w:fldCharType="separate"/>
      </w:r>
      <w:r>
        <w:t>7</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"_Toc75013281" </w:instrText>
      </w:r>
      <w:r>
        <w:fldChar w:fldCharType="separate"/>
      </w:r>
      <w:r>
        <w:rPr>
          <w:rStyle w:val="98"/>
          <w:rFonts w:hint="eastAsia"/>
        </w:rPr>
        <w:t>第21条</w:t>
      </w:r>
      <w:r>
        <w:rPr>
          <w:rFonts w:asciiTheme="minorHAnsi" w:hAnsiTheme="minorHAnsi" w:eastAsiaTheme="minorEastAsia" w:cstheme="minorBidi"/>
          <w:iCs w:val="0"/>
          <w:sz w:val="21"/>
          <w:szCs w:val="22"/>
        </w:rPr>
        <w:tab/>
      </w:r>
      <w:r>
        <w:rPr>
          <w:rStyle w:val="98"/>
          <w:rFonts w:hint="eastAsia"/>
        </w:rPr>
        <w:t>城内建筑现状评估</w:t>
      </w:r>
      <w:r>
        <w:tab/>
      </w:r>
      <w:r>
        <w:fldChar w:fldCharType="begin"/>
      </w:r>
      <w:r>
        <w:instrText xml:space="preserve"> PAGEREF _Toc75013281 \h </w:instrText>
      </w:r>
      <w:r>
        <w:fldChar w:fldCharType="separate"/>
      </w:r>
      <w:r>
        <w:t>7</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"_Toc75013282" </w:instrText>
      </w:r>
      <w:r>
        <w:fldChar w:fldCharType="separate"/>
      </w:r>
      <w:r>
        <w:rPr>
          <w:rStyle w:val="98"/>
          <w:rFonts w:hint="eastAsia"/>
        </w:rPr>
        <w:t>第22条</w:t>
      </w:r>
      <w:r>
        <w:rPr>
          <w:rFonts w:asciiTheme="minorHAnsi" w:hAnsiTheme="minorHAnsi" w:eastAsiaTheme="minorEastAsia" w:cstheme="minorBidi"/>
          <w:iCs w:val="0"/>
          <w:sz w:val="21"/>
          <w:szCs w:val="22"/>
        </w:rPr>
        <w:tab/>
      </w:r>
      <w:r>
        <w:rPr>
          <w:rStyle w:val="98"/>
          <w:rFonts w:hint="eastAsia"/>
        </w:rPr>
        <w:t>城内景观环境现状评估</w:t>
      </w:r>
      <w:r>
        <w:tab/>
      </w:r>
      <w:r>
        <w:fldChar w:fldCharType="begin"/>
      </w:r>
      <w:r>
        <w:instrText xml:space="preserve"> PAGEREF _Toc75013282 \h </w:instrText>
      </w:r>
      <w:r>
        <w:fldChar w:fldCharType="separate"/>
      </w:r>
      <w:r>
        <w:t>8</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"_Toc75013283" </w:instrText>
      </w:r>
      <w:r>
        <w:fldChar w:fldCharType="separate"/>
      </w:r>
      <w:r>
        <w:rPr>
          <w:rStyle w:val="98"/>
          <w:rFonts w:hint="eastAsia"/>
        </w:rPr>
        <w:t>第23条</w:t>
      </w:r>
      <w:r>
        <w:rPr>
          <w:rFonts w:asciiTheme="minorHAnsi" w:hAnsiTheme="minorHAnsi" w:eastAsiaTheme="minorEastAsia" w:cstheme="minorBidi"/>
          <w:iCs w:val="0"/>
          <w:sz w:val="21"/>
          <w:szCs w:val="22"/>
        </w:rPr>
        <w:tab/>
      </w:r>
      <w:r>
        <w:rPr>
          <w:rStyle w:val="98"/>
          <w:rFonts w:hint="eastAsia"/>
        </w:rPr>
        <w:t>城内商业业态现状评估</w:t>
      </w:r>
      <w:r>
        <w:tab/>
      </w:r>
      <w:r>
        <w:fldChar w:fldCharType="begin"/>
      </w:r>
      <w:r>
        <w:instrText xml:space="preserve"> PAGEREF _Toc75013283 \h </w:instrText>
      </w:r>
      <w:r>
        <w:fldChar w:fldCharType="separate"/>
      </w:r>
      <w:r>
        <w:t>8</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"_Toc75013284" </w:instrText>
      </w:r>
      <w:r>
        <w:fldChar w:fldCharType="separate"/>
      </w:r>
      <w:r>
        <w:rPr>
          <w:rStyle w:val="98"/>
          <w:rFonts w:hint="eastAsia"/>
        </w:rPr>
        <w:t>第24条</w:t>
      </w:r>
      <w:r>
        <w:rPr>
          <w:rFonts w:asciiTheme="minorHAnsi" w:hAnsiTheme="minorHAnsi" w:eastAsiaTheme="minorEastAsia" w:cstheme="minorBidi"/>
          <w:iCs w:val="0"/>
          <w:sz w:val="21"/>
          <w:szCs w:val="22"/>
        </w:rPr>
        <w:tab/>
      </w:r>
      <w:r>
        <w:rPr>
          <w:rStyle w:val="98"/>
          <w:rFonts w:hint="eastAsia"/>
        </w:rPr>
        <w:t>城内市政基础设施现状评估</w:t>
      </w:r>
      <w:r>
        <w:tab/>
      </w:r>
      <w:r>
        <w:fldChar w:fldCharType="begin"/>
      </w:r>
      <w:r>
        <w:instrText xml:space="preserve"> PAGEREF _Toc75013284 \h </w:instrText>
      </w:r>
      <w:r>
        <w:fldChar w:fldCharType="separate"/>
      </w:r>
      <w:r>
        <w:t>8</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"_Toc75013285" </w:instrText>
      </w:r>
      <w:r>
        <w:fldChar w:fldCharType="separate"/>
      </w:r>
      <w:r>
        <w:rPr>
          <w:rStyle w:val="98"/>
          <w:rFonts w:hint="eastAsia"/>
        </w:rPr>
        <w:t>第25条</w:t>
      </w:r>
      <w:r>
        <w:rPr>
          <w:rFonts w:asciiTheme="minorHAnsi" w:hAnsiTheme="minorHAnsi" w:eastAsiaTheme="minorEastAsia" w:cstheme="minorBidi"/>
          <w:iCs w:val="0"/>
          <w:sz w:val="21"/>
          <w:szCs w:val="22"/>
        </w:rPr>
        <w:tab/>
      </w:r>
      <w:r>
        <w:rPr>
          <w:rStyle w:val="98"/>
          <w:rFonts w:hint="eastAsia"/>
        </w:rPr>
        <w:t>城内环卫现状评估</w:t>
      </w:r>
      <w:r>
        <w:tab/>
      </w:r>
      <w:r>
        <w:fldChar w:fldCharType="begin"/>
      </w:r>
      <w:r>
        <w:instrText xml:space="preserve"> PAGEREF _Toc75013285 \h </w:instrText>
      </w:r>
      <w:r>
        <w:fldChar w:fldCharType="separate"/>
      </w:r>
      <w:r>
        <w:t>9</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"_Toc75013286" </w:instrText>
      </w:r>
      <w:r>
        <w:fldChar w:fldCharType="separate"/>
      </w:r>
      <w:r>
        <w:rPr>
          <w:rStyle w:val="98"/>
          <w:rFonts w:hint="eastAsia"/>
        </w:rPr>
        <w:t>第26条</w:t>
      </w:r>
      <w:r>
        <w:rPr>
          <w:rFonts w:asciiTheme="minorHAnsi" w:hAnsiTheme="minorHAnsi" w:eastAsiaTheme="minorEastAsia" w:cstheme="minorBidi"/>
          <w:iCs w:val="0"/>
          <w:sz w:val="21"/>
          <w:szCs w:val="22"/>
        </w:rPr>
        <w:tab/>
      </w:r>
      <w:r>
        <w:rPr>
          <w:rStyle w:val="98"/>
          <w:rFonts w:hint="eastAsia"/>
        </w:rPr>
        <w:t>城外环境现状评估</w:t>
      </w:r>
      <w:r>
        <w:tab/>
      </w:r>
      <w:r>
        <w:fldChar w:fldCharType="begin"/>
      </w:r>
      <w:r>
        <w:instrText xml:space="preserve"> PAGEREF _Toc75013286 \h </w:instrText>
      </w:r>
      <w:r>
        <w:fldChar w:fldCharType="separate"/>
      </w:r>
      <w:r>
        <w:t>9</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"_Toc75013287" </w:instrText>
      </w:r>
      <w:r>
        <w:fldChar w:fldCharType="separate"/>
      </w:r>
      <w:r>
        <w:rPr>
          <w:rStyle w:val="98"/>
          <w:rFonts w:hint="eastAsia"/>
        </w:rPr>
        <w:t>第27条</w:t>
      </w:r>
      <w:r>
        <w:rPr>
          <w:rFonts w:asciiTheme="minorHAnsi" w:hAnsiTheme="minorHAnsi" w:eastAsiaTheme="minorEastAsia" w:cstheme="minorBidi"/>
          <w:iCs w:val="0"/>
          <w:sz w:val="21"/>
          <w:szCs w:val="22"/>
        </w:rPr>
        <w:tab/>
      </w:r>
      <w:r>
        <w:rPr>
          <w:rStyle w:val="98"/>
          <w:rFonts w:hint="eastAsia"/>
        </w:rPr>
        <w:t>土地利用现状评估</w:t>
      </w:r>
      <w:r>
        <w:tab/>
      </w:r>
      <w:r>
        <w:fldChar w:fldCharType="begin"/>
      </w:r>
      <w:r>
        <w:instrText xml:space="preserve"> PAGEREF _Toc75013287 \h </w:instrText>
      </w:r>
      <w:r>
        <w:fldChar w:fldCharType="separate"/>
      </w:r>
      <w:r>
        <w:t>10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"_Toc75013288" </w:instrText>
      </w:r>
      <w:r>
        <w:fldChar w:fldCharType="separate"/>
      </w:r>
      <w:r>
        <w:rPr>
          <w:rStyle w:val="98"/>
          <w:rFonts w:hint="eastAsia"/>
        </w:rPr>
        <w:t>第28条</w:t>
      </w:r>
      <w:r>
        <w:rPr>
          <w:rFonts w:asciiTheme="minorHAnsi" w:hAnsiTheme="minorHAnsi" w:eastAsiaTheme="minorEastAsia" w:cstheme="minorBidi"/>
          <w:iCs w:val="0"/>
          <w:sz w:val="21"/>
          <w:szCs w:val="22"/>
        </w:rPr>
        <w:tab/>
      </w:r>
      <w:r>
        <w:rPr>
          <w:rStyle w:val="98"/>
          <w:rFonts w:hint="eastAsia"/>
        </w:rPr>
        <w:t>环境现状评估结论</w:t>
      </w:r>
      <w:r>
        <w:tab/>
      </w:r>
      <w:r>
        <w:fldChar w:fldCharType="begin"/>
      </w:r>
      <w:r>
        <w:instrText xml:space="preserve"> PAGEREF _Toc75013288 \h </w:instrText>
      </w:r>
      <w:r>
        <w:fldChar w:fldCharType="separate"/>
      </w:r>
      <w:r>
        <w:t>10</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"_Toc75013289" </w:instrText>
      </w:r>
      <w:r>
        <w:fldChar w:fldCharType="separate"/>
      </w:r>
      <w:r>
        <w:rPr>
          <w:rStyle w:val="98"/>
          <w:rFonts w:hint="eastAsia" w:ascii="Times New Roman" w:hAnsi="Times New Roman"/>
          <w14:scene3d>
            <w14:lightRig w14:rig="threePt" w14:dir="t">
              <w14:rot w14:lat="0" w14:lon="0" w14:rev="0"/>
            </w14:lightRig>
          </w14:scene3d>
        </w:rPr>
        <w:t>第三节</w:t>
      </w:r>
      <w:r>
        <w:rPr>
          <w:rFonts w:asciiTheme="minorHAnsi" w:hAnsiTheme="minorHAnsi" w:eastAsiaTheme="minorEastAsia" w:cstheme="minorBidi"/>
          <w:smallCaps w:val="0"/>
          <w:sz w:val="21"/>
          <w:szCs w:val="22"/>
        </w:rPr>
        <w:tab/>
      </w:r>
      <w:r>
        <w:rPr>
          <w:rStyle w:val="98"/>
          <w:rFonts w:hint="eastAsia"/>
        </w:rPr>
        <w:t>大鹏所城展示利用现状评估</w:t>
      </w:r>
      <w:r>
        <w:tab/>
      </w:r>
      <w:r>
        <w:fldChar w:fldCharType="begin"/>
      </w:r>
      <w:r>
        <w:instrText xml:space="preserve"> PAGEREF _Toc75013289 \h </w:instrText>
      </w:r>
      <w:r>
        <w:fldChar w:fldCharType="separate"/>
      </w:r>
      <w:r>
        <w:t>10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"_Toc75013290" </w:instrText>
      </w:r>
      <w:r>
        <w:fldChar w:fldCharType="separate"/>
      </w:r>
      <w:r>
        <w:rPr>
          <w:rStyle w:val="98"/>
          <w:rFonts w:hint="eastAsia"/>
        </w:rPr>
        <w:t>第29条</w:t>
      </w:r>
      <w:r>
        <w:rPr>
          <w:rFonts w:asciiTheme="minorHAnsi" w:hAnsiTheme="minorHAnsi" w:eastAsiaTheme="minorEastAsia" w:cstheme="minorBidi"/>
          <w:iCs w:val="0"/>
          <w:sz w:val="21"/>
          <w:szCs w:val="22"/>
        </w:rPr>
        <w:tab/>
      </w:r>
      <w:r>
        <w:rPr>
          <w:rStyle w:val="98"/>
          <w:rFonts w:hint="eastAsia"/>
        </w:rPr>
        <w:t>展示现状</w:t>
      </w:r>
      <w:r>
        <w:tab/>
      </w:r>
      <w:r>
        <w:fldChar w:fldCharType="begin"/>
      </w:r>
      <w:r>
        <w:instrText xml:space="preserve"> PAGEREF _Toc75013290 \h </w:instrText>
      </w:r>
      <w:r>
        <w:fldChar w:fldCharType="separate"/>
      </w:r>
      <w:r>
        <w:t>10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"_Toc75013291" </w:instrText>
      </w:r>
      <w:r>
        <w:fldChar w:fldCharType="separate"/>
      </w:r>
      <w:r>
        <w:rPr>
          <w:rStyle w:val="98"/>
          <w:rFonts w:hint="eastAsia"/>
        </w:rPr>
        <w:t>第30条</w:t>
      </w:r>
      <w:r>
        <w:rPr>
          <w:rFonts w:asciiTheme="minorHAnsi" w:hAnsiTheme="minorHAnsi" w:eastAsiaTheme="minorEastAsia" w:cstheme="minorBidi"/>
          <w:iCs w:val="0"/>
          <w:sz w:val="21"/>
          <w:szCs w:val="22"/>
        </w:rPr>
        <w:tab/>
      </w:r>
      <w:r>
        <w:rPr>
          <w:rStyle w:val="98"/>
          <w:rFonts w:hint="eastAsia"/>
        </w:rPr>
        <w:t>旅游现状评估</w:t>
      </w:r>
      <w:r>
        <w:tab/>
      </w:r>
      <w:r>
        <w:fldChar w:fldCharType="begin"/>
      </w:r>
      <w:r>
        <w:instrText xml:space="preserve"> PAGEREF _Toc75013291 \h </w:instrText>
      </w:r>
      <w:r>
        <w:fldChar w:fldCharType="separate"/>
      </w:r>
      <w:r>
        <w:t>11</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"_Toc75013292" </w:instrText>
      </w:r>
      <w:r>
        <w:fldChar w:fldCharType="separate"/>
      </w:r>
      <w:r>
        <w:rPr>
          <w:rStyle w:val="98"/>
          <w:rFonts w:hint="eastAsia"/>
        </w:rPr>
        <w:t>第31条</w:t>
      </w:r>
      <w:r>
        <w:rPr>
          <w:rFonts w:asciiTheme="minorHAnsi" w:hAnsiTheme="minorHAnsi" w:eastAsiaTheme="minorEastAsia" w:cstheme="minorBidi"/>
          <w:iCs w:val="0"/>
          <w:sz w:val="21"/>
          <w:szCs w:val="22"/>
        </w:rPr>
        <w:tab/>
      </w:r>
      <w:r>
        <w:rPr>
          <w:rStyle w:val="98"/>
          <w:rFonts w:hint="eastAsia"/>
        </w:rPr>
        <w:t>展示利用评估结论</w:t>
      </w:r>
      <w:r>
        <w:tab/>
      </w:r>
      <w:r>
        <w:fldChar w:fldCharType="begin"/>
      </w:r>
      <w:r>
        <w:instrText xml:space="preserve"> PAGEREF _Toc75013292 \h </w:instrText>
      </w:r>
      <w:r>
        <w:fldChar w:fldCharType="separate"/>
      </w:r>
      <w:r>
        <w:t>11</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"_Toc75013293" </w:instrText>
      </w:r>
      <w:r>
        <w:fldChar w:fldCharType="separate"/>
      </w:r>
      <w:r>
        <w:rPr>
          <w:rStyle w:val="98"/>
          <w:rFonts w:hint="eastAsia" w:ascii="Times New Roman" w:hAnsi="Times New Roman"/>
          <w14:scene3d>
            <w14:lightRig w14:rig="threePt" w14:dir="t">
              <w14:rot w14:lat="0" w14:lon="0" w14:rev="0"/>
            </w14:lightRig>
          </w14:scene3d>
        </w:rPr>
        <w:t>第四节</w:t>
      </w:r>
      <w:r>
        <w:rPr>
          <w:rFonts w:asciiTheme="minorHAnsi" w:hAnsiTheme="minorHAnsi" w:eastAsiaTheme="minorEastAsia" w:cstheme="minorBidi"/>
          <w:smallCaps w:val="0"/>
          <w:sz w:val="21"/>
          <w:szCs w:val="22"/>
        </w:rPr>
        <w:tab/>
      </w:r>
      <w:r>
        <w:rPr>
          <w:rStyle w:val="98"/>
          <w:rFonts w:hint="eastAsia"/>
        </w:rPr>
        <w:t>管理现状评估</w:t>
      </w:r>
      <w:r>
        <w:tab/>
      </w:r>
      <w:r>
        <w:fldChar w:fldCharType="begin"/>
      </w:r>
      <w:r>
        <w:instrText xml:space="preserve"> PAGEREF _Toc75013293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"_Toc75013294" </w:instrText>
      </w:r>
      <w:r>
        <w:fldChar w:fldCharType="separate"/>
      </w:r>
      <w:r>
        <w:rPr>
          <w:rStyle w:val="98"/>
          <w:rFonts w:hint="eastAsia"/>
        </w:rPr>
        <w:t>第32条</w:t>
      </w:r>
      <w:r>
        <w:rPr>
          <w:rFonts w:asciiTheme="minorHAnsi" w:hAnsiTheme="minorHAnsi" w:eastAsiaTheme="minorEastAsia" w:cstheme="minorBidi"/>
          <w:iCs w:val="0"/>
          <w:sz w:val="21"/>
          <w:szCs w:val="22"/>
        </w:rPr>
        <w:tab/>
      </w:r>
      <w:r>
        <w:rPr>
          <w:rStyle w:val="98"/>
          <w:rFonts w:hint="eastAsia"/>
        </w:rPr>
        <w:t>“四有”档案</w:t>
      </w:r>
      <w:r>
        <w:tab/>
      </w:r>
      <w:r>
        <w:fldChar w:fldCharType="begin"/>
      </w:r>
      <w:r>
        <w:instrText xml:space="preserve"> PAGEREF _Toc75013294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"_Toc75013295" </w:instrText>
      </w:r>
      <w:r>
        <w:fldChar w:fldCharType="separate"/>
      </w:r>
      <w:r>
        <w:rPr>
          <w:rStyle w:val="98"/>
          <w:rFonts w:hint="eastAsia"/>
        </w:rPr>
        <w:t>第33条</w:t>
      </w:r>
      <w:r>
        <w:rPr>
          <w:rFonts w:asciiTheme="minorHAnsi" w:hAnsiTheme="minorHAnsi" w:eastAsiaTheme="minorEastAsia" w:cstheme="minorBidi"/>
          <w:iCs w:val="0"/>
          <w:sz w:val="21"/>
          <w:szCs w:val="22"/>
        </w:rPr>
        <w:tab/>
      </w:r>
      <w:r>
        <w:rPr>
          <w:rStyle w:val="98"/>
          <w:rFonts w:hint="eastAsia"/>
        </w:rPr>
        <w:t>管理机构</w:t>
      </w:r>
      <w:r>
        <w:tab/>
      </w:r>
      <w:r>
        <w:fldChar w:fldCharType="begin"/>
      </w:r>
      <w:r>
        <w:instrText xml:space="preserve"> PAGEREF _Toc75013295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"_Toc75013296" </w:instrText>
      </w:r>
      <w:r>
        <w:fldChar w:fldCharType="separate"/>
      </w:r>
      <w:r>
        <w:rPr>
          <w:rStyle w:val="98"/>
          <w:rFonts w:hint="eastAsia"/>
        </w:rPr>
        <w:t>第34条</w:t>
      </w:r>
      <w:r>
        <w:rPr>
          <w:rFonts w:asciiTheme="minorHAnsi" w:hAnsiTheme="minorHAnsi" w:eastAsiaTheme="minorEastAsia" w:cstheme="minorBidi"/>
          <w:iCs w:val="0"/>
          <w:sz w:val="21"/>
          <w:szCs w:val="22"/>
        </w:rPr>
        <w:tab/>
      </w:r>
      <w:r>
        <w:rPr>
          <w:rStyle w:val="98"/>
          <w:rFonts w:hint="eastAsia"/>
        </w:rPr>
        <w:t>原规划实施情况评估</w:t>
      </w:r>
      <w:r>
        <w:tab/>
      </w:r>
      <w:r>
        <w:fldChar w:fldCharType="begin"/>
      </w:r>
      <w:r>
        <w:instrText xml:space="preserve"> PAGEREF _Toc75013296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"_Toc75013297" </w:instrText>
      </w:r>
      <w:r>
        <w:fldChar w:fldCharType="separate"/>
      </w:r>
      <w:r>
        <w:rPr>
          <w:rStyle w:val="98"/>
          <w:rFonts w:hint="eastAsia"/>
        </w:rPr>
        <w:t>第35条</w:t>
      </w:r>
      <w:r>
        <w:rPr>
          <w:rFonts w:asciiTheme="minorHAnsi" w:hAnsiTheme="minorHAnsi" w:eastAsiaTheme="minorEastAsia" w:cstheme="minorBidi"/>
          <w:iCs w:val="0"/>
          <w:sz w:val="21"/>
          <w:szCs w:val="22"/>
        </w:rPr>
        <w:tab/>
      </w:r>
      <w:r>
        <w:rPr>
          <w:rStyle w:val="98"/>
          <w:rFonts w:hint="eastAsia"/>
        </w:rPr>
        <w:t>现行保护区划及管理规定评估</w:t>
      </w:r>
      <w:r>
        <w:tab/>
      </w:r>
      <w:r>
        <w:fldChar w:fldCharType="begin"/>
      </w:r>
      <w:r>
        <w:instrText xml:space="preserve"> PAGEREF _Toc75013297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"_Toc75013298" </w:instrText>
      </w:r>
      <w:r>
        <w:fldChar w:fldCharType="separate"/>
      </w:r>
      <w:r>
        <w:rPr>
          <w:rStyle w:val="98"/>
          <w:rFonts w:hint="eastAsia"/>
        </w:rPr>
        <w:t>第36条</w:t>
      </w:r>
      <w:r>
        <w:rPr>
          <w:rFonts w:asciiTheme="minorHAnsi" w:hAnsiTheme="minorHAnsi" w:eastAsiaTheme="minorEastAsia" w:cstheme="minorBidi"/>
          <w:iCs w:val="0"/>
          <w:sz w:val="21"/>
          <w:szCs w:val="22"/>
        </w:rPr>
        <w:tab/>
      </w:r>
      <w:r>
        <w:rPr>
          <w:rStyle w:val="98"/>
          <w:rFonts w:hint="eastAsia"/>
        </w:rPr>
        <w:t>保护标志</w:t>
      </w:r>
      <w:r>
        <w:tab/>
      </w:r>
      <w:r>
        <w:fldChar w:fldCharType="begin"/>
      </w:r>
      <w:r>
        <w:instrText xml:space="preserve"> PAGEREF _Toc75013298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"_Toc75013299" </w:instrText>
      </w:r>
      <w:r>
        <w:fldChar w:fldCharType="separate"/>
      </w:r>
      <w:r>
        <w:rPr>
          <w:rStyle w:val="98"/>
          <w:rFonts w:hint="eastAsia"/>
        </w:rPr>
        <w:t>第37条</w:t>
      </w:r>
      <w:r>
        <w:rPr>
          <w:rFonts w:asciiTheme="minorHAnsi" w:hAnsiTheme="minorHAnsi" w:eastAsiaTheme="minorEastAsia" w:cstheme="minorBidi"/>
          <w:iCs w:val="0"/>
          <w:sz w:val="21"/>
          <w:szCs w:val="22"/>
        </w:rPr>
        <w:tab/>
      </w:r>
      <w:r>
        <w:rPr>
          <w:rStyle w:val="98"/>
          <w:rFonts w:hint="eastAsia"/>
        </w:rPr>
        <w:t>管理制度</w:t>
      </w:r>
      <w:r>
        <w:tab/>
      </w:r>
      <w:r>
        <w:fldChar w:fldCharType="begin"/>
      </w:r>
      <w:r>
        <w:instrText xml:space="preserve"> PAGEREF _Toc75013299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"_Toc75013300" </w:instrText>
      </w:r>
      <w:r>
        <w:fldChar w:fldCharType="separate"/>
      </w:r>
      <w:r>
        <w:rPr>
          <w:rStyle w:val="98"/>
          <w:rFonts w:hint="eastAsia"/>
        </w:rPr>
        <w:t>第38条</w:t>
      </w:r>
      <w:r>
        <w:rPr>
          <w:rFonts w:asciiTheme="minorHAnsi" w:hAnsiTheme="minorHAnsi" w:eastAsiaTheme="minorEastAsia" w:cstheme="minorBidi"/>
          <w:iCs w:val="0"/>
          <w:sz w:val="21"/>
          <w:szCs w:val="22"/>
        </w:rPr>
        <w:tab/>
      </w:r>
      <w:r>
        <w:rPr>
          <w:rStyle w:val="98"/>
          <w:rFonts w:hint="eastAsia"/>
        </w:rPr>
        <w:t>管理用房</w:t>
      </w:r>
      <w:r>
        <w:tab/>
      </w:r>
      <w:r>
        <w:fldChar w:fldCharType="begin"/>
      </w:r>
      <w:r>
        <w:instrText xml:space="preserve"> PAGEREF _Toc75013300 \h </w:instrText>
      </w:r>
      <w:r>
        <w:fldChar w:fldCharType="separate"/>
      </w:r>
      <w:r>
        <w:t>12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"_Toc75013301" </w:instrText>
      </w:r>
      <w:r>
        <w:fldChar w:fldCharType="separate"/>
      </w:r>
      <w:r>
        <w:rPr>
          <w:rStyle w:val="98"/>
          <w:rFonts w:hint="eastAsia"/>
        </w:rPr>
        <w:t>第39条</w:t>
      </w:r>
      <w:r>
        <w:rPr>
          <w:rFonts w:asciiTheme="minorHAnsi" w:hAnsiTheme="minorHAnsi" w:eastAsiaTheme="minorEastAsia" w:cstheme="minorBidi"/>
          <w:iCs w:val="0"/>
          <w:sz w:val="21"/>
          <w:szCs w:val="22"/>
        </w:rPr>
        <w:tab/>
      </w:r>
      <w:r>
        <w:rPr>
          <w:rStyle w:val="98"/>
          <w:rFonts w:hint="eastAsia"/>
        </w:rPr>
        <w:t>产权情况</w:t>
      </w:r>
      <w:r>
        <w:tab/>
      </w:r>
      <w:r>
        <w:fldChar w:fldCharType="begin"/>
      </w:r>
      <w:r>
        <w:instrText xml:space="preserve"> PAGEREF _Toc75013301 \h </w:instrText>
      </w:r>
      <w:r>
        <w:fldChar w:fldCharType="separate"/>
      </w:r>
      <w:r>
        <w:t>13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"_Toc75013302" </w:instrText>
      </w:r>
      <w:r>
        <w:fldChar w:fldCharType="separate"/>
      </w:r>
      <w:r>
        <w:rPr>
          <w:rStyle w:val="98"/>
          <w:rFonts w:hint="eastAsia"/>
        </w:rPr>
        <w:t>第40条</w:t>
      </w:r>
      <w:r>
        <w:rPr>
          <w:rFonts w:asciiTheme="minorHAnsi" w:hAnsiTheme="minorHAnsi" w:eastAsiaTheme="minorEastAsia" w:cstheme="minorBidi"/>
          <w:iCs w:val="0"/>
          <w:sz w:val="21"/>
          <w:szCs w:val="22"/>
        </w:rPr>
        <w:tab/>
      </w:r>
      <w:r>
        <w:rPr>
          <w:rStyle w:val="98"/>
          <w:rFonts w:hint="eastAsia"/>
        </w:rPr>
        <w:t>管理现状评估结论</w:t>
      </w:r>
      <w:r>
        <w:tab/>
      </w:r>
      <w:r>
        <w:fldChar w:fldCharType="begin"/>
      </w:r>
      <w:r>
        <w:instrText xml:space="preserve"> PAGEREF _Toc75013302 \h </w:instrText>
      </w:r>
      <w:r>
        <w:fldChar w:fldCharType="separate"/>
      </w:r>
      <w:r>
        <w:t>13</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"_Toc75013303" </w:instrText>
      </w:r>
      <w:r>
        <w:fldChar w:fldCharType="separate"/>
      </w:r>
      <w:r>
        <w:rPr>
          <w:rStyle w:val="98"/>
          <w:rFonts w:hint="eastAsia" w:ascii="Times New Roman" w:hAnsi="Times New Roman"/>
          <w14:scene3d>
            <w14:lightRig w14:rig="threePt" w14:dir="t">
              <w14:rot w14:lat="0" w14:lon="0" w14:rev="0"/>
            </w14:lightRig>
          </w14:scene3d>
        </w:rPr>
        <w:t>第五节</w:t>
      </w:r>
      <w:r>
        <w:rPr>
          <w:rFonts w:asciiTheme="minorHAnsi" w:hAnsiTheme="minorHAnsi" w:eastAsiaTheme="minorEastAsia" w:cstheme="minorBidi"/>
          <w:smallCaps w:val="0"/>
          <w:sz w:val="21"/>
          <w:szCs w:val="22"/>
        </w:rPr>
        <w:tab/>
      </w:r>
      <w:r>
        <w:rPr>
          <w:rStyle w:val="98"/>
          <w:rFonts w:hint="eastAsia"/>
        </w:rPr>
        <w:t>考古研究现状评估</w:t>
      </w:r>
      <w:r>
        <w:tab/>
      </w:r>
      <w:r>
        <w:fldChar w:fldCharType="begin"/>
      </w:r>
      <w:r>
        <w:instrText xml:space="preserve"> PAGEREF _Toc75013303 \h </w:instrText>
      </w:r>
      <w:r>
        <w:fldChar w:fldCharType="separate"/>
      </w:r>
      <w:r>
        <w:t>13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"_Toc75013304" </w:instrText>
      </w:r>
      <w:r>
        <w:fldChar w:fldCharType="separate"/>
      </w:r>
      <w:r>
        <w:rPr>
          <w:rStyle w:val="98"/>
          <w:rFonts w:hint="eastAsia"/>
        </w:rPr>
        <w:t>第41条</w:t>
      </w:r>
      <w:r>
        <w:rPr>
          <w:rFonts w:asciiTheme="minorHAnsi" w:hAnsiTheme="minorHAnsi" w:eastAsiaTheme="minorEastAsia" w:cstheme="minorBidi"/>
          <w:iCs w:val="0"/>
          <w:sz w:val="21"/>
          <w:szCs w:val="22"/>
        </w:rPr>
        <w:tab/>
      </w:r>
      <w:r>
        <w:rPr>
          <w:rStyle w:val="98"/>
          <w:rFonts w:hint="eastAsia"/>
        </w:rPr>
        <w:t>考古现状</w:t>
      </w:r>
      <w:r>
        <w:tab/>
      </w:r>
      <w:r>
        <w:fldChar w:fldCharType="begin"/>
      </w:r>
      <w:r>
        <w:instrText xml:space="preserve"> PAGEREF _Toc75013304 \h </w:instrText>
      </w:r>
      <w:r>
        <w:fldChar w:fldCharType="separate"/>
      </w:r>
      <w:r>
        <w:t>13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"_Toc75013305" </w:instrText>
      </w:r>
      <w:r>
        <w:fldChar w:fldCharType="separate"/>
      </w:r>
      <w:r>
        <w:rPr>
          <w:rStyle w:val="98"/>
          <w:rFonts w:hint="eastAsia"/>
        </w:rPr>
        <w:t>第42条</w:t>
      </w:r>
      <w:r>
        <w:rPr>
          <w:rFonts w:asciiTheme="minorHAnsi" w:hAnsiTheme="minorHAnsi" w:eastAsiaTheme="minorEastAsia" w:cstheme="minorBidi"/>
          <w:iCs w:val="0"/>
          <w:sz w:val="21"/>
          <w:szCs w:val="22"/>
        </w:rPr>
        <w:tab/>
      </w:r>
      <w:r>
        <w:rPr>
          <w:rStyle w:val="98"/>
          <w:rFonts w:hint="eastAsia"/>
        </w:rPr>
        <w:t>考古成果</w:t>
      </w:r>
      <w:r>
        <w:tab/>
      </w:r>
      <w:r>
        <w:fldChar w:fldCharType="begin"/>
      </w:r>
      <w:r>
        <w:instrText xml:space="preserve"> PAGEREF _Toc75013305 \h </w:instrText>
      </w:r>
      <w:r>
        <w:fldChar w:fldCharType="separate"/>
      </w:r>
      <w:r>
        <w:t>13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"_Toc75013306" </w:instrText>
      </w:r>
      <w:r>
        <w:fldChar w:fldCharType="separate"/>
      </w:r>
      <w:r>
        <w:rPr>
          <w:rStyle w:val="98"/>
          <w:rFonts w:hint="eastAsia"/>
        </w:rPr>
        <w:t>第43条</w:t>
      </w:r>
      <w:r>
        <w:rPr>
          <w:rFonts w:asciiTheme="minorHAnsi" w:hAnsiTheme="minorHAnsi" w:eastAsiaTheme="minorEastAsia" w:cstheme="minorBidi"/>
          <w:iCs w:val="0"/>
          <w:sz w:val="21"/>
          <w:szCs w:val="22"/>
        </w:rPr>
        <w:tab/>
      </w:r>
      <w:r>
        <w:rPr>
          <w:rStyle w:val="98"/>
          <w:rFonts w:hint="eastAsia"/>
        </w:rPr>
        <w:t>其他相关研究</w:t>
      </w:r>
      <w:r>
        <w:tab/>
      </w:r>
      <w:r>
        <w:fldChar w:fldCharType="begin"/>
      </w:r>
      <w:r>
        <w:instrText xml:space="preserve"> PAGEREF _Toc75013306 \h </w:instrText>
      </w:r>
      <w:r>
        <w:fldChar w:fldCharType="separate"/>
      </w:r>
      <w:r>
        <w:t>13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"_Toc75013307" </w:instrText>
      </w:r>
      <w:r>
        <w:fldChar w:fldCharType="separate"/>
      </w:r>
      <w:r>
        <w:rPr>
          <w:rStyle w:val="98"/>
          <w:rFonts w:hint="eastAsia"/>
        </w:rPr>
        <w:t>第44条</w:t>
      </w:r>
      <w:r>
        <w:rPr>
          <w:rFonts w:asciiTheme="minorHAnsi" w:hAnsiTheme="minorHAnsi" w:eastAsiaTheme="minorEastAsia" w:cstheme="minorBidi"/>
          <w:iCs w:val="0"/>
          <w:sz w:val="21"/>
          <w:szCs w:val="22"/>
        </w:rPr>
        <w:tab/>
      </w:r>
      <w:r>
        <w:rPr>
          <w:rStyle w:val="98"/>
          <w:rFonts w:hint="eastAsia"/>
        </w:rPr>
        <w:t>评估结论</w:t>
      </w:r>
      <w:r>
        <w:tab/>
      </w:r>
      <w:r>
        <w:fldChar w:fldCharType="begin"/>
      </w:r>
      <w:r>
        <w:instrText xml:space="preserve"> PAGEREF _Toc75013307 \h </w:instrText>
      </w:r>
      <w:r>
        <w:fldChar w:fldCharType="separate"/>
      </w:r>
      <w:r>
        <w:t>14</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"_Toc75013308" </w:instrText>
      </w:r>
      <w:r>
        <w:fldChar w:fldCharType="separate"/>
      </w:r>
      <w:r>
        <w:rPr>
          <w:rStyle w:val="98"/>
          <w:rFonts w:hint="eastAsia" w:ascii="Times New Roman" w:hAnsi="Times New Roman"/>
          <w14:scene3d>
            <w14:lightRig w14:rig="threePt" w14:dir="t">
              <w14:rot w14:lat="0" w14:lon="0" w14:rev="0"/>
            </w14:lightRig>
          </w14:scene3d>
        </w:rPr>
        <w:t>第六节</w:t>
      </w:r>
      <w:r>
        <w:rPr>
          <w:rFonts w:asciiTheme="minorHAnsi" w:hAnsiTheme="minorHAnsi" w:eastAsiaTheme="minorEastAsia" w:cstheme="minorBidi"/>
          <w:smallCaps w:val="0"/>
          <w:sz w:val="21"/>
          <w:szCs w:val="22"/>
        </w:rPr>
        <w:tab/>
      </w:r>
      <w:r>
        <w:rPr>
          <w:rStyle w:val="98"/>
          <w:rFonts w:hint="eastAsia"/>
        </w:rPr>
        <w:t>小结</w:t>
      </w:r>
      <w:r>
        <w:tab/>
      </w:r>
      <w:r>
        <w:fldChar w:fldCharType="begin"/>
      </w:r>
      <w:r>
        <w:instrText xml:space="preserve"> PAGEREF _Toc75013308 \h </w:instrText>
      </w:r>
      <w:r>
        <w:fldChar w:fldCharType="separate"/>
      </w:r>
      <w:r>
        <w:t>14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"_Toc75013309" </w:instrText>
      </w:r>
      <w:r>
        <w:fldChar w:fldCharType="separate"/>
      </w:r>
      <w:r>
        <w:rPr>
          <w:rStyle w:val="98"/>
          <w:rFonts w:hint="eastAsia"/>
        </w:rPr>
        <w:t>第45条</w:t>
      </w:r>
      <w:r>
        <w:rPr>
          <w:rFonts w:asciiTheme="minorHAnsi" w:hAnsiTheme="minorHAnsi" w:eastAsiaTheme="minorEastAsia" w:cstheme="minorBidi"/>
          <w:iCs w:val="0"/>
          <w:sz w:val="21"/>
          <w:szCs w:val="22"/>
        </w:rPr>
        <w:tab/>
      </w:r>
      <w:r>
        <w:rPr>
          <w:rStyle w:val="98"/>
          <w:rFonts w:hint="eastAsia"/>
        </w:rPr>
        <w:t>现状主要问题</w:t>
      </w:r>
      <w:r>
        <w:tab/>
      </w:r>
      <w:r>
        <w:fldChar w:fldCharType="begin"/>
      </w:r>
      <w:r>
        <w:instrText xml:space="preserve"> PAGEREF _Toc75013309 \h </w:instrText>
      </w:r>
      <w:r>
        <w:fldChar w:fldCharType="separate"/>
      </w:r>
      <w:r>
        <w:t>14</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"_Toc75013310" </w:instrText>
      </w:r>
      <w:r>
        <w:fldChar w:fldCharType="separate"/>
      </w:r>
      <w:r>
        <w:rPr>
          <w:rStyle w:val="98"/>
          <w:rFonts w:hint="eastAsia"/>
        </w:rPr>
        <w:t>第六章</w:t>
      </w:r>
      <w:r>
        <w:rPr>
          <w:rFonts w:asciiTheme="minorHAnsi" w:hAnsiTheme="minorHAnsi" w:eastAsiaTheme="minorEastAsia" w:cstheme="minorBidi"/>
          <w:bCs w:val="0"/>
          <w:caps w:val="0"/>
          <w:sz w:val="21"/>
          <w:szCs w:val="22"/>
        </w:rPr>
        <w:tab/>
      </w:r>
      <w:r>
        <w:rPr>
          <w:rStyle w:val="98"/>
          <w:rFonts w:hint="eastAsia"/>
        </w:rPr>
        <w:t>规划原则、目标与基本策略</w:t>
      </w:r>
      <w:r>
        <w:tab/>
      </w:r>
      <w:r>
        <w:fldChar w:fldCharType="begin"/>
      </w:r>
      <w:r>
        <w:instrText xml:space="preserve"> PAGEREF _Toc75013310 \h </w:instrText>
      </w:r>
      <w:r>
        <w:fldChar w:fldCharType="separate"/>
      </w:r>
      <w:r>
        <w:t>14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"_Toc75013311" </w:instrText>
      </w:r>
      <w:r>
        <w:fldChar w:fldCharType="separate"/>
      </w:r>
      <w:r>
        <w:rPr>
          <w:rStyle w:val="98"/>
          <w:rFonts w:hint="eastAsia"/>
        </w:rPr>
        <w:t>第46条</w:t>
      </w:r>
      <w:r>
        <w:rPr>
          <w:rFonts w:asciiTheme="minorHAnsi" w:hAnsiTheme="minorHAnsi" w:eastAsiaTheme="minorEastAsia" w:cstheme="minorBidi"/>
          <w:iCs w:val="0"/>
          <w:sz w:val="21"/>
          <w:szCs w:val="22"/>
        </w:rPr>
        <w:tab/>
      </w:r>
      <w:r>
        <w:rPr>
          <w:rStyle w:val="98"/>
          <w:rFonts w:hint="eastAsia"/>
        </w:rPr>
        <w:t>规划原则</w:t>
      </w:r>
      <w:r>
        <w:tab/>
      </w:r>
      <w:r>
        <w:fldChar w:fldCharType="begin"/>
      </w:r>
      <w:r>
        <w:instrText xml:space="preserve"> PAGEREF _Toc75013311 \h </w:instrText>
      </w:r>
      <w:r>
        <w:fldChar w:fldCharType="separate"/>
      </w:r>
      <w:r>
        <w:t>14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"_Toc75013312" </w:instrText>
      </w:r>
      <w:r>
        <w:fldChar w:fldCharType="separate"/>
      </w:r>
      <w:r>
        <w:rPr>
          <w:rStyle w:val="98"/>
          <w:rFonts w:hint="eastAsia"/>
        </w:rPr>
        <w:t>第47条</w:t>
      </w:r>
      <w:r>
        <w:rPr>
          <w:rFonts w:asciiTheme="minorHAnsi" w:hAnsiTheme="minorHAnsi" w:eastAsiaTheme="minorEastAsia" w:cstheme="minorBidi"/>
          <w:iCs w:val="0"/>
          <w:sz w:val="21"/>
          <w:szCs w:val="22"/>
        </w:rPr>
        <w:tab/>
      </w:r>
      <w:r>
        <w:rPr>
          <w:rStyle w:val="98"/>
          <w:rFonts w:hint="eastAsia"/>
        </w:rPr>
        <w:t>规划目标</w:t>
      </w:r>
      <w:r>
        <w:tab/>
      </w:r>
      <w:r>
        <w:fldChar w:fldCharType="begin"/>
      </w:r>
      <w:r>
        <w:instrText xml:space="preserve"> PAGEREF _Toc75013312 \h </w:instrText>
      </w:r>
      <w:r>
        <w:fldChar w:fldCharType="separate"/>
      </w:r>
      <w:r>
        <w:t>14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"_Toc75013313" </w:instrText>
      </w:r>
      <w:r>
        <w:fldChar w:fldCharType="separate"/>
      </w:r>
      <w:r>
        <w:rPr>
          <w:rStyle w:val="98"/>
          <w:rFonts w:hint="eastAsia"/>
        </w:rPr>
        <w:t>第48条</w:t>
      </w:r>
      <w:r>
        <w:rPr>
          <w:rFonts w:asciiTheme="minorHAnsi" w:hAnsiTheme="minorHAnsi" w:eastAsiaTheme="minorEastAsia" w:cstheme="minorBidi"/>
          <w:iCs w:val="0"/>
          <w:sz w:val="21"/>
          <w:szCs w:val="22"/>
        </w:rPr>
        <w:tab/>
      </w:r>
      <w:r>
        <w:rPr>
          <w:rStyle w:val="98"/>
          <w:rFonts w:hint="eastAsia"/>
        </w:rPr>
        <w:t>规划基本策略</w:t>
      </w:r>
      <w:r>
        <w:tab/>
      </w:r>
      <w:r>
        <w:fldChar w:fldCharType="begin"/>
      </w:r>
      <w:r>
        <w:instrText xml:space="preserve"> PAGEREF _Toc75013313 \h </w:instrText>
      </w:r>
      <w:r>
        <w:fldChar w:fldCharType="separate"/>
      </w:r>
      <w:r>
        <w:t>14</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"_Toc75013314" </w:instrText>
      </w:r>
      <w:r>
        <w:fldChar w:fldCharType="separate"/>
      </w:r>
      <w:r>
        <w:rPr>
          <w:rStyle w:val="98"/>
          <w:rFonts w:hint="eastAsia"/>
        </w:rPr>
        <w:t>第七章</w:t>
      </w:r>
      <w:r>
        <w:rPr>
          <w:rFonts w:asciiTheme="minorHAnsi" w:hAnsiTheme="minorHAnsi" w:eastAsiaTheme="minorEastAsia" w:cstheme="minorBidi"/>
          <w:bCs w:val="0"/>
          <w:caps w:val="0"/>
          <w:sz w:val="21"/>
          <w:szCs w:val="22"/>
        </w:rPr>
        <w:tab/>
      </w:r>
      <w:r>
        <w:rPr>
          <w:rStyle w:val="98"/>
          <w:rFonts w:hint="eastAsia"/>
        </w:rPr>
        <w:t>保护区划</w:t>
      </w:r>
      <w:r>
        <w:tab/>
      </w:r>
      <w:r>
        <w:fldChar w:fldCharType="begin"/>
      </w:r>
      <w:r>
        <w:instrText xml:space="preserve"> PAGEREF _Toc75013314 \h </w:instrText>
      </w:r>
      <w:r>
        <w:fldChar w:fldCharType="separate"/>
      </w:r>
      <w:r>
        <w:t>15</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"_Toc75013315" </w:instrText>
      </w:r>
      <w:r>
        <w:fldChar w:fldCharType="separate"/>
      </w:r>
      <w:r>
        <w:rPr>
          <w:rStyle w:val="98"/>
          <w:rFonts w:hint="eastAsia" w:ascii="Times New Roman" w:hAnsi="Times New Roman"/>
          <w14:scene3d>
            <w14:lightRig w14:rig="threePt" w14:dir="t">
              <w14:rot w14:lat="0" w14:lon="0" w14:rev="0"/>
            </w14:lightRig>
          </w14:scene3d>
        </w:rPr>
        <w:t>第一节</w:t>
      </w:r>
      <w:r>
        <w:rPr>
          <w:rFonts w:asciiTheme="minorHAnsi" w:hAnsiTheme="minorHAnsi" w:eastAsiaTheme="minorEastAsia" w:cstheme="minorBidi"/>
          <w:smallCaps w:val="0"/>
          <w:sz w:val="21"/>
          <w:szCs w:val="22"/>
        </w:rPr>
        <w:tab/>
      </w:r>
      <w:r>
        <w:rPr>
          <w:rStyle w:val="98"/>
          <w:rFonts w:hint="eastAsia"/>
        </w:rPr>
        <w:t>保护区划</w:t>
      </w:r>
      <w:r>
        <w:tab/>
      </w:r>
      <w:r>
        <w:fldChar w:fldCharType="begin"/>
      </w:r>
      <w:r>
        <w:instrText xml:space="preserve"> PAGEREF _Toc75013315 \h </w:instrText>
      </w:r>
      <w:r>
        <w:fldChar w:fldCharType="separate"/>
      </w:r>
      <w:r>
        <w:t>15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"_Toc75013316" </w:instrText>
      </w:r>
      <w:r>
        <w:fldChar w:fldCharType="separate"/>
      </w:r>
      <w:r>
        <w:rPr>
          <w:rStyle w:val="98"/>
          <w:rFonts w:hint="eastAsia"/>
        </w:rPr>
        <w:t>第49条</w:t>
      </w:r>
      <w:r>
        <w:rPr>
          <w:rFonts w:asciiTheme="minorHAnsi" w:hAnsiTheme="minorHAnsi" w:eastAsiaTheme="minorEastAsia" w:cstheme="minorBidi"/>
          <w:iCs w:val="0"/>
          <w:sz w:val="21"/>
          <w:szCs w:val="22"/>
        </w:rPr>
        <w:tab/>
      </w:r>
      <w:r>
        <w:rPr>
          <w:rStyle w:val="98"/>
          <w:rFonts w:hint="eastAsia"/>
        </w:rPr>
        <w:t>保护区划调整背景</w:t>
      </w:r>
      <w:r>
        <w:tab/>
      </w:r>
      <w:r>
        <w:fldChar w:fldCharType="begin"/>
      </w:r>
      <w:r>
        <w:instrText xml:space="preserve"> PAGEREF _Toc75013316 \h </w:instrText>
      </w:r>
      <w:r>
        <w:fldChar w:fldCharType="separate"/>
      </w:r>
      <w:r>
        <w:t>15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"_Toc75013317" </w:instrText>
      </w:r>
      <w:r>
        <w:fldChar w:fldCharType="separate"/>
      </w:r>
      <w:r>
        <w:rPr>
          <w:rStyle w:val="98"/>
          <w:rFonts w:hint="eastAsia"/>
        </w:rPr>
        <w:t>第50条</w:t>
      </w:r>
      <w:r>
        <w:rPr>
          <w:rFonts w:asciiTheme="minorHAnsi" w:hAnsiTheme="minorHAnsi" w:eastAsiaTheme="minorEastAsia" w:cstheme="minorBidi"/>
          <w:iCs w:val="0"/>
          <w:sz w:val="21"/>
          <w:szCs w:val="22"/>
        </w:rPr>
        <w:tab/>
      </w:r>
      <w:r>
        <w:rPr>
          <w:rStyle w:val="98"/>
          <w:rFonts w:hint="eastAsia"/>
        </w:rPr>
        <w:t>区划调整的必要性</w:t>
      </w:r>
      <w:r>
        <w:tab/>
      </w:r>
      <w:r>
        <w:fldChar w:fldCharType="begin"/>
      </w:r>
      <w:r>
        <w:instrText xml:space="preserve"> PAGEREF _Toc75013317 \h </w:instrText>
      </w:r>
      <w:r>
        <w:fldChar w:fldCharType="separate"/>
      </w:r>
      <w:r>
        <w:t>15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"_Toc75013318" </w:instrText>
      </w:r>
      <w:r>
        <w:fldChar w:fldCharType="separate"/>
      </w:r>
      <w:r>
        <w:rPr>
          <w:rStyle w:val="98"/>
          <w:rFonts w:hint="eastAsia"/>
        </w:rPr>
        <w:t>第51条</w:t>
      </w:r>
      <w:r>
        <w:rPr>
          <w:rFonts w:asciiTheme="minorHAnsi" w:hAnsiTheme="minorHAnsi" w:eastAsiaTheme="minorEastAsia" w:cstheme="minorBidi"/>
          <w:iCs w:val="0"/>
          <w:sz w:val="21"/>
          <w:szCs w:val="22"/>
        </w:rPr>
        <w:tab/>
      </w:r>
      <w:r>
        <w:rPr>
          <w:rStyle w:val="98"/>
          <w:rFonts w:hint="eastAsia"/>
        </w:rPr>
        <w:t>区划调整策略</w:t>
      </w:r>
      <w:r>
        <w:tab/>
      </w:r>
      <w:r>
        <w:fldChar w:fldCharType="begin"/>
      </w:r>
      <w:r>
        <w:instrText xml:space="preserve"> PAGEREF _Toc75013318 \h </w:instrText>
      </w:r>
      <w:r>
        <w:fldChar w:fldCharType="separate"/>
      </w:r>
      <w:r>
        <w:t>15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"_Toc75013319" </w:instrText>
      </w:r>
      <w:r>
        <w:fldChar w:fldCharType="separate"/>
      </w:r>
      <w:r>
        <w:rPr>
          <w:rStyle w:val="98"/>
          <w:rFonts w:hint="eastAsia"/>
        </w:rPr>
        <w:t>第52条</w:t>
      </w:r>
      <w:r>
        <w:rPr>
          <w:rFonts w:asciiTheme="minorHAnsi" w:hAnsiTheme="minorHAnsi" w:eastAsiaTheme="minorEastAsia" w:cstheme="minorBidi"/>
          <w:iCs w:val="0"/>
          <w:sz w:val="21"/>
          <w:szCs w:val="22"/>
        </w:rPr>
        <w:tab/>
      </w:r>
      <w:r>
        <w:rPr>
          <w:rStyle w:val="98"/>
          <w:rFonts w:hint="eastAsia"/>
        </w:rPr>
        <w:t>保护区划调整</w:t>
      </w:r>
      <w:r>
        <w:tab/>
      </w:r>
      <w:r>
        <w:fldChar w:fldCharType="begin"/>
      </w:r>
      <w:r>
        <w:instrText xml:space="preserve"> PAGEREF _Toc75013319 \h </w:instrText>
      </w:r>
      <w:r>
        <w:fldChar w:fldCharType="separate"/>
      </w:r>
      <w:r>
        <w:t>15</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"_Toc75013320" </w:instrText>
      </w:r>
      <w:r>
        <w:fldChar w:fldCharType="separate"/>
      </w:r>
      <w:r>
        <w:rPr>
          <w:rStyle w:val="98"/>
          <w:rFonts w:hint="eastAsia" w:ascii="Times New Roman" w:hAnsi="Times New Roman"/>
          <w14:scene3d>
            <w14:lightRig w14:rig="threePt" w14:dir="t">
              <w14:rot w14:lat="0" w14:lon="0" w14:rev="0"/>
            </w14:lightRig>
          </w14:scene3d>
        </w:rPr>
        <w:t>第二节</w:t>
      </w:r>
      <w:r>
        <w:rPr>
          <w:rFonts w:asciiTheme="minorHAnsi" w:hAnsiTheme="minorHAnsi" w:eastAsiaTheme="minorEastAsia" w:cstheme="minorBidi"/>
          <w:smallCaps w:val="0"/>
          <w:sz w:val="21"/>
          <w:szCs w:val="22"/>
        </w:rPr>
        <w:tab/>
      </w:r>
      <w:r>
        <w:rPr>
          <w:rStyle w:val="98"/>
          <w:rFonts w:hint="eastAsia"/>
        </w:rPr>
        <w:t>管理规定</w:t>
      </w:r>
      <w:r>
        <w:tab/>
      </w:r>
      <w:r>
        <w:fldChar w:fldCharType="begin"/>
      </w:r>
      <w:r>
        <w:instrText xml:space="preserve"> PAGEREF _Toc75013320 \h </w:instrText>
      </w:r>
      <w:r>
        <w:fldChar w:fldCharType="separate"/>
      </w:r>
      <w:r>
        <w:t>17</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"_Toc75013321" </w:instrText>
      </w:r>
      <w:r>
        <w:fldChar w:fldCharType="separate"/>
      </w:r>
      <w:r>
        <w:rPr>
          <w:rStyle w:val="98"/>
          <w:rFonts w:hint="eastAsia"/>
        </w:rPr>
        <w:t>第53条</w:t>
      </w:r>
      <w:r>
        <w:rPr>
          <w:rFonts w:asciiTheme="minorHAnsi" w:hAnsiTheme="minorHAnsi" w:eastAsiaTheme="minorEastAsia" w:cstheme="minorBidi"/>
          <w:iCs w:val="0"/>
          <w:sz w:val="21"/>
          <w:szCs w:val="22"/>
        </w:rPr>
        <w:tab/>
      </w:r>
      <w:r>
        <w:rPr>
          <w:rStyle w:val="98"/>
          <w:rFonts w:hint="eastAsia"/>
        </w:rPr>
        <w:t>保护区划统一管理规定</w:t>
      </w:r>
      <w:r>
        <w:tab/>
      </w:r>
      <w:r>
        <w:fldChar w:fldCharType="begin"/>
      </w:r>
      <w:r>
        <w:instrText xml:space="preserve"> PAGEREF _Toc75013321 \h </w:instrText>
      </w:r>
      <w:r>
        <w:fldChar w:fldCharType="separate"/>
      </w:r>
      <w:r>
        <w:t>17</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"_Toc75013322" </w:instrText>
      </w:r>
      <w:r>
        <w:fldChar w:fldCharType="separate"/>
      </w:r>
      <w:r>
        <w:rPr>
          <w:rStyle w:val="98"/>
          <w:rFonts w:hint="eastAsia"/>
        </w:rPr>
        <w:t>第54条</w:t>
      </w:r>
      <w:r>
        <w:rPr>
          <w:rFonts w:asciiTheme="minorHAnsi" w:hAnsiTheme="minorHAnsi" w:eastAsiaTheme="minorEastAsia" w:cstheme="minorBidi"/>
          <w:iCs w:val="0"/>
          <w:sz w:val="21"/>
          <w:szCs w:val="22"/>
        </w:rPr>
        <w:tab/>
      </w:r>
      <w:r>
        <w:rPr>
          <w:rStyle w:val="98"/>
          <w:rFonts w:hint="eastAsia"/>
        </w:rPr>
        <w:t>保护范围管理规定</w:t>
      </w:r>
      <w:r>
        <w:tab/>
      </w:r>
      <w:r>
        <w:fldChar w:fldCharType="begin"/>
      </w:r>
      <w:r>
        <w:instrText xml:space="preserve"> PAGEREF _Toc75013322 \h </w:instrText>
      </w:r>
      <w:r>
        <w:fldChar w:fldCharType="separate"/>
      </w:r>
      <w:r>
        <w:t>17</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"_Toc75013323" </w:instrText>
      </w:r>
      <w:r>
        <w:fldChar w:fldCharType="separate"/>
      </w:r>
      <w:r>
        <w:rPr>
          <w:rStyle w:val="98"/>
          <w:rFonts w:hint="eastAsia"/>
        </w:rPr>
        <w:t>第55条</w:t>
      </w:r>
      <w:r>
        <w:rPr>
          <w:rFonts w:asciiTheme="minorHAnsi" w:hAnsiTheme="minorHAnsi" w:eastAsiaTheme="minorEastAsia" w:cstheme="minorBidi"/>
          <w:iCs w:val="0"/>
          <w:sz w:val="21"/>
          <w:szCs w:val="22"/>
        </w:rPr>
        <w:tab/>
      </w:r>
      <w:r>
        <w:rPr>
          <w:rStyle w:val="98"/>
          <w:rFonts w:hint="eastAsia"/>
        </w:rPr>
        <w:t>建设控制地带管理规定</w:t>
      </w:r>
      <w:r>
        <w:tab/>
      </w:r>
      <w:r>
        <w:fldChar w:fldCharType="begin"/>
      </w:r>
      <w:r>
        <w:instrText xml:space="preserve"> PAGEREF _Toc75013323 \h </w:instrText>
      </w:r>
      <w:r>
        <w:fldChar w:fldCharType="separate"/>
      </w:r>
      <w:r>
        <w:t>17</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"_Toc75013324" </w:instrText>
      </w:r>
      <w:r>
        <w:fldChar w:fldCharType="separate"/>
      </w:r>
      <w:r>
        <w:rPr>
          <w:rStyle w:val="98"/>
          <w:rFonts w:hint="eastAsia"/>
        </w:rPr>
        <w:t>第八章</w:t>
      </w:r>
      <w:r>
        <w:rPr>
          <w:rFonts w:asciiTheme="minorHAnsi" w:hAnsiTheme="minorHAnsi" w:eastAsiaTheme="minorEastAsia" w:cstheme="minorBidi"/>
          <w:bCs w:val="0"/>
          <w:caps w:val="0"/>
          <w:sz w:val="21"/>
          <w:szCs w:val="22"/>
        </w:rPr>
        <w:tab/>
      </w:r>
      <w:r>
        <w:rPr>
          <w:rStyle w:val="98"/>
          <w:rFonts w:hint="eastAsia"/>
        </w:rPr>
        <w:t>保护措施</w:t>
      </w:r>
      <w:r>
        <w:tab/>
      </w:r>
      <w:r>
        <w:fldChar w:fldCharType="begin"/>
      </w:r>
      <w:r>
        <w:instrText xml:space="preserve"> PAGEREF _Toc75013324 \h </w:instrText>
      </w:r>
      <w:r>
        <w:fldChar w:fldCharType="separate"/>
      </w:r>
      <w:r>
        <w:t>20</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"_Toc75013325" </w:instrText>
      </w:r>
      <w:r>
        <w:fldChar w:fldCharType="separate"/>
      </w:r>
      <w:r>
        <w:rPr>
          <w:rStyle w:val="98"/>
          <w:rFonts w:hint="eastAsia" w:ascii="Times New Roman" w:hAnsi="Times New Roman"/>
          <w14:scene3d>
            <w14:lightRig w14:rig="threePt" w14:dir="t">
              <w14:rot w14:lat="0" w14:lon="0" w14:rev="0"/>
            </w14:lightRig>
          </w14:scene3d>
        </w:rPr>
        <w:t>第一节</w:t>
      </w:r>
      <w:r>
        <w:rPr>
          <w:rFonts w:asciiTheme="minorHAnsi" w:hAnsiTheme="minorHAnsi" w:eastAsiaTheme="minorEastAsia" w:cstheme="minorBidi"/>
          <w:smallCaps w:val="0"/>
          <w:sz w:val="21"/>
          <w:szCs w:val="22"/>
        </w:rPr>
        <w:tab/>
      </w:r>
      <w:r>
        <w:rPr>
          <w:rStyle w:val="98"/>
          <w:rFonts w:hint="eastAsia"/>
        </w:rPr>
        <w:t>保护对象的保护措施</w:t>
      </w:r>
      <w:r>
        <w:tab/>
      </w:r>
      <w:r>
        <w:fldChar w:fldCharType="begin"/>
      </w:r>
      <w:r>
        <w:instrText xml:space="preserve"> PAGEREF _Toc75013325 \h </w:instrText>
      </w:r>
      <w:r>
        <w:fldChar w:fldCharType="separate"/>
      </w:r>
      <w:r>
        <w:t>20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"_Toc75013326" </w:instrText>
      </w:r>
      <w:r>
        <w:fldChar w:fldCharType="separate"/>
      </w:r>
      <w:r>
        <w:rPr>
          <w:rStyle w:val="98"/>
          <w:rFonts w:hint="eastAsia"/>
        </w:rPr>
        <w:t>第56条</w:t>
      </w:r>
      <w:r>
        <w:rPr>
          <w:rFonts w:asciiTheme="minorHAnsi" w:hAnsiTheme="minorHAnsi" w:eastAsiaTheme="minorEastAsia" w:cstheme="minorBidi"/>
          <w:iCs w:val="0"/>
          <w:sz w:val="21"/>
          <w:szCs w:val="22"/>
        </w:rPr>
        <w:tab/>
      </w:r>
      <w:r>
        <w:rPr>
          <w:rStyle w:val="98"/>
          <w:rFonts w:hint="eastAsia"/>
        </w:rPr>
        <w:t>文物本体的保护</w:t>
      </w:r>
      <w:r>
        <w:tab/>
      </w:r>
      <w:r>
        <w:fldChar w:fldCharType="begin"/>
      </w:r>
      <w:r>
        <w:instrText xml:space="preserve"> PAGEREF _Toc75013326 \h </w:instrText>
      </w:r>
      <w:r>
        <w:fldChar w:fldCharType="separate"/>
      </w:r>
      <w:r>
        <w:t>20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"_Toc75013327" </w:instrText>
      </w:r>
      <w:r>
        <w:fldChar w:fldCharType="separate"/>
      </w:r>
      <w:r>
        <w:rPr>
          <w:rStyle w:val="98"/>
          <w:rFonts w:hint="eastAsia"/>
        </w:rPr>
        <w:t>第57条</w:t>
      </w:r>
      <w:r>
        <w:rPr>
          <w:rFonts w:asciiTheme="minorHAnsi" w:hAnsiTheme="minorHAnsi" w:eastAsiaTheme="minorEastAsia" w:cstheme="minorBidi"/>
          <w:iCs w:val="0"/>
          <w:sz w:val="21"/>
          <w:szCs w:val="22"/>
        </w:rPr>
        <w:tab/>
      </w:r>
      <w:r>
        <w:rPr>
          <w:rStyle w:val="98"/>
          <w:rFonts w:hint="eastAsia"/>
        </w:rPr>
        <w:t>文物环境的保护措施</w:t>
      </w:r>
      <w:r>
        <w:tab/>
      </w:r>
      <w:r>
        <w:fldChar w:fldCharType="begin"/>
      </w:r>
      <w:r>
        <w:instrText xml:space="preserve"> PAGEREF _Toc75013327 \h </w:instrText>
      </w:r>
      <w:r>
        <w:fldChar w:fldCharType="separate"/>
      </w:r>
      <w:r>
        <w:t>20</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"_Toc75013328" </w:instrText>
      </w:r>
      <w:r>
        <w:fldChar w:fldCharType="separate"/>
      </w:r>
      <w:r>
        <w:rPr>
          <w:rStyle w:val="98"/>
          <w:rFonts w:hint="eastAsia" w:ascii="Times New Roman" w:hAnsi="Times New Roman"/>
          <w14:scene3d>
            <w14:lightRig w14:rig="threePt" w14:dir="t">
              <w14:rot w14:lat="0" w14:lon="0" w14:rev="0"/>
            </w14:lightRig>
          </w14:scene3d>
        </w:rPr>
        <w:t>第二节</w:t>
      </w:r>
      <w:r>
        <w:rPr>
          <w:rFonts w:asciiTheme="minorHAnsi" w:hAnsiTheme="minorHAnsi" w:eastAsiaTheme="minorEastAsia" w:cstheme="minorBidi"/>
          <w:smallCaps w:val="0"/>
          <w:sz w:val="21"/>
          <w:szCs w:val="22"/>
        </w:rPr>
        <w:tab/>
      </w:r>
      <w:r>
        <w:rPr>
          <w:rStyle w:val="98"/>
          <w:rFonts w:hint="eastAsia"/>
        </w:rPr>
        <w:t>大鹏所城防护措施</w:t>
      </w:r>
      <w:r>
        <w:tab/>
      </w:r>
      <w:r>
        <w:fldChar w:fldCharType="begin"/>
      </w:r>
      <w:r>
        <w:instrText xml:space="preserve"> PAGEREF _Toc75013328 \h </w:instrText>
      </w:r>
      <w:r>
        <w:fldChar w:fldCharType="separate"/>
      </w:r>
      <w:r>
        <w:t>21</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"_Toc75013329" </w:instrText>
      </w:r>
      <w:r>
        <w:fldChar w:fldCharType="separate"/>
      </w:r>
      <w:r>
        <w:rPr>
          <w:rStyle w:val="98"/>
          <w:rFonts w:hint="eastAsia"/>
        </w:rPr>
        <w:t>第58条</w:t>
      </w:r>
      <w:r>
        <w:rPr>
          <w:rFonts w:asciiTheme="minorHAnsi" w:hAnsiTheme="minorHAnsi" w:eastAsiaTheme="minorEastAsia" w:cstheme="minorBidi"/>
          <w:iCs w:val="0"/>
          <w:sz w:val="21"/>
          <w:szCs w:val="22"/>
        </w:rPr>
        <w:tab/>
      </w:r>
      <w:r>
        <w:rPr>
          <w:rStyle w:val="98"/>
          <w:rFonts w:hint="eastAsia"/>
        </w:rPr>
        <w:t>防雷规划</w:t>
      </w:r>
      <w:r>
        <w:tab/>
      </w:r>
      <w:r>
        <w:fldChar w:fldCharType="begin"/>
      </w:r>
      <w:r>
        <w:instrText xml:space="preserve"> PAGEREF _Toc75013329 \h </w:instrText>
      </w:r>
      <w:r>
        <w:fldChar w:fldCharType="separate"/>
      </w:r>
      <w:r>
        <w:t>21</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"_Toc75013330" </w:instrText>
      </w:r>
      <w:r>
        <w:fldChar w:fldCharType="separate"/>
      </w:r>
      <w:r>
        <w:rPr>
          <w:rStyle w:val="98"/>
          <w:rFonts w:hint="eastAsia"/>
        </w:rPr>
        <w:t>第59条</w:t>
      </w:r>
      <w:r>
        <w:rPr>
          <w:rFonts w:asciiTheme="minorHAnsi" w:hAnsiTheme="minorHAnsi" w:eastAsiaTheme="minorEastAsia" w:cstheme="minorBidi"/>
          <w:iCs w:val="0"/>
          <w:sz w:val="21"/>
          <w:szCs w:val="22"/>
        </w:rPr>
        <w:tab/>
      </w:r>
      <w:r>
        <w:rPr>
          <w:rStyle w:val="98"/>
          <w:rFonts w:hint="eastAsia"/>
        </w:rPr>
        <w:t>消防规划</w:t>
      </w:r>
      <w:r>
        <w:tab/>
      </w:r>
      <w:r>
        <w:fldChar w:fldCharType="begin"/>
      </w:r>
      <w:r>
        <w:instrText xml:space="preserve"> PAGEREF _Toc75013330 \h </w:instrText>
      </w:r>
      <w:r>
        <w:fldChar w:fldCharType="separate"/>
      </w:r>
      <w:r>
        <w:t>21</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"_Toc75013331" </w:instrText>
      </w:r>
      <w:r>
        <w:fldChar w:fldCharType="separate"/>
      </w:r>
      <w:r>
        <w:rPr>
          <w:rStyle w:val="98"/>
          <w:rFonts w:hint="eastAsia"/>
        </w:rPr>
        <w:t>第60条</w:t>
      </w:r>
      <w:r>
        <w:rPr>
          <w:rFonts w:asciiTheme="minorHAnsi" w:hAnsiTheme="minorHAnsi" w:eastAsiaTheme="minorEastAsia" w:cstheme="minorBidi"/>
          <w:iCs w:val="0"/>
          <w:sz w:val="21"/>
          <w:szCs w:val="22"/>
        </w:rPr>
        <w:tab/>
      </w:r>
      <w:r>
        <w:rPr>
          <w:rStyle w:val="98"/>
          <w:rFonts w:hint="eastAsia"/>
        </w:rPr>
        <w:t>安防规划</w:t>
      </w:r>
      <w:r>
        <w:tab/>
      </w:r>
      <w:r>
        <w:fldChar w:fldCharType="begin"/>
      </w:r>
      <w:r>
        <w:instrText xml:space="preserve"> PAGEREF _Toc75013331 \h </w:instrText>
      </w:r>
      <w:r>
        <w:fldChar w:fldCharType="separate"/>
      </w:r>
      <w:r>
        <w:t>22</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"_Toc75013332" </w:instrText>
      </w:r>
      <w:r>
        <w:fldChar w:fldCharType="separate"/>
      </w:r>
      <w:r>
        <w:rPr>
          <w:rStyle w:val="98"/>
          <w:rFonts w:hint="eastAsia"/>
        </w:rPr>
        <w:t>第九章</w:t>
      </w:r>
      <w:r>
        <w:rPr>
          <w:rFonts w:asciiTheme="minorHAnsi" w:hAnsiTheme="minorHAnsi" w:eastAsiaTheme="minorEastAsia" w:cstheme="minorBidi"/>
          <w:bCs w:val="0"/>
          <w:caps w:val="0"/>
          <w:sz w:val="21"/>
          <w:szCs w:val="22"/>
        </w:rPr>
        <w:tab/>
      </w:r>
      <w:r>
        <w:rPr>
          <w:rStyle w:val="98"/>
          <w:rFonts w:hint="eastAsia"/>
        </w:rPr>
        <w:t>环境保护规划</w:t>
      </w:r>
      <w:r>
        <w:tab/>
      </w:r>
      <w:r>
        <w:fldChar w:fldCharType="begin"/>
      </w:r>
      <w:r>
        <w:instrText xml:space="preserve"> PAGEREF _Toc75013332 \h </w:instrText>
      </w:r>
      <w:r>
        <w:fldChar w:fldCharType="separate"/>
      </w:r>
      <w:r>
        <w:t>22</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"_Toc75013333" </w:instrText>
      </w:r>
      <w:r>
        <w:fldChar w:fldCharType="separate"/>
      </w:r>
      <w:r>
        <w:rPr>
          <w:rStyle w:val="98"/>
          <w:rFonts w:hint="eastAsia" w:ascii="Times New Roman" w:hAnsi="Times New Roman"/>
          <w14:scene3d>
            <w14:lightRig w14:rig="threePt" w14:dir="t">
              <w14:rot w14:lat="0" w14:lon="0" w14:rev="0"/>
            </w14:lightRig>
          </w14:scene3d>
        </w:rPr>
        <w:t>第一节</w:t>
      </w:r>
      <w:r>
        <w:rPr>
          <w:rFonts w:asciiTheme="minorHAnsi" w:hAnsiTheme="minorHAnsi" w:eastAsiaTheme="minorEastAsia" w:cstheme="minorBidi"/>
          <w:smallCaps w:val="0"/>
          <w:sz w:val="21"/>
          <w:szCs w:val="22"/>
        </w:rPr>
        <w:tab/>
      </w:r>
      <w:r>
        <w:rPr>
          <w:rStyle w:val="98"/>
          <w:rFonts w:hint="eastAsia"/>
        </w:rPr>
        <w:t>环境保护与整治原则</w:t>
      </w:r>
      <w:r>
        <w:tab/>
      </w:r>
      <w:r>
        <w:fldChar w:fldCharType="begin"/>
      </w:r>
      <w:r>
        <w:instrText xml:space="preserve"> PAGEREF _Toc75013333 \h </w:instrText>
      </w:r>
      <w:r>
        <w:fldChar w:fldCharType="separate"/>
      </w:r>
      <w:r>
        <w:t>22</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"_Toc75013334" </w:instrText>
      </w:r>
      <w:r>
        <w:fldChar w:fldCharType="separate"/>
      </w:r>
      <w:r>
        <w:rPr>
          <w:rStyle w:val="98"/>
          <w:rFonts w:hint="eastAsia" w:ascii="Times New Roman" w:hAnsi="Times New Roman"/>
          <w14:scene3d>
            <w14:lightRig w14:rig="threePt" w14:dir="t">
              <w14:rot w14:lat="0" w14:lon="0" w14:rev="0"/>
            </w14:lightRig>
          </w14:scene3d>
        </w:rPr>
        <w:t>第二节</w:t>
      </w:r>
      <w:r>
        <w:rPr>
          <w:rFonts w:asciiTheme="minorHAnsi" w:hAnsiTheme="minorHAnsi" w:eastAsiaTheme="minorEastAsia" w:cstheme="minorBidi"/>
          <w:smallCaps w:val="0"/>
          <w:sz w:val="21"/>
          <w:szCs w:val="22"/>
        </w:rPr>
        <w:tab/>
      </w:r>
      <w:r>
        <w:rPr>
          <w:rStyle w:val="98"/>
          <w:rFonts w:hint="eastAsia"/>
        </w:rPr>
        <w:t>所城内环境保护措施</w:t>
      </w:r>
      <w:r>
        <w:tab/>
      </w:r>
      <w:r>
        <w:fldChar w:fldCharType="begin"/>
      </w:r>
      <w:r>
        <w:instrText xml:space="preserve"> PAGEREF _Toc75013334 \h </w:instrText>
      </w:r>
      <w:r>
        <w:fldChar w:fldCharType="separate"/>
      </w:r>
      <w:r>
        <w:t>22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"_Toc75013335" </w:instrText>
      </w:r>
      <w:r>
        <w:fldChar w:fldCharType="separate"/>
      </w:r>
      <w:r>
        <w:rPr>
          <w:rStyle w:val="98"/>
          <w:rFonts w:hint="eastAsia"/>
        </w:rPr>
        <w:t>第61条</w:t>
      </w:r>
      <w:r>
        <w:rPr>
          <w:rFonts w:asciiTheme="minorHAnsi" w:hAnsiTheme="minorHAnsi" w:eastAsiaTheme="minorEastAsia" w:cstheme="minorBidi"/>
          <w:iCs w:val="0"/>
          <w:sz w:val="21"/>
          <w:szCs w:val="22"/>
        </w:rPr>
        <w:tab/>
      </w:r>
      <w:r>
        <w:rPr>
          <w:rStyle w:val="98"/>
          <w:rFonts w:hint="eastAsia"/>
        </w:rPr>
        <w:t>城内建筑保护措施分类</w:t>
      </w:r>
      <w:r>
        <w:tab/>
      </w:r>
      <w:r>
        <w:fldChar w:fldCharType="begin"/>
      </w:r>
      <w:r>
        <w:instrText xml:space="preserve"> PAGEREF _Toc75013335 \h </w:instrText>
      </w:r>
      <w:r>
        <w:fldChar w:fldCharType="separate"/>
      </w:r>
      <w:r>
        <w:t>22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"_Toc75013336" </w:instrText>
      </w:r>
      <w:r>
        <w:fldChar w:fldCharType="separate"/>
      </w:r>
      <w:r>
        <w:rPr>
          <w:rStyle w:val="98"/>
          <w:rFonts w:hint="eastAsia"/>
        </w:rPr>
        <w:t>第62条</w:t>
      </w:r>
      <w:r>
        <w:rPr>
          <w:rFonts w:asciiTheme="minorHAnsi" w:hAnsiTheme="minorHAnsi" w:eastAsiaTheme="minorEastAsia" w:cstheme="minorBidi"/>
          <w:iCs w:val="0"/>
          <w:sz w:val="21"/>
          <w:szCs w:val="22"/>
        </w:rPr>
        <w:tab/>
      </w:r>
      <w:r>
        <w:rPr>
          <w:rStyle w:val="98"/>
          <w:rFonts w:hint="eastAsia"/>
        </w:rPr>
        <w:t>城内建筑保护措施</w:t>
      </w:r>
      <w:r>
        <w:tab/>
      </w:r>
      <w:r>
        <w:fldChar w:fldCharType="begin"/>
      </w:r>
      <w:r>
        <w:instrText xml:space="preserve"> PAGEREF _Toc75013336 \h </w:instrText>
      </w:r>
      <w:r>
        <w:fldChar w:fldCharType="separate"/>
      </w:r>
      <w:r>
        <w:t>23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"_Toc75013337" </w:instrText>
      </w:r>
      <w:r>
        <w:fldChar w:fldCharType="separate"/>
      </w:r>
      <w:r>
        <w:rPr>
          <w:rStyle w:val="98"/>
          <w:rFonts w:hint="eastAsia"/>
        </w:rPr>
        <w:t>第63条</w:t>
      </w:r>
      <w:r>
        <w:rPr>
          <w:rFonts w:asciiTheme="minorHAnsi" w:hAnsiTheme="minorHAnsi" w:eastAsiaTheme="minorEastAsia" w:cstheme="minorBidi"/>
          <w:iCs w:val="0"/>
          <w:sz w:val="21"/>
          <w:szCs w:val="22"/>
        </w:rPr>
        <w:tab/>
      </w:r>
      <w:r>
        <w:rPr>
          <w:rStyle w:val="98"/>
          <w:rFonts w:hint="eastAsia"/>
        </w:rPr>
        <w:t>城内建筑高度控制</w:t>
      </w:r>
      <w:r>
        <w:tab/>
      </w:r>
      <w:r>
        <w:fldChar w:fldCharType="begin"/>
      </w:r>
      <w:r>
        <w:instrText xml:space="preserve"> PAGEREF _Toc75013337 \h </w:instrText>
      </w:r>
      <w:r>
        <w:fldChar w:fldCharType="separate"/>
      </w:r>
      <w:r>
        <w:t>23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"_Toc75013338" </w:instrText>
      </w:r>
      <w:r>
        <w:fldChar w:fldCharType="separate"/>
      </w:r>
      <w:r>
        <w:rPr>
          <w:rStyle w:val="98"/>
          <w:rFonts w:hint="eastAsia"/>
        </w:rPr>
        <w:t>第64条</w:t>
      </w:r>
      <w:r>
        <w:rPr>
          <w:rFonts w:asciiTheme="minorHAnsi" w:hAnsiTheme="minorHAnsi" w:eastAsiaTheme="minorEastAsia" w:cstheme="minorBidi"/>
          <w:iCs w:val="0"/>
          <w:sz w:val="21"/>
          <w:szCs w:val="22"/>
        </w:rPr>
        <w:tab/>
      </w:r>
      <w:r>
        <w:rPr>
          <w:rStyle w:val="98"/>
          <w:rFonts w:hint="eastAsia"/>
        </w:rPr>
        <w:t>城内街巷整治措施</w:t>
      </w:r>
      <w:r>
        <w:tab/>
      </w:r>
      <w:r>
        <w:fldChar w:fldCharType="begin"/>
      </w:r>
      <w:r>
        <w:instrText xml:space="preserve"> PAGEREF _Toc75013338 \h </w:instrText>
      </w:r>
      <w:r>
        <w:fldChar w:fldCharType="separate"/>
      </w:r>
      <w:r>
        <w:t>23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"_Toc75013339" </w:instrText>
      </w:r>
      <w:r>
        <w:fldChar w:fldCharType="separate"/>
      </w:r>
      <w:r>
        <w:rPr>
          <w:rStyle w:val="98"/>
          <w:rFonts w:hint="eastAsia"/>
        </w:rPr>
        <w:t>第65条</w:t>
      </w:r>
      <w:r>
        <w:rPr>
          <w:rFonts w:asciiTheme="minorHAnsi" w:hAnsiTheme="minorHAnsi" w:eastAsiaTheme="minorEastAsia" w:cstheme="minorBidi"/>
          <w:iCs w:val="0"/>
          <w:sz w:val="21"/>
          <w:szCs w:val="22"/>
        </w:rPr>
        <w:tab/>
      </w:r>
      <w:r>
        <w:rPr>
          <w:rStyle w:val="98"/>
          <w:rFonts w:hint="eastAsia"/>
        </w:rPr>
        <w:t>城内市政基础设施规划</w:t>
      </w:r>
      <w:r>
        <w:tab/>
      </w:r>
      <w:r>
        <w:fldChar w:fldCharType="begin"/>
      </w:r>
      <w:r>
        <w:instrText xml:space="preserve"> PAGEREF _Toc75013339 \h </w:instrText>
      </w:r>
      <w:r>
        <w:fldChar w:fldCharType="separate"/>
      </w:r>
      <w:r>
        <w:t>23</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"_Toc75013340" </w:instrText>
      </w:r>
      <w:r>
        <w:fldChar w:fldCharType="separate"/>
      </w:r>
      <w:r>
        <w:rPr>
          <w:rStyle w:val="98"/>
          <w:rFonts w:hint="eastAsia" w:ascii="Times New Roman" w:hAnsi="Times New Roman"/>
          <w14:scene3d>
            <w14:lightRig w14:rig="threePt" w14:dir="t">
              <w14:rot w14:lat="0" w14:lon="0" w14:rev="0"/>
            </w14:lightRig>
          </w14:scene3d>
        </w:rPr>
        <w:t>第三节</w:t>
      </w:r>
      <w:r>
        <w:rPr>
          <w:rFonts w:asciiTheme="minorHAnsi" w:hAnsiTheme="minorHAnsi" w:eastAsiaTheme="minorEastAsia" w:cstheme="minorBidi"/>
          <w:smallCaps w:val="0"/>
          <w:sz w:val="21"/>
          <w:szCs w:val="22"/>
        </w:rPr>
        <w:tab/>
      </w:r>
      <w:r>
        <w:rPr>
          <w:rStyle w:val="98"/>
          <w:rFonts w:hint="eastAsia"/>
        </w:rPr>
        <w:t>城外环境整治措施</w:t>
      </w:r>
      <w:r>
        <w:tab/>
      </w:r>
      <w:r>
        <w:fldChar w:fldCharType="begin"/>
      </w:r>
      <w:r>
        <w:instrText xml:space="preserve"> PAGEREF _Toc75013340 \h </w:instrText>
      </w:r>
      <w:r>
        <w:fldChar w:fldCharType="separate"/>
      </w:r>
      <w:r>
        <w:t>24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"_Toc75013341" </w:instrText>
      </w:r>
      <w:r>
        <w:fldChar w:fldCharType="separate"/>
      </w:r>
      <w:r>
        <w:rPr>
          <w:rStyle w:val="98"/>
          <w:rFonts w:hint="eastAsia"/>
        </w:rPr>
        <w:t>第66条</w:t>
      </w:r>
      <w:r>
        <w:rPr>
          <w:rFonts w:asciiTheme="minorHAnsi" w:hAnsiTheme="minorHAnsi" w:eastAsiaTheme="minorEastAsia" w:cstheme="minorBidi"/>
          <w:iCs w:val="0"/>
          <w:sz w:val="21"/>
          <w:szCs w:val="22"/>
        </w:rPr>
        <w:tab/>
      </w:r>
      <w:r>
        <w:rPr>
          <w:rStyle w:val="98"/>
          <w:rFonts w:hint="eastAsia"/>
        </w:rPr>
        <w:t>城外环境整治总体措施</w:t>
      </w:r>
      <w:r>
        <w:tab/>
      </w:r>
      <w:r>
        <w:fldChar w:fldCharType="begin"/>
      </w:r>
      <w:r>
        <w:instrText xml:space="preserve"> PAGEREF _Toc75013341 \h </w:instrText>
      </w:r>
      <w:r>
        <w:fldChar w:fldCharType="separate"/>
      </w:r>
      <w:r>
        <w:t>24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"_Toc75013342" </w:instrText>
      </w:r>
      <w:r>
        <w:fldChar w:fldCharType="separate"/>
      </w:r>
      <w:r>
        <w:rPr>
          <w:rStyle w:val="98"/>
          <w:rFonts w:hint="eastAsia"/>
        </w:rPr>
        <w:t>第67条</w:t>
      </w:r>
      <w:r>
        <w:rPr>
          <w:rFonts w:asciiTheme="minorHAnsi" w:hAnsiTheme="minorHAnsi" w:eastAsiaTheme="minorEastAsia" w:cstheme="minorBidi"/>
          <w:iCs w:val="0"/>
          <w:sz w:val="21"/>
          <w:szCs w:val="22"/>
        </w:rPr>
        <w:tab/>
      </w:r>
      <w:r>
        <w:rPr>
          <w:rStyle w:val="98"/>
          <w:rFonts w:hint="eastAsia"/>
        </w:rPr>
        <w:t>城外建筑整治措施</w:t>
      </w:r>
      <w:r>
        <w:tab/>
      </w:r>
      <w:r>
        <w:fldChar w:fldCharType="begin"/>
      </w:r>
      <w:r>
        <w:instrText xml:space="preserve"> PAGEREF _Toc75013342 \h </w:instrText>
      </w:r>
      <w:r>
        <w:fldChar w:fldCharType="separate"/>
      </w:r>
      <w:r>
        <w:t>24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"_Toc75013343" </w:instrText>
      </w:r>
      <w:r>
        <w:fldChar w:fldCharType="separate"/>
      </w:r>
      <w:r>
        <w:rPr>
          <w:rStyle w:val="98"/>
          <w:rFonts w:hint="eastAsia"/>
        </w:rPr>
        <w:t>第68条</w:t>
      </w:r>
      <w:r>
        <w:rPr>
          <w:rFonts w:asciiTheme="minorHAnsi" w:hAnsiTheme="minorHAnsi" w:eastAsiaTheme="minorEastAsia" w:cstheme="minorBidi"/>
          <w:iCs w:val="0"/>
          <w:sz w:val="21"/>
          <w:szCs w:val="22"/>
        </w:rPr>
        <w:tab/>
      </w:r>
      <w:r>
        <w:rPr>
          <w:rStyle w:val="98"/>
          <w:rFonts w:hint="eastAsia"/>
        </w:rPr>
        <w:t>城外建筑高度控制</w:t>
      </w:r>
      <w:r>
        <w:tab/>
      </w:r>
      <w:r>
        <w:fldChar w:fldCharType="begin"/>
      </w:r>
      <w:r>
        <w:instrText xml:space="preserve"> PAGEREF _Toc75013343 \h </w:instrText>
      </w:r>
      <w:r>
        <w:fldChar w:fldCharType="separate"/>
      </w:r>
      <w:r>
        <w:t>24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"_Toc75013344" </w:instrText>
      </w:r>
      <w:r>
        <w:fldChar w:fldCharType="separate"/>
      </w:r>
      <w:r>
        <w:rPr>
          <w:rStyle w:val="98"/>
          <w:rFonts w:hint="eastAsia"/>
        </w:rPr>
        <w:t>第69条</w:t>
      </w:r>
      <w:r>
        <w:rPr>
          <w:rFonts w:asciiTheme="minorHAnsi" w:hAnsiTheme="minorHAnsi" w:eastAsiaTheme="minorEastAsia" w:cstheme="minorBidi"/>
          <w:iCs w:val="0"/>
          <w:sz w:val="21"/>
          <w:szCs w:val="22"/>
        </w:rPr>
        <w:tab/>
      </w:r>
      <w:r>
        <w:rPr>
          <w:rStyle w:val="98"/>
          <w:rFonts w:hint="eastAsia"/>
        </w:rPr>
        <w:t>鹏城河的保护</w:t>
      </w:r>
      <w:r>
        <w:tab/>
      </w:r>
      <w:r>
        <w:fldChar w:fldCharType="begin"/>
      </w:r>
      <w:r>
        <w:instrText xml:space="preserve"> PAGEREF _Toc75013344 \h </w:instrText>
      </w:r>
      <w:r>
        <w:fldChar w:fldCharType="separate"/>
      </w:r>
      <w:r>
        <w:t>24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"_Toc75013345" </w:instrText>
      </w:r>
      <w:r>
        <w:fldChar w:fldCharType="separate"/>
      </w:r>
      <w:r>
        <w:rPr>
          <w:rStyle w:val="98"/>
          <w:rFonts w:hint="eastAsia"/>
        </w:rPr>
        <w:t>第70条</w:t>
      </w:r>
      <w:r>
        <w:rPr>
          <w:rFonts w:asciiTheme="minorHAnsi" w:hAnsiTheme="minorHAnsi" w:eastAsiaTheme="minorEastAsia" w:cstheme="minorBidi"/>
          <w:iCs w:val="0"/>
          <w:sz w:val="21"/>
          <w:szCs w:val="22"/>
        </w:rPr>
        <w:tab/>
      </w:r>
      <w:r>
        <w:rPr>
          <w:rStyle w:val="98"/>
          <w:rFonts w:hint="eastAsia"/>
        </w:rPr>
        <w:t>城外交通系统调整建议</w:t>
      </w:r>
      <w:r>
        <w:tab/>
      </w:r>
      <w:r>
        <w:fldChar w:fldCharType="begin"/>
      </w:r>
      <w:r>
        <w:instrText xml:space="preserve"> PAGEREF _Toc75013345 \h </w:instrText>
      </w:r>
      <w:r>
        <w:fldChar w:fldCharType="separate"/>
      </w:r>
      <w:r>
        <w:t>25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"_Toc75013346" </w:instrText>
      </w:r>
      <w:r>
        <w:fldChar w:fldCharType="separate"/>
      </w:r>
      <w:r>
        <w:rPr>
          <w:rStyle w:val="98"/>
          <w:rFonts w:hint="eastAsia"/>
        </w:rPr>
        <w:t>第71条</w:t>
      </w:r>
      <w:r>
        <w:rPr>
          <w:rFonts w:asciiTheme="minorHAnsi" w:hAnsiTheme="minorHAnsi" w:eastAsiaTheme="minorEastAsia" w:cstheme="minorBidi"/>
          <w:iCs w:val="0"/>
          <w:sz w:val="21"/>
          <w:szCs w:val="22"/>
        </w:rPr>
        <w:tab/>
      </w:r>
      <w:r>
        <w:rPr>
          <w:rStyle w:val="98"/>
          <w:rFonts w:hint="eastAsia"/>
        </w:rPr>
        <w:t>城外卫生环境整治</w:t>
      </w:r>
      <w:r>
        <w:tab/>
      </w:r>
      <w:r>
        <w:fldChar w:fldCharType="begin"/>
      </w:r>
      <w:r>
        <w:instrText xml:space="preserve"> PAGEREF _Toc75013346 \h </w:instrText>
      </w:r>
      <w:r>
        <w:fldChar w:fldCharType="separate"/>
      </w:r>
      <w:r>
        <w:t>25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"_Toc75013347" </w:instrText>
      </w:r>
      <w:r>
        <w:fldChar w:fldCharType="separate"/>
      </w:r>
      <w:r>
        <w:rPr>
          <w:rStyle w:val="98"/>
          <w:rFonts w:hint="eastAsia"/>
        </w:rPr>
        <w:t>第72条</w:t>
      </w:r>
      <w:r>
        <w:rPr>
          <w:rFonts w:asciiTheme="minorHAnsi" w:hAnsiTheme="minorHAnsi" w:eastAsiaTheme="minorEastAsia" w:cstheme="minorBidi"/>
          <w:iCs w:val="0"/>
          <w:sz w:val="21"/>
          <w:szCs w:val="22"/>
        </w:rPr>
        <w:tab/>
      </w:r>
      <w:r>
        <w:rPr>
          <w:rStyle w:val="98"/>
          <w:rFonts w:hint="eastAsia"/>
        </w:rPr>
        <w:t>城外市政基础设施规划</w:t>
      </w:r>
      <w:r>
        <w:tab/>
      </w:r>
      <w:r>
        <w:fldChar w:fldCharType="begin"/>
      </w:r>
      <w:r>
        <w:instrText xml:space="preserve"> PAGEREF _Toc75013347 \h </w:instrText>
      </w:r>
      <w:r>
        <w:fldChar w:fldCharType="separate"/>
      </w:r>
      <w:r>
        <w:t>25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"_Toc75013348" </w:instrText>
      </w:r>
      <w:r>
        <w:fldChar w:fldCharType="separate"/>
      </w:r>
      <w:r>
        <w:rPr>
          <w:rStyle w:val="98"/>
          <w:rFonts w:hint="eastAsia"/>
        </w:rPr>
        <w:t>第73条</w:t>
      </w:r>
      <w:r>
        <w:rPr>
          <w:rFonts w:asciiTheme="minorHAnsi" w:hAnsiTheme="minorHAnsi" w:eastAsiaTheme="minorEastAsia" w:cstheme="minorBidi"/>
          <w:iCs w:val="0"/>
          <w:sz w:val="21"/>
          <w:szCs w:val="22"/>
        </w:rPr>
        <w:tab/>
      </w:r>
      <w:r>
        <w:rPr>
          <w:rStyle w:val="98"/>
          <w:rFonts w:hint="eastAsia"/>
        </w:rPr>
        <w:t>居民安置建议</w:t>
      </w:r>
      <w:r>
        <w:tab/>
      </w:r>
      <w:r>
        <w:fldChar w:fldCharType="begin"/>
      </w:r>
      <w:r>
        <w:instrText xml:space="preserve"> PAGEREF _Toc75013348 \h </w:instrText>
      </w:r>
      <w:r>
        <w:fldChar w:fldCharType="separate"/>
      </w:r>
      <w:r>
        <w:t>25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"_Toc75013349" </w:instrText>
      </w:r>
      <w:r>
        <w:fldChar w:fldCharType="separate"/>
      </w:r>
      <w:r>
        <w:rPr>
          <w:rStyle w:val="98"/>
          <w:rFonts w:hint="eastAsia"/>
        </w:rPr>
        <w:t>第74条</w:t>
      </w:r>
      <w:r>
        <w:rPr>
          <w:rFonts w:asciiTheme="minorHAnsi" w:hAnsiTheme="minorHAnsi" w:eastAsiaTheme="minorEastAsia" w:cstheme="minorBidi"/>
          <w:iCs w:val="0"/>
          <w:sz w:val="21"/>
          <w:szCs w:val="22"/>
        </w:rPr>
        <w:tab/>
      </w:r>
      <w:r>
        <w:rPr>
          <w:rStyle w:val="98"/>
          <w:rFonts w:hint="eastAsia"/>
        </w:rPr>
        <w:t>人口控制建议</w:t>
      </w:r>
      <w:r>
        <w:tab/>
      </w:r>
      <w:r>
        <w:fldChar w:fldCharType="begin"/>
      </w:r>
      <w:r>
        <w:instrText xml:space="preserve"> PAGEREF _Toc75013349 \h </w:instrText>
      </w:r>
      <w:r>
        <w:fldChar w:fldCharType="separate"/>
      </w:r>
      <w:r>
        <w:t>25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"_Toc75013350" </w:instrText>
      </w:r>
      <w:r>
        <w:fldChar w:fldCharType="separate"/>
      </w:r>
      <w:r>
        <w:rPr>
          <w:rStyle w:val="98"/>
          <w:rFonts w:hint="eastAsia"/>
        </w:rPr>
        <w:t>第75条</w:t>
      </w:r>
      <w:r>
        <w:rPr>
          <w:rFonts w:asciiTheme="minorHAnsi" w:hAnsiTheme="minorHAnsi" w:eastAsiaTheme="minorEastAsia" w:cstheme="minorBidi"/>
          <w:iCs w:val="0"/>
          <w:sz w:val="21"/>
          <w:szCs w:val="22"/>
        </w:rPr>
        <w:tab/>
      </w:r>
      <w:r>
        <w:rPr>
          <w:rStyle w:val="98"/>
          <w:rFonts w:hint="eastAsia"/>
        </w:rPr>
        <w:t>环境质量监测</w:t>
      </w:r>
      <w:r>
        <w:tab/>
      </w:r>
      <w:r>
        <w:fldChar w:fldCharType="begin"/>
      </w:r>
      <w:r>
        <w:instrText xml:space="preserve"> PAGEREF _Toc75013350 \h </w:instrText>
      </w:r>
      <w:r>
        <w:fldChar w:fldCharType="separate"/>
      </w:r>
      <w:r>
        <w:t>25</w:t>
      </w:r>
      <w:r>
        <w:fldChar w:fldCharType="end"/>
      </w:r>
      <w:r>
        <w:fldChar w:fldCharType="end"/>
      </w:r>
    </w:p>
    <w:p>
      <w:pPr>
        <w:pStyle w:val="59"/>
        <w:tabs>
          <w:tab w:val="left" w:pos="96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"_Toc75013351" </w:instrText>
      </w:r>
      <w:r>
        <w:fldChar w:fldCharType="separate"/>
      </w:r>
      <w:r>
        <w:rPr>
          <w:rStyle w:val="98"/>
          <w:rFonts w:hint="eastAsia"/>
        </w:rPr>
        <w:t>第十章</w:t>
      </w:r>
      <w:r>
        <w:rPr>
          <w:rFonts w:asciiTheme="minorHAnsi" w:hAnsiTheme="minorHAnsi" w:eastAsiaTheme="minorEastAsia" w:cstheme="minorBidi"/>
          <w:bCs w:val="0"/>
          <w:caps w:val="0"/>
          <w:sz w:val="21"/>
          <w:szCs w:val="22"/>
        </w:rPr>
        <w:tab/>
      </w:r>
      <w:r>
        <w:rPr>
          <w:rStyle w:val="98"/>
          <w:rFonts w:hint="eastAsia"/>
        </w:rPr>
        <w:t>展示利用规划</w:t>
      </w:r>
      <w:r>
        <w:tab/>
      </w:r>
      <w:r>
        <w:fldChar w:fldCharType="begin"/>
      </w:r>
      <w:r>
        <w:instrText xml:space="preserve"> PAGEREF _Toc75013351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"_Toc75013352" </w:instrText>
      </w:r>
      <w:r>
        <w:fldChar w:fldCharType="separate"/>
      </w:r>
      <w:r>
        <w:rPr>
          <w:rStyle w:val="98"/>
          <w:rFonts w:hint="eastAsia"/>
        </w:rPr>
        <w:t>第76条</w:t>
      </w:r>
      <w:r>
        <w:rPr>
          <w:rFonts w:asciiTheme="minorHAnsi" w:hAnsiTheme="minorHAnsi" w:eastAsiaTheme="minorEastAsia" w:cstheme="minorBidi"/>
          <w:iCs w:val="0"/>
          <w:sz w:val="21"/>
          <w:szCs w:val="22"/>
        </w:rPr>
        <w:tab/>
      </w:r>
      <w:r>
        <w:rPr>
          <w:rStyle w:val="98"/>
          <w:rFonts w:hint="eastAsia"/>
        </w:rPr>
        <w:t>展示利用原则</w:t>
      </w:r>
      <w:r>
        <w:tab/>
      </w:r>
      <w:r>
        <w:fldChar w:fldCharType="begin"/>
      </w:r>
      <w:r>
        <w:instrText xml:space="preserve"> PAGEREF _Toc75013352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"_Toc75013353" </w:instrText>
      </w:r>
      <w:r>
        <w:fldChar w:fldCharType="separate"/>
      </w:r>
      <w:r>
        <w:rPr>
          <w:rStyle w:val="98"/>
          <w:rFonts w:hint="eastAsia"/>
        </w:rPr>
        <w:t>第77条</w:t>
      </w:r>
      <w:r>
        <w:rPr>
          <w:rFonts w:asciiTheme="minorHAnsi" w:hAnsiTheme="minorHAnsi" w:eastAsiaTheme="minorEastAsia" w:cstheme="minorBidi"/>
          <w:iCs w:val="0"/>
          <w:sz w:val="21"/>
          <w:szCs w:val="22"/>
        </w:rPr>
        <w:tab/>
      </w:r>
      <w:r>
        <w:rPr>
          <w:rStyle w:val="98"/>
          <w:rFonts w:hint="eastAsia"/>
        </w:rPr>
        <w:t>展示目标</w:t>
      </w:r>
      <w:r>
        <w:tab/>
      </w:r>
      <w:r>
        <w:fldChar w:fldCharType="begin"/>
      </w:r>
      <w:r>
        <w:instrText xml:space="preserve"> PAGEREF _Toc75013353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"_Toc75013354" </w:instrText>
      </w:r>
      <w:r>
        <w:fldChar w:fldCharType="separate"/>
      </w:r>
      <w:r>
        <w:rPr>
          <w:rStyle w:val="98"/>
          <w:rFonts w:hint="eastAsia"/>
        </w:rPr>
        <w:t>第78条</w:t>
      </w:r>
      <w:r>
        <w:rPr>
          <w:rFonts w:asciiTheme="minorHAnsi" w:hAnsiTheme="minorHAnsi" w:eastAsiaTheme="minorEastAsia" w:cstheme="minorBidi"/>
          <w:iCs w:val="0"/>
          <w:sz w:val="21"/>
          <w:szCs w:val="22"/>
        </w:rPr>
        <w:tab/>
      </w:r>
      <w:r>
        <w:rPr>
          <w:rStyle w:val="98"/>
          <w:rFonts w:hint="eastAsia"/>
        </w:rPr>
        <w:t>展示利用对策</w:t>
      </w:r>
      <w:r>
        <w:tab/>
      </w:r>
      <w:r>
        <w:fldChar w:fldCharType="begin"/>
      </w:r>
      <w:r>
        <w:instrText xml:space="preserve"> PAGEREF _Toc75013354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"_Toc75013355" </w:instrText>
      </w:r>
      <w:r>
        <w:fldChar w:fldCharType="separate"/>
      </w:r>
      <w:r>
        <w:rPr>
          <w:rStyle w:val="98"/>
          <w:rFonts w:hint="eastAsia"/>
        </w:rPr>
        <w:t>第79条</w:t>
      </w:r>
      <w:r>
        <w:rPr>
          <w:rFonts w:asciiTheme="minorHAnsi" w:hAnsiTheme="minorHAnsi" w:eastAsiaTheme="minorEastAsia" w:cstheme="minorBidi"/>
          <w:iCs w:val="0"/>
          <w:sz w:val="21"/>
          <w:szCs w:val="22"/>
        </w:rPr>
        <w:tab/>
      </w:r>
      <w:r>
        <w:rPr>
          <w:rStyle w:val="98"/>
          <w:rFonts w:hint="eastAsia"/>
        </w:rPr>
        <w:t>总体空间结构</w:t>
      </w:r>
      <w:r>
        <w:tab/>
      </w:r>
      <w:r>
        <w:fldChar w:fldCharType="begin"/>
      </w:r>
      <w:r>
        <w:instrText xml:space="preserve"> PAGEREF _Toc75013355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"_Toc75013356" </w:instrText>
      </w:r>
      <w:r>
        <w:fldChar w:fldCharType="separate"/>
      </w:r>
      <w:r>
        <w:rPr>
          <w:rStyle w:val="98"/>
          <w:rFonts w:hint="eastAsia"/>
        </w:rPr>
        <w:t>第80条</w:t>
      </w:r>
      <w:r>
        <w:rPr>
          <w:rFonts w:asciiTheme="minorHAnsi" w:hAnsiTheme="minorHAnsi" w:eastAsiaTheme="minorEastAsia" w:cstheme="minorBidi"/>
          <w:iCs w:val="0"/>
          <w:sz w:val="21"/>
          <w:szCs w:val="22"/>
        </w:rPr>
        <w:tab/>
      </w:r>
      <w:r>
        <w:rPr>
          <w:rStyle w:val="98"/>
          <w:rFonts w:hint="eastAsia"/>
        </w:rPr>
        <w:t>城内展示分区与主题布局</w:t>
      </w:r>
      <w:r>
        <w:tab/>
      </w:r>
      <w:r>
        <w:fldChar w:fldCharType="begin"/>
      </w:r>
      <w:r>
        <w:instrText xml:space="preserve"> PAGEREF _Toc75013356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"_Toc75013357" </w:instrText>
      </w:r>
      <w:r>
        <w:fldChar w:fldCharType="separate"/>
      </w:r>
      <w:r>
        <w:rPr>
          <w:rStyle w:val="98"/>
          <w:rFonts w:hint="eastAsia"/>
        </w:rPr>
        <w:t>第81条</w:t>
      </w:r>
      <w:r>
        <w:rPr>
          <w:rFonts w:asciiTheme="minorHAnsi" w:hAnsiTheme="minorHAnsi" w:eastAsiaTheme="minorEastAsia" w:cstheme="minorBidi"/>
          <w:iCs w:val="0"/>
          <w:sz w:val="21"/>
          <w:szCs w:val="22"/>
        </w:rPr>
        <w:tab/>
      </w:r>
      <w:r>
        <w:rPr>
          <w:rStyle w:val="98"/>
          <w:rFonts w:hint="eastAsia"/>
        </w:rPr>
        <w:t>展示方式</w:t>
      </w:r>
      <w:r>
        <w:tab/>
      </w:r>
      <w:r>
        <w:fldChar w:fldCharType="begin"/>
      </w:r>
      <w:r>
        <w:instrText xml:space="preserve"> PAGEREF _Toc75013357 \h </w:instrText>
      </w:r>
      <w:r>
        <w:fldChar w:fldCharType="separate"/>
      </w:r>
      <w:r>
        <w:t>26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"_Toc75013358" </w:instrText>
      </w:r>
      <w:r>
        <w:fldChar w:fldCharType="separate"/>
      </w:r>
      <w:r>
        <w:rPr>
          <w:rStyle w:val="98"/>
          <w:rFonts w:hint="eastAsia"/>
        </w:rPr>
        <w:t>第82条</w:t>
      </w:r>
      <w:r>
        <w:rPr>
          <w:rFonts w:asciiTheme="minorHAnsi" w:hAnsiTheme="minorHAnsi" w:eastAsiaTheme="minorEastAsia" w:cstheme="minorBidi"/>
          <w:iCs w:val="0"/>
          <w:sz w:val="21"/>
          <w:szCs w:val="22"/>
        </w:rPr>
        <w:tab/>
      </w:r>
      <w:r>
        <w:rPr>
          <w:rStyle w:val="98"/>
          <w:rFonts w:hint="eastAsia"/>
        </w:rPr>
        <w:t>展示游线</w:t>
      </w:r>
      <w:r>
        <w:tab/>
      </w:r>
      <w:r>
        <w:fldChar w:fldCharType="begin"/>
      </w:r>
      <w:r>
        <w:instrText xml:space="preserve"> PAGEREF _Toc75013358 \h </w:instrText>
      </w:r>
      <w:r>
        <w:fldChar w:fldCharType="separate"/>
      </w:r>
      <w:r>
        <w:t>27</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"_Toc75013359" </w:instrText>
      </w:r>
      <w:r>
        <w:fldChar w:fldCharType="separate"/>
      </w:r>
      <w:r>
        <w:rPr>
          <w:rStyle w:val="98"/>
          <w:rFonts w:hint="eastAsia"/>
        </w:rPr>
        <w:t>第83条</w:t>
      </w:r>
      <w:r>
        <w:rPr>
          <w:rFonts w:asciiTheme="minorHAnsi" w:hAnsiTheme="minorHAnsi" w:eastAsiaTheme="minorEastAsia" w:cstheme="minorBidi"/>
          <w:iCs w:val="0"/>
          <w:sz w:val="21"/>
          <w:szCs w:val="22"/>
        </w:rPr>
        <w:tab/>
      </w:r>
      <w:r>
        <w:rPr>
          <w:rStyle w:val="98"/>
          <w:rFonts w:hint="eastAsia"/>
        </w:rPr>
        <w:t>展示设施规划</w:t>
      </w:r>
      <w:r>
        <w:tab/>
      </w:r>
      <w:r>
        <w:fldChar w:fldCharType="begin"/>
      </w:r>
      <w:r>
        <w:instrText xml:space="preserve"> PAGEREF _Toc75013359 \h </w:instrText>
      </w:r>
      <w:r>
        <w:fldChar w:fldCharType="separate"/>
      </w:r>
      <w:r>
        <w:t>28</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"_Toc75013360" </w:instrText>
      </w:r>
      <w:r>
        <w:fldChar w:fldCharType="separate"/>
      </w:r>
      <w:r>
        <w:rPr>
          <w:rStyle w:val="98"/>
          <w:rFonts w:hint="eastAsia"/>
        </w:rPr>
        <w:t>第84条</w:t>
      </w:r>
      <w:r>
        <w:rPr>
          <w:rFonts w:asciiTheme="minorHAnsi" w:hAnsiTheme="minorHAnsi" w:eastAsiaTheme="minorEastAsia" w:cstheme="minorBidi"/>
          <w:iCs w:val="0"/>
          <w:sz w:val="21"/>
          <w:szCs w:val="22"/>
        </w:rPr>
        <w:tab/>
      </w:r>
      <w:r>
        <w:rPr>
          <w:rStyle w:val="98"/>
          <w:rFonts w:hint="eastAsia"/>
        </w:rPr>
        <w:t>宣传教育</w:t>
      </w:r>
      <w:r>
        <w:tab/>
      </w:r>
      <w:r>
        <w:fldChar w:fldCharType="begin"/>
      </w:r>
      <w:r>
        <w:instrText xml:space="preserve"> PAGEREF _Toc75013360 \h </w:instrText>
      </w:r>
      <w:r>
        <w:fldChar w:fldCharType="separate"/>
      </w:r>
      <w:r>
        <w:t>28</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"_Toc75013361" </w:instrText>
      </w:r>
      <w:r>
        <w:fldChar w:fldCharType="separate"/>
      </w:r>
      <w:r>
        <w:rPr>
          <w:rStyle w:val="98"/>
          <w:rFonts w:hint="eastAsia"/>
        </w:rPr>
        <w:t>第85条</w:t>
      </w:r>
      <w:r>
        <w:rPr>
          <w:rFonts w:asciiTheme="minorHAnsi" w:hAnsiTheme="minorHAnsi" w:eastAsiaTheme="minorEastAsia" w:cstheme="minorBidi"/>
          <w:iCs w:val="0"/>
          <w:sz w:val="21"/>
          <w:szCs w:val="22"/>
        </w:rPr>
        <w:tab/>
      </w:r>
      <w:r>
        <w:rPr>
          <w:rStyle w:val="98"/>
          <w:rFonts w:hint="eastAsia"/>
        </w:rPr>
        <w:t>居民引导</w:t>
      </w:r>
      <w:r>
        <w:tab/>
      </w:r>
      <w:r>
        <w:fldChar w:fldCharType="begin"/>
      </w:r>
      <w:r>
        <w:instrText xml:space="preserve"> PAGEREF _Toc75013361 \h </w:instrText>
      </w:r>
      <w:r>
        <w:fldChar w:fldCharType="separate"/>
      </w:r>
      <w:r>
        <w:t>28</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"_Toc75013362" </w:instrText>
      </w:r>
      <w:r>
        <w:fldChar w:fldCharType="separate"/>
      </w:r>
      <w:r>
        <w:rPr>
          <w:rStyle w:val="98"/>
          <w:rFonts w:hint="eastAsia"/>
        </w:rPr>
        <w:t>第86条</w:t>
      </w:r>
      <w:r>
        <w:rPr>
          <w:rFonts w:asciiTheme="minorHAnsi" w:hAnsiTheme="minorHAnsi" w:eastAsiaTheme="minorEastAsia" w:cstheme="minorBidi"/>
          <w:iCs w:val="0"/>
          <w:sz w:val="21"/>
          <w:szCs w:val="22"/>
        </w:rPr>
        <w:tab/>
      </w:r>
      <w:r>
        <w:rPr>
          <w:rStyle w:val="98"/>
          <w:rFonts w:hint="eastAsia"/>
        </w:rPr>
        <w:t>游客控制</w:t>
      </w:r>
      <w:r>
        <w:tab/>
      </w:r>
      <w:r>
        <w:fldChar w:fldCharType="begin"/>
      </w:r>
      <w:r>
        <w:instrText xml:space="preserve"> PAGEREF _Toc75013362 \h </w:instrText>
      </w:r>
      <w:r>
        <w:fldChar w:fldCharType="separate"/>
      </w:r>
      <w:r>
        <w:t>28</w:t>
      </w:r>
      <w:r>
        <w:fldChar w:fldCharType="end"/>
      </w:r>
      <w:r>
        <w:fldChar w:fldCharType="end"/>
      </w:r>
    </w:p>
    <w:p>
      <w:pPr>
        <w:pStyle w:val="59"/>
        <w:tabs>
          <w:tab w:val="left" w:pos="120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"_Toc75013363" </w:instrText>
      </w:r>
      <w:r>
        <w:fldChar w:fldCharType="separate"/>
      </w:r>
      <w:r>
        <w:rPr>
          <w:rStyle w:val="98"/>
          <w:rFonts w:hint="eastAsia"/>
        </w:rPr>
        <w:t>第十一章</w:t>
      </w:r>
      <w:r>
        <w:rPr>
          <w:rFonts w:asciiTheme="minorHAnsi" w:hAnsiTheme="minorHAnsi" w:eastAsiaTheme="minorEastAsia" w:cstheme="minorBidi"/>
          <w:bCs w:val="0"/>
          <w:caps w:val="0"/>
          <w:sz w:val="21"/>
          <w:szCs w:val="22"/>
        </w:rPr>
        <w:tab/>
      </w:r>
      <w:r>
        <w:rPr>
          <w:rStyle w:val="98"/>
          <w:rFonts w:hint="eastAsia"/>
        </w:rPr>
        <w:t>管理规划</w:t>
      </w:r>
      <w:r>
        <w:tab/>
      </w:r>
      <w:r>
        <w:fldChar w:fldCharType="begin"/>
      </w:r>
      <w:r>
        <w:instrText xml:space="preserve"> PAGEREF _Toc75013363 \h </w:instrText>
      </w:r>
      <w:r>
        <w:fldChar w:fldCharType="separate"/>
      </w:r>
      <w:r>
        <w:t>30</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"_Toc75013364" </w:instrText>
      </w:r>
      <w:r>
        <w:fldChar w:fldCharType="separate"/>
      </w:r>
      <w:r>
        <w:rPr>
          <w:rStyle w:val="98"/>
          <w:rFonts w:hint="eastAsia" w:ascii="Times New Roman" w:hAnsi="Times New Roman"/>
          <w14:scene3d>
            <w14:lightRig w14:rig="threePt" w14:dir="t">
              <w14:rot w14:lat="0" w14:lon="0" w14:rev="0"/>
            </w14:lightRig>
          </w14:scene3d>
        </w:rPr>
        <w:t>第一节</w:t>
      </w:r>
      <w:r>
        <w:rPr>
          <w:rFonts w:asciiTheme="minorHAnsi" w:hAnsiTheme="minorHAnsi" w:eastAsiaTheme="minorEastAsia" w:cstheme="minorBidi"/>
          <w:smallCaps w:val="0"/>
          <w:sz w:val="21"/>
          <w:szCs w:val="22"/>
        </w:rPr>
        <w:tab/>
      </w:r>
      <w:r>
        <w:rPr>
          <w:rStyle w:val="98"/>
          <w:rFonts w:hint="eastAsia"/>
        </w:rPr>
        <w:t>管理目标与策略</w:t>
      </w:r>
      <w:r>
        <w:tab/>
      </w:r>
      <w:r>
        <w:fldChar w:fldCharType="begin"/>
      </w:r>
      <w:r>
        <w:instrText xml:space="preserve"> PAGEREF _Toc75013364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"_Toc75013365" </w:instrText>
      </w:r>
      <w:r>
        <w:fldChar w:fldCharType="separate"/>
      </w:r>
      <w:r>
        <w:rPr>
          <w:rStyle w:val="98"/>
          <w:rFonts w:hint="eastAsia"/>
        </w:rPr>
        <w:t>第87条</w:t>
      </w:r>
      <w:r>
        <w:rPr>
          <w:rFonts w:asciiTheme="minorHAnsi" w:hAnsiTheme="minorHAnsi" w:eastAsiaTheme="minorEastAsia" w:cstheme="minorBidi"/>
          <w:iCs w:val="0"/>
          <w:sz w:val="21"/>
          <w:szCs w:val="22"/>
        </w:rPr>
        <w:tab/>
      </w:r>
      <w:r>
        <w:rPr>
          <w:rStyle w:val="98"/>
          <w:rFonts w:hint="eastAsia"/>
        </w:rPr>
        <w:t>管理目标</w:t>
      </w:r>
      <w:r>
        <w:tab/>
      </w:r>
      <w:r>
        <w:fldChar w:fldCharType="begin"/>
      </w:r>
      <w:r>
        <w:instrText xml:space="preserve"> PAGEREF _Toc75013365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"_Toc75013366" </w:instrText>
      </w:r>
      <w:r>
        <w:fldChar w:fldCharType="separate"/>
      </w:r>
      <w:r>
        <w:rPr>
          <w:rStyle w:val="98"/>
          <w:rFonts w:hint="eastAsia"/>
        </w:rPr>
        <w:t>第88条</w:t>
      </w:r>
      <w:r>
        <w:rPr>
          <w:rFonts w:asciiTheme="minorHAnsi" w:hAnsiTheme="minorHAnsi" w:eastAsiaTheme="minorEastAsia" w:cstheme="minorBidi"/>
          <w:iCs w:val="0"/>
          <w:sz w:val="21"/>
          <w:szCs w:val="22"/>
        </w:rPr>
        <w:tab/>
      </w:r>
      <w:r>
        <w:rPr>
          <w:rStyle w:val="98"/>
          <w:rFonts w:hint="eastAsia"/>
        </w:rPr>
        <w:t>管理策略</w:t>
      </w:r>
      <w:r>
        <w:tab/>
      </w:r>
      <w:r>
        <w:fldChar w:fldCharType="begin"/>
      </w:r>
      <w:r>
        <w:instrText xml:space="preserve"> PAGEREF _Toc75013366 \h </w:instrText>
      </w:r>
      <w:r>
        <w:fldChar w:fldCharType="separate"/>
      </w:r>
      <w:r>
        <w:t>30</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"_Toc75013367" </w:instrText>
      </w:r>
      <w:r>
        <w:fldChar w:fldCharType="separate"/>
      </w:r>
      <w:r>
        <w:rPr>
          <w:rStyle w:val="98"/>
          <w:rFonts w:hint="eastAsia" w:ascii="Times New Roman" w:hAnsi="Times New Roman"/>
          <w14:scene3d>
            <w14:lightRig w14:rig="threePt" w14:dir="t">
              <w14:rot w14:lat="0" w14:lon="0" w14:rev="0"/>
            </w14:lightRig>
          </w14:scene3d>
        </w:rPr>
        <w:t>第二节</w:t>
      </w:r>
      <w:r>
        <w:rPr>
          <w:rFonts w:asciiTheme="minorHAnsi" w:hAnsiTheme="minorHAnsi" w:eastAsiaTheme="minorEastAsia" w:cstheme="minorBidi"/>
          <w:smallCaps w:val="0"/>
          <w:sz w:val="21"/>
          <w:szCs w:val="22"/>
        </w:rPr>
        <w:tab/>
      </w:r>
      <w:r>
        <w:rPr>
          <w:rStyle w:val="98"/>
          <w:rFonts w:hint="eastAsia"/>
        </w:rPr>
        <w:t>运营管理</w:t>
      </w:r>
      <w:r>
        <w:tab/>
      </w:r>
      <w:r>
        <w:fldChar w:fldCharType="begin"/>
      </w:r>
      <w:r>
        <w:instrText xml:space="preserve"> PAGEREF _Toc75013367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"_Toc75013368" </w:instrText>
      </w:r>
      <w:r>
        <w:fldChar w:fldCharType="separate"/>
      </w:r>
      <w:r>
        <w:rPr>
          <w:rStyle w:val="98"/>
          <w:rFonts w:hint="eastAsia"/>
        </w:rPr>
        <w:t>第89条</w:t>
      </w:r>
      <w:r>
        <w:rPr>
          <w:rFonts w:asciiTheme="minorHAnsi" w:hAnsiTheme="minorHAnsi" w:eastAsiaTheme="minorEastAsia" w:cstheme="minorBidi"/>
          <w:iCs w:val="0"/>
          <w:sz w:val="21"/>
          <w:szCs w:val="22"/>
        </w:rPr>
        <w:tab/>
      </w:r>
      <w:r>
        <w:rPr>
          <w:rStyle w:val="98"/>
          <w:rFonts w:hint="eastAsia"/>
        </w:rPr>
        <w:t>管理机构</w:t>
      </w:r>
      <w:r>
        <w:tab/>
      </w:r>
      <w:r>
        <w:fldChar w:fldCharType="begin"/>
      </w:r>
      <w:r>
        <w:instrText xml:space="preserve"> PAGEREF _Toc75013368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"_Toc75013369" </w:instrText>
      </w:r>
      <w:r>
        <w:fldChar w:fldCharType="separate"/>
      </w:r>
      <w:r>
        <w:rPr>
          <w:rStyle w:val="98"/>
          <w:rFonts w:hint="eastAsia"/>
        </w:rPr>
        <w:t>第90条</w:t>
      </w:r>
      <w:r>
        <w:rPr>
          <w:rFonts w:asciiTheme="minorHAnsi" w:hAnsiTheme="minorHAnsi" w:eastAsiaTheme="minorEastAsia" w:cstheme="minorBidi"/>
          <w:iCs w:val="0"/>
          <w:sz w:val="21"/>
          <w:szCs w:val="22"/>
        </w:rPr>
        <w:tab/>
      </w:r>
      <w:r>
        <w:rPr>
          <w:rStyle w:val="98"/>
          <w:rFonts w:hint="eastAsia"/>
        </w:rPr>
        <w:t>人员编制及要求</w:t>
      </w:r>
      <w:r>
        <w:tab/>
      </w:r>
      <w:r>
        <w:fldChar w:fldCharType="begin"/>
      </w:r>
      <w:r>
        <w:instrText xml:space="preserve"> PAGEREF _Toc75013369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"_Toc75013370" </w:instrText>
      </w:r>
      <w:r>
        <w:fldChar w:fldCharType="separate"/>
      </w:r>
      <w:r>
        <w:rPr>
          <w:rStyle w:val="98"/>
          <w:rFonts w:hint="eastAsia"/>
        </w:rPr>
        <w:t>第91条</w:t>
      </w:r>
      <w:r>
        <w:rPr>
          <w:rFonts w:asciiTheme="minorHAnsi" w:hAnsiTheme="minorHAnsi" w:eastAsiaTheme="minorEastAsia" w:cstheme="minorBidi"/>
          <w:iCs w:val="0"/>
          <w:sz w:val="21"/>
          <w:szCs w:val="22"/>
        </w:rPr>
        <w:tab/>
      </w:r>
      <w:r>
        <w:rPr>
          <w:rStyle w:val="98"/>
          <w:rFonts w:hint="eastAsia"/>
        </w:rPr>
        <w:t>管理设施</w:t>
      </w:r>
      <w:r>
        <w:tab/>
      </w:r>
      <w:r>
        <w:fldChar w:fldCharType="begin"/>
      </w:r>
      <w:r>
        <w:instrText xml:space="preserve"> PAGEREF _Toc75013370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"_Toc75013371" </w:instrText>
      </w:r>
      <w:r>
        <w:fldChar w:fldCharType="separate"/>
      </w:r>
      <w:r>
        <w:rPr>
          <w:rStyle w:val="98"/>
          <w:rFonts w:hint="eastAsia"/>
        </w:rPr>
        <w:t>第92条</w:t>
      </w:r>
      <w:r>
        <w:rPr>
          <w:rFonts w:asciiTheme="minorHAnsi" w:hAnsiTheme="minorHAnsi" w:eastAsiaTheme="minorEastAsia" w:cstheme="minorBidi"/>
          <w:iCs w:val="0"/>
          <w:sz w:val="21"/>
          <w:szCs w:val="22"/>
        </w:rPr>
        <w:tab/>
      </w:r>
      <w:r>
        <w:rPr>
          <w:rStyle w:val="98"/>
          <w:rFonts w:hint="eastAsia"/>
        </w:rPr>
        <w:t>管理法规与规章制度</w:t>
      </w:r>
      <w:r>
        <w:tab/>
      </w:r>
      <w:r>
        <w:fldChar w:fldCharType="begin"/>
      </w:r>
      <w:r>
        <w:instrText xml:space="preserve"> PAGEREF _Toc75013371 \h </w:instrText>
      </w:r>
      <w:r>
        <w:fldChar w:fldCharType="separate"/>
      </w:r>
      <w:r>
        <w:t>30</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"_Toc75013372" </w:instrText>
      </w:r>
      <w:r>
        <w:fldChar w:fldCharType="separate"/>
      </w:r>
      <w:r>
        <w:rPr>
          <w:rStyle w:val="98"/>
          <w:rFonts w:hint="eastAsia"/>
        </w:rPr>
        <w:t>第93条</w:t>
      </w:r>
      <w:r>
        <w:rPr>
          <w:rFonts w:asciiTheme="minorHAnsi" w:hAnsiTheme="minorHAnsi" w:eastAsiaTheme="minorEastAsia" w:cstheme="minorBidi"/>
          <w:iCs w:val="0"/>
          <w:sz w:val="21"/>
          <w:szCs w:val="22"/>
        </w:rPr>
        <w:tab/>
      </w:r>
      <w:r>
        <w:rPr>
          <w:rStyle w:val="98"/>
          <w:rFonts w:hint="eastAsia"/>
        </w:rPr>
        <w:t>建立政府多部门联动机制</w:t>
      </w:r>
      <w:r>
        <w:tab/>
      </w:r>
      <w:r>
        <w:fldChar w:fldCharType="begin"/>
      </w:r>
      <w:r>
        <w:instrText xml:space="preserve"> PAGEREF _Toc75013372 \h </w:instrText>
      </w:r>
      <w:r>
        <w:fldChar w:fldCharType="separate"/>
      </w:r>
      <w:r>
        <w:t>31</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"_Toc75013373" </w:instrText>
      </w:r>
      <w:r>
        <w:fldChar w:fldCharType="separate"/>
      </w:r>
      <w:r>
        <w:rPr>
          <w:rStyle w:val="98"/>
          <w:rFonts w:hint="eastAsia"/>
        </w:rPr>
        <w:t>第94条</w:t>
      </w:r>
      <w:r>
        <w:rPr>
          <w:rFonts w:asciiTheme="minorHAnsi" w:hAnsiTheme="minorHAnsi" w:eastAsiaTheme="minorEastAsia" w:cstheme="minorBidi"/>
          <w:iCs w:val="0"/>
          <w:sz w:val="21"/>
          <w:szCs w:val="22"/>
        </w:rPr>
        <w:tab/>
      </w:r>
      <w:r>
        <w:rPr>
          <w:rStyle w:val="98"/>
          <w:rFonts w:hint="eastAsia"/>
        </w:rPr>
        <w:t>审批流程</w:t>
      </w:r>
      <w:r>
        <w:tab/>
      </w:r>
      <w:r>
        <w:fldChar w:fldCharType="begin"/>
      </w:r>
      <w:r>
        <w:instrText xml:space="preserve"> PAGEREF _Toc75013373 \h </w:instrText>
      </w:r>
      <w:r>
        <w:fldChar w:fldCharType="separate"/>
      </w:r>
      <w:r>
        <w:t>31</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"_Toc75013374" </w:instrText>
      </w:r>
      <w:r>
        <w:fldChar w:fldCharType="separate"/>
      </w:r>
      <w:r>
        <w:rPr>
          <w:rStyle w:val="98"/>
          <w:rFonts w:hint="eastAsia"/>
        </w:rPr>
        <w:t>第95条</w:t>
      </w:r>
      <w:r>
        <w:rPr>
          <w:rFonts w:asciiTheme="minorHAnsi" w:hAnsiTheme="minorHAnsi" w:eastAsiaTheme="minorEastAsia" w:cstheme="minorBidi"/>
          <w:iCs w:val="0"/>
          <w:sz w:val="21"/>
          <w:szCs w:val="22"/>
        </w:rPr>
        <w:tab/>
      </w:r>
      <w:r>
        <w:rPr>
          <w:rStyle w:val="98"/>
          <w:rFonts w:hint="eastAsia"/>
        </w:rPr>
        <w:t>管理经费</w:t>
      </w:r>
      <w:r>
        <w:tab/>
      </w:r>
      <w:r>
        <w:fldChar w:fldCharType="begin"/>
      </w:r>
      <w:r>
        <w:instrText xml:space="preserve"> PAGEREF _Toc75013374 \h </w:instrText>
      </w:r>
      <w:r>
        <w:fldChar w:fldCharType="separate"/>
      </w:r>
      <w:r>
        <w:t>32</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"_Toc75013375" </w:instrText>
      </w:r>
      <w:r>
        <w:fldChar w:fldCharType="separate"/>
      </w:r>
      <w:r>
        <w:rPr>
          <w:rStyle w:val="98"/>
          <w:rFonts w:hint="eastAsia" w:ascii="Times New Roman" w:hAnsi="Times New Roman"/>
          <w14:scene3d>
            <w14:lightRig w14:rig="threePt" w14:dir="t">
              <w14:rot w14:lat="0" w14:lon="0" w14:rev="0"/>
            </w14:lightRig>
          </w14:scene3d>
        </w:rPr>
        <w:t>第三节</w:t>
      </w:r>
      <w:r>
        <w:rPr>
          <w:rFonts w:asciiTheme="minorHAnsi" w:hAnsiTheme="minorHAnsi" w:eastAsiaTheme="minorEastAsia" w:cstheme="minorBidi"/>
          <w:smallCaps w:val="0"/>
          <w:sz w:val="21"/>
          <w:szCs w:val="22"/>
        </w:rPr>
        <w:tab/>
      </w:r>
      <w:r>
        <w:rPr>
          <w:rStyle w:val="98"/>
          <w:rFonts w:hint="eastAsia"/>
        </w:rPr>
        <w:t>专项管理</w:t>
      </w:r>
      <w:r>
        <w:tab/>
      </w:r>
      <w:r>
        <w:fldChar w:fldCharType="begin"/>
      </w:r>
      <w:r>
        <w:instrText xml:space="preserve"> PAGEREF _Toc75013375 \h </w:instrText>
      </w:r>
      <w:r>
        <w:fldChar w:fldCharType="separate"/>
      </w:r>
      <w:r>
        <w:t>32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"_Toc75013376" </w:instrText>
      </w:r>
      <w:r>
        <w:fldChar w:fldCharType="separate"/>
      </w:r>
      <w:r>
        <w:rPr>
          <w:rStyle w:val="98"/>
          <w:rFonts w:hint="eastAsia"/>
        </w:rPr>
        <w:t>第96条</w:t>
      </w:r>
      <w:r>
        <w:rPr>
          <w:rFonts w:asciiTheme="minorHAnsi" w:hAnsiTheme="minorHAnsi" w:eastAsiaTheme="minorEastAsia" w:cstheme="minorBidi"/>
          <w:iCs w:val="0"/>
          <w:sz w:val="21"/>
          <w:szCs w:val="22"/>
        </w:rPr>
        <w:tab/>
      </w:r>
      <w:r>
        <w:rPr>
          <w:rStyle w:val="98"/>
          <w:rFonts w:hint="eastAsia"/>
        </w:rPr>
        <w:t>日常管理</w:t>
      </w:r>
      <w:r>
        <w:tab/>
      </w:r>
      <w:r>
        <w:fldChar w:fldCharType="begin"/>
      </w:r>
      <w:r>
        <w:instrText xml:space="preserve"> PAGEREF _Toc75013376 \h </w:instrText>
      </w:r>
      <w:r>
        <w:fldChar w:fldCharType="separate"/>
      </w:r>
      <w:r>
        <w:t>32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"_Toc75013377" </w:instrText>
      </w:r>
      <w:r>
        <w:fldChar w:fldCharType="separate"/>
      </w:r>
      <w:r>
        <w:rPr>
          <w:rStyle w:val="98"/>
          <w:rFonts w:hint="eastAsia"/>
        </w:rPr>
        <w:t>第97条</w:t>
      </w:r>
      <w:r>
        <w:rPr>
          <w:rFonts w:asciiTheme="minorHAnsi" w:hAnsiTheme="minorHAnsi" w:eastAsiaTheme="minorEastAsia" w:cstheme="minorBidi"/>
          <w:iCs w:val="0"/>
          <w:sz w:val="21"/>
          <w:szCs w:val="22"/>
        </w:rPr>
        <w:tab/>
      </w:r>
      <w:r>
        <w:rPr>
          <w:rStyle w:val="98"/>
          <w:rFonts w:hint="eastAsia"/>
        </w:rPr>
        <w:t>工程管理</w:t>
      </w:r>
      <w:r>
        <w:tab/>
      </w:r>
      <w:r>
        <w:fldChar w:fldCharType="begin"/>
      </w:r>
      <w:r>
        <w:instrText xml:space="preserve"> PAGEREF _Toc75013377 \h </w:instrText>
      </w:r>
      <w:r>
        <w:fldChar w:fldCharType="separate"/>
      </w:r>
      <w:r>
        <w:t>32</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"_Toc75013378" </w:instrText>
      </w:r>
      <w:r>
        <w:fldChar w:fldCharType="separate"/>
      </w:r>
      <w:r>
        <w:rPr>
          <w:rStyle w:val="98"/>
          <w:rFonts w:hint="eastAsia"/>
        </w:rPr>
        <w:t>第98条</w:t>
      </w:r>
      <w:r>
        <w:rPr>
          <w:rFonts w:asciiTheme="minorHAnsi" w:hAnsiTheme="minorHAnsi" w:eastAsiaTheme="minorEastAsia" w:cstheme="minorBidi"/>
          <w:iCs w:val="0"/>
          <w:sz w:val="21"/>
          <w:szCs w:val="22"/>
        </w:rPr>
        <w:tab/>
      </w:r>
      <w:r>
        <w:rPr>
          <w:rStyle w:val="98"/>
          <w:rFonts w:hint="eastAsia"/>
        </w:rPr>
        <w:t>资料管理</w:t>
      </w:r>
      <w:r>
        <w:tab/>
      </w:r>
      <w:r>
        <w:fldChar w:fldCharType="begin"/>
      </w:r>
      <w:r>
        <w:instrText xml:space="preserve"> PAGEREF _Toc75013378 \h </w:instrText>
      </w:r>
      <w:r>
        <w:fldChar w:fldCharType="separate"/>
      </w:r>
      <w:r>
        <w:t>33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"_Toc75013379" </w:instrText>
      </w:r>
      <w:r>
        <w:fldChar w:fldCharType="separate"/>
      </w:r>
      <w:r>
        <w:rPr>
          <w:rStyle w:val="98"/>
          <w:rFonts w:hint="eastAsia"/>
        </w:rPr>
        <w:t>第99条</w:t>
      </w:r>
      <w:r>
        <w:rPr>
          <w:rFonts w:asciiTheme="minorHAnsi" w:hAnsiTheme="minorHAnsi" w:eastAsiaTheme="minorEastAsia" w:cstheme="minorBidi"/>
          <w:iCs w:val="0"/>
          <w:sz w:val="21"/>
          <w:szCs w:val="22"/>
        </w:rPr>
        <w:tab/>
      </w:r>
      <w:r>
        <w:rPr>
          <w:rStyle w:val="98"/>
          <w:rFonts w:hint="eastAsia"/>
        </w:rPr>
        <w:t>宣传教育</w:t>
      </w:r>
      <w:r>
        <w:tab/>
      </w:r>
      <w:r>
        <w:fldChar w:fldCharType="begin"/>
      </w:r>
      <w:r>
        <w:instrText xml:space="preserve"> PAGEREF _Toc75013379 \h </w:instrText>
      </w:r>
      <w:r>
        <w:fldChar w:fldCharType="separate"/>
      </w:r>
      <w:r>
        <w:t>33</w:t>
      </w:r>
      <w:r>
        <w:fldChar w:fldCharType="end"/>
      </w:r>
      <w:r>
        <w:fldChar w:fldCharType="end"/>
      </w:r>
    </w:p>
    <w:p>
      <w:pPr>
        <w:pStyle w:val="59"/>
        <w:tabs>
          <w:tab w:val="left" w:pos="120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"_Toc75013380" </w:instrText>
      </w:r>
      <w:r>
        <w:fldChar w:fldCharType="separate"/>
      </w:r>
      <w:r>
        <w:rPr>
          <w:rStyle w:val="98"/>
          <w:rFonts w:hint="eastAsia"/>
        </w:rPr>
        <w:t>第十二章</w:t>
      </w:r>
      <w:r>
        <w:rPr>
          <w:rFonts w:asciiTheme="minorHAnsi" w:hAnsiTheme="minorHAnsi" w:eastAsiaTheme="minorEastAsia" w:cstheme="minorBidi"/>
          <w:bCs w:val="0"/>
          <w:caps w:val="0"/>
          <w:sz w:val="21"/>
          <w:szCs w:val="22"/>
        </w:rPr>
        <w:tab/>
      </w:r>
      <w:r>
        <w:rPr>
          <w:rStyle w:val="98"/>
          <w:rFonts w:hint="eastAsia"/>
        </w:rPr>
        <w:t>与相关规划的衔接</w:t>
      </w:r>
      <w:r>
        <w:tab/>
      </w:r>
      <w:r>
        <w:fldChar w:fldCharType="begin"/>
      </w:r>
      <w:r>
        <w:instrText xml:space="preserve"> PAGEREF _Toc75013380 \h </w:instrText>
      </w:r>
      <w:r>
        <w:fldChar w:fldCharType="separate"/>
      </w:r>
      <w:r>
        <w:t>33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"_Toc75013381" </w:instrText>
      </w:r>
      <w:r>
        <w:fldChar w:fldCharType="separate"/>
      </w:r>
      <w:r>
        <w:rPr>
          <w:rStyle w:val="98"/>
          <w:rFonts w:hint="eastAsia"/>
        </w:rPr>
        <w:t>第100条</w:t>
      </w:r>
      <w:r>
        <w:rPr>
          <w:rFonts w:asciiTheme="minorHAnsi" w:hAnsiTheme="minorHAnsi" w:eastAsiaTheme="minorEastAsia" w:cstheme="minorBidi"/>
          <w:iCs w:val="0"/>
          <w:sz w:val="21"/>
          <w:szCs w:val="22"/>
        </w:rPr>
        <w:tab/>
      </w:r>
      <w:r>
        <w:rPr>
          <w:rStyle w:val="98"/>
          <w:rFonts w:hint="eastAsia"/>
        </w:rPr>
        <w:t>与《大鹏所城保护规划（</w:t>
      </w:r>
      <w:r>
        <w:rPr>
          <w:rStyle w:val="98"/>
        </w:rPr>
        <w:t>2004-2020</w:t>
      </w:r>
      <w:r>
        <w:rPr>
          <w:rStyle w:val="98"/>
          <w:rFonts w:hint="eastAsia"/>
        </w:rPr>
        <w:t>）》的衔接</w:t>
      </w:r>
      <w:r>
        <w:tab/>
      </w:r>
      <w:r>
        <w:fldChar w:fldCharType="begin"/>
      </w:r>
      <w:r>
        <w:instrText xml:space="preserve"> PAGEREF _Toc75013381 \h </w:instrText>
      </w:r>
      <w:r>
        <w:fldChar w:fldCharType="separate"/>
      </w:r>
      <w:r>
        <w:t>33</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"_Toc75013382" </w:instrText>
      </w:r>
      <w:r>
        <w:fldChar w:fldCharType="separate"/>
      </w:r>
      <w:r>
        <w:rPr>
          <w:rStyle w:val="98"/>
          <w:rFonts w:hint="eastAsia"/>
        </w:rPr>
        <w:t>第101条</w:t>
      </w:r>
      <w:r>
        <w:rPr>
          <w:rFonts w:asciiTheme="minorHAnsi" w:hAnsiTheme="minorHAnsi" w:eastAsiaTheme="minorEastAsia" w:cstheme="minorBidi"/>
          <w:iCs w:val="0"/>
          <w:sz w:val="21"/>
          <w:szCs w:val="22"/>
        </w:rPr>
        <w:tab/>
      </w:r>
      <w:r>
        <w:rPr>
          <w:rStyle w:val="98"/>
          <w:rFonts w:hint="eastAsia"/>
        </w:rPr>
        <w:t>与《全国重点文物保护单位深圳大鹏所城保护规划（</w:t>
      </w:r>
      <w:r>
        <w:rPr>
          <w:rStyle w:val="98"/>
        </w:rPr>
        <w:t>2005-2020</w:t>
      </w:r>
      <w:r>
        <w:rPr>
          <w:rStyle w:val="98"/>
          <w:rFonts w:hint="eastAsia"/>
        </w:rPr>
        <w:t>）》的衔接</w:t>
      </w:r>
      <w:r>
        <w:tab/>
      </w:r>
      <w:r>
        <w:fldChar w:fldCharType="begin"/>
      </w:r>
      <w:r>
        <w:instrText xml:space="preserve"> PAGEREF _Toc75013382 \h </w:instrText>
      </w:r>
      <w:r>
        <w:fldChar w:fldCharType="separate"/>
      </w:r>
      <w:r>
        <w:t>34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"_Toc75013383" </w:instrText>
      </w:r>
      <w:r>
        <w:fldChar w:fldCharType="separate"/>
      </w:r>
      <w:r>
        <w:rPr>
          <w:rStyle w:val="98"/>
          <w:rFonts w:hint="eastAsia"/>
        </w:rPr>
        <w:t>第102条</w:t>
      </w:r>
      <w:r>
        <w:rPr>
          <w:rFonts w:asciiTheme="minorHAnsi" w:hAnsiTheme="minorHAnsi" w:eastAsiaTheme="minorEastAsia" w:cstheme="minorBidi"/>
          <w:iCs w:val="0"/>
          <w:sz w:val="21"/>
          <w:szCs w:val="22"/>
        </w:rPr>
        <w:tab/>
      </w:r>
      <w:r>
        <w:rPr>
          <w:rStyle w:val="98"/>
          <w:rFonts w:hint="eastAsia"/>
        </w:rPr>
        <w:t>与《深圳市龙岗</w:t>
      </w:r>
      <w:r>
        <w:rPr>
          <w:rStyle w:val="98"/>
        </w:rPr>
        <w:t>LG402-03</w:t>
      </w:r>
      <w:r>
        <w:rPr>
          <w:rStyle w:val="98"/>
          <w:rFonts w:hint="eastAsia"/>
        </w:rPr>
        <w:t>号片区【大鹏鹏城地区】法定图则》的衔接</w:t>
      </w:r>
      <w:r>
        <w:tab/>
      </w:r>
      <w:r>
        <w:fldChar w:fldCharType="begin"/>
      </w:r>
      <w:r>
        <w:instrText xml:space="preserve"> PAGEREF _Toc75013383 \h </w:instrText>
      </w:r>
      <w:r>
        <w:fldChar w:fldCharType="separate"/>
      </w:r>
      <w:r>
        <w:t>34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"_Toc75013384" </w:instrText>
      </w:r>
      <w:r>
        <w:fldChar w:fldCharType="separate"/>
      </w:r>
      <w:r>
        <w:rPr>
          <w:rStyle w:val="98"/>
          <w:rFonts w:hint="eastAsia"/>
        </w:rPr>
        <w:t>第103条</w:t>
      </w:r>
      <w:r>
        <w:rPr>
          <w:rFonts w:asciiTheme="minorHAnsi" w:hAnsiTheme="minorHAnsi" w:eastAsiaTheme="minorEastAsia" w:cstheme="minorBidi"/>
          <w:iCs w:val="0"/>
          <w:sz w:val="21"/>
          <w:szCs w:val="22"/>
        </w:rPr>
        <w:tab/>
      </w:r>
      <w:r>
        <w:rPr>
          <w:rStyle w:val="98"/>
          <w:rFonts w:hint="eastAsia"/>
        </w:rPr>
        <w:t>与《深圳市城市总体规划》的衔接</w:t>
      </w:r>
      <w:r>
        <w:tab/>
      </w:r>
      <w:r>
        <w:fldChar w:fldCharType="begin"/>
      </w:r>
      <w:r>
        <w:instrText xml:space="preserve"> PAGEREF _Toc75013384 \h </w:instrText>
      </w:r>
      <w:r>
        <w:fldChar w:fldCharType="separate"/>
      </w:r>
      <w:r>
        <w:t>34</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"_Toc75013385" </w:instrText>
      </w:r>
      <w:r>
        <w:fldChar w:fldCharType="separate"/>
      </w:r>
      <w:r>
        <w:rPr>
          <w:rStyle w:val="98"/>
          <w:rFonts w:hint="eastAsia"/>
        </w:rPr>
        <w:t>第104条</w:t>
      </w:r>
      <w:r>
        <w:rPr>
          <w:rFonts w:asciiTheme="minorHAnsi" w:hAnsiTheme="minorHAnsi" w:eastAsiaTheme="minorEastAsia" w:cstheme="minorBidi"/>
          <w:iCs w:val="0"/>
          <w:sz w:val="21"/>
          <w:szCs w:val="22"/>
        </w:rPr>
        <w:tab/>
      </w:r>
      <w:r>
        <w:rPr>
          <w:rStyle w:val="98"/>
          <w:rFonts w:hint="eastAsia"/>
        </w:rPr>
        <w:t>与《深圳市海岸带综合保护与利用规划（</w:t>
      </w:r>
      <w:r>
        <w:rPr>
          <w:rStyle w:val="98"/>
        </w:rPr>
        <w:t>2018-2035</w:t>
      </w:r>
      <w:r>
        <w:rPr>
          <w:rStyle w:val="98"/>
          <w:rFonts w:hint="eastAsia"/>
        </w:rPr>
        <w:t>）》的衔接</w:t>
      </w:r>
      <w:r>
        <w:tab/>
      </w:r>
      <w:r>
        <w:fldChar w:fldCharType="begin"/>
      </w:r>
      <w:r>
        <w:instrText xml:space="preserve"> PAGEREF _Toc75013385 \h </w:instrText>
      </w:r>
      <w:r>
        <w:fldChar w:fldCharType="separate"/>
      </w:r>
      <w:r>
        <w:t>34</w:t>
      </w:r>
      <w:r>
        <w:fldChar w:fldCharType="end"/>
      </w:r>
      <w:r>
        <w:fldChar w:fldCharType="end"/>
      </w:r>
    </w:p>
    <w:p>
      <w:pPr>
        <w:pStyle w:val="59"/>
        <w:tabs>
          <w:tab w:val="left" w:pos="120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"_Toc75013386" </w:instrText>
      </w:r>
      <w:r>
        <w:fldChar w:fldCharType="separate"/>
      </w:r>
      <w:r>
        <w:rPr>
          <w:rStyle w:val="98"/>
          <w:rFonts w:hint="eastAsia"/>
        </w:rPr>
        <w:t>第十三章</w:t>
      </w:r>
      <w:r>
        <w:rPr>
          <w:rFonts w:asciiTheme="minorHAnsi" w:hAnsiTheme="minorHAnsi" w:eastAsiaTheme="minorEastAsia" w:cstheme="minorBidi"/>
          <w:bCs w:val="0"/>
          <w:caps w:val="0"/>
          <w:sz w:val="21"/>
          <w:szCs w:val="22"/>
        </w:rPr>
        <w:tab/>
      </w:r>
      <w:r>
        <w:rPr>
          <w:rStyle w:val="98"/>
          <w:rFonts w:hint="eastAsia"/>
        </w:rPr>
        <w:t>研究规划</w:t>
      </w:r>
      <w:r>
        <w:tab/>
      </w:r>
      <w:r>
        <w:fldChar w:fldCharType="begin"/>
      </w:r>
      <w:r>
        <w:instrText xml:space="preserve"> PAGEREF _Toc75013386 \h </w:instrText>
      </w:r>
      <w:r>
        <w:fldChar w:fldCharType="separate"/>
      </w:r>
      <w:r>
        <w:t>35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"_Toc75013387" </w:instrText>
      </w:r>
      <w:r>
        <w:fldChar w:fldCharType="separate"/>
      </w:r>
      <w:r>
        <w:rPr>
          <w:rStyle w:val="98"/>
          <w:rFonts w:hint="eastAsia"/>
        </w:rPr>
        <w:t>第105条</w:t>
      </w:r>
      <w:r>
        <w:rPr>
          <w:rFonts w:asciiTheme="minorHAnsi" w:hAnsiTheme="minorHAnsi" w:eastAsiaTheme="minorEastAsia" w:cstheme="minorBidi"/>
          <w:iCs w:val="0"/>
          <w:sz w:val="21"/>
          <w:szCs w:val="22"/>
        </w:rPr>
        <w:tab/>
      </w:r>
      <w:r>
        <w:rPr>
          <w:rStyle w:val="98"/>
          <w:rFonts w:hint="eastAsia"/>
        </w:rPr>
        <w:t>考古研究</w:t>
      </w:r>
      <w:r>
        <w:tab/>
      </w:r>
      <w:r>
        <w:fldChar w:fldCharType="begin"/>
      </w:r>
      <w:r>
        <w:instrText xml:space="preserve"> PAGEREF _Toc75013387 \h </w:instrText>
      </w:r>
      <w:r>
        <w:fldChar w:fldCharType="separate"/>
      </w:r>
      <w:r>
        <w:t>35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"_Toc75013388" </w:instrText>
      </w:r>
      <w:r>
        <w:fldChar w:fldCharType="separate"/>
      </w:r>
      <w:r>
        <w:rPr>
          <w:rStyle w:val="98"/>
          <w:rFonts w:hint="eastAsia"/>
        </w:rPr>
        <w:t>第106条</w:t>
      </w:r>
      <w:r>
        <w:rPr>
          <w:rFonts w:asciiTheme="minorHAnsi" w:hAnsiTheme="minorHAnsi" w:eastAsiaTheme="minorEastAsia" w:cstheme="minorBidi"/>
          <w:iCs w:val="0"/>
          <w:sz w:val="21"/>
          <w:szCs w:val="22"/>
        </w:rPr>
        <w:tab/>
      </w:r>
      <w:r>
        <w:rPr>
          <w:rStyle w:val="98"/>
          <w:rFonts w:hint="eastAsia"/>
        </w:rPr>
        <w:t>相关研究</w:t>
      </w:r>
      <w:r>
        <w:tab/>
      </w:r>
      <w:r>
        <w:fldChar w:fldCharType="begin"/>
      </w:r>
      <w:r>
        <w:instrText xml:space="preserve"> PAGEREF _Toc75013388 \h </w:instrText>
      </w:r>
      <w:r>
        <w:fldChar w:fldCharType="separate"/>
      </w:r>
      <w:r>
        <w:t>35</w:t>
      </w:r>
      <w:r>
        <w:fldChar w:fldCharType="end"/>
      </w:r>
      <w:r>
        <w:fldChar w:fldCharType="end"/>
      </w:r>
    </w:p>
    <w:p>
      <w:pPr>
        <w:pStyle w:val="59"/>
        <w:tabs>
          <w:tab w:val="left" w:pos="120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"_Toc75013389" </w:instrText>
      </w:r>
      <w:r>
        <w:fldChar w:fldCharType="separate"/>
      </w:r>
      <w:r>
        <w:rPr>
          <w:rStyle w:val="98"/>
          <w:rFonts w:hint="eastAsia"/>
        </w:rPr>
        <w:t>第十四章</w:t>
      </w:r>
      <w:r>
        <w:rPr>
          <w:rFonts w:asciiTheme="minorHAnsi" w:hAnsiTheme="minorHAnsi" w:eastAsiaTheme="minorEastAsia" w:cstheme="minorBidi"/>
          <w:bCs w:val="0"/>
          <w:caps w:val="0"/>
          <w:sz w:val="21"/>
          <w:szCs w:val="22"/>
        </w:rPr>
        <w:tab/>
      </w:r>
      <w:r>
        <w:rPr>
          <w:rStyle w:val="98"/>
          <w:rFonts w:hint="eastAsia"/>
        </w:rPr>
        <w:t>规划分期与投资估算</w:t>
      </w:r>
      <w:r>
        <w:tab/>
      </w:r>
      <w:r>
        <w:fldChar w:fldCharType="begin"/>
      </w:r>
      <w:r>
        <w:instrText xml:space="preserve"> PAGEREF _Toc75013389 \h </w:instrText>
      </w:r>
      <w:r>
        <w:fldChar w:fldCharType="separate"/>
      </w:r>
      <w:r>
        <w:t>35</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"_Toc75013390" </w:instrText>
      </w:r>
      <w:r>
        <w:fldChar w:fldCharType="separate"/>
      </w:r>
      <w:r>
        <w:rPr>
          <w:rStyle w:val="98"/>
          <w:rFonts w:hint="eastAsia" w:ascii="Times New Roman" w:hAnsi="Times New Roman"/>
          <w14:scene3d>
            <w14:lightRig w14:rig="threePt" w14:dir="t">
              <w14:rot w14:lat="0" w14:lon="0" w14:rev="0"/>
            </w14:lightRig>
          </w14:scene3d>
        </w:rPr>
        <w:t>第四节</w:t>
      </w:r>
      <w:r>
        <w:rPr>
          <w:rFonts w:asciiTheme="minorHAnsi" w:hAnsiTheme="minorHAnsi" w:eastAsiaTheme="minorEastAsia" w:cstheme="minorBidi"/>
          <w:smallCaps w:val="0"/>
          <w:sz w:val="21"/>
          <w:szCs w:val="22"/>
        </w:rPr>
        <w:tab/>
      </w:r>
      <w:r>
        <w:rPr>
          <w:rStyle w:val="98"/>
          <w:rFonts w:hint="eastAsia"/>
        </w:rPr>
        <w:t>规划分期与实施重点</w:t>
      </w:r>
      <w:r>
        <w:tab/>
      </w:r>
      <w:r>
        <w:fldChar w:fldCharType="begin"/>
      </w:r>
      <w:r>
        <w:instrText xml:space="preserve"> PAGEREF _Toc75013390 \h </w:instrText>
      </w:r>
      <w:r>
        <w:fldChar w:fldCharType="separate"/>
      </w:r>
      <w:r>
        <w:t>35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"_Toc75013391" </w:instrText>
      </w:r>
      <w:r>
        <w:fldChar w:fldCharType="separate"/>
      </w:r>
      <w:r>
        <w:rPr>
          <w:rStyle w:val="98"/>
          <w:rFonts w:hint="eastAsia"/>
        </w:rPr>
        <w:t>第107条</w:t>
      </w:r>
      <w:r>
        <w:rPr>
          <w:rFonts w:asciiTheme="minorHAnsi" w:hAnsiTheme="minorHAnsi" w:eastAsiaTheme="minorEastAsia" w:cstheme="minorBidi"/>
          <w:iCs w:val="0"/>
          <w:sz w:val="21"/>
          <w:szCs w:val="22"/>
        </w:rPr>
        <w:tab/>
      </w:r>
      <w:r>
        <w:rPr>
          <w:rStyle w:val="98"/>
          <w:rFonts w:hint="eastAsia"/>
        </w:rPr>
        <w:t>分期依据</w:t>
      </w:r>
      <w:r>
        <w:tab/>
      </w:r>
      <w:r>
        <w:fldChar w:fldCharType="begin"/>
      </w:r>
      <w:r>
        <w:instrText xml:space="preserve"> PAGEREF _Toc75013391 \h </w:instrText>
      </w:r>
      <w:r>
        <w:fldChar w:fldCharType="separate"/>
      </w:r>
      <w:r>
        <w:t>35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"_Toc75013392" </w:instrText>
      </w:r>
      <w:r>
        <w:fldChar w:fldCharType="separate"/>
      </w:r>
      <w:r>
        <w:rPr>
          <w:rStyle w:val="98"/>
          <w:rFonts w:hint="eastAsia"/>
        </w:rPr>
        <w:t>第108条</w:t>
      </w:r>
      <w:r>
        <w:rPr>
          <w:rFonts w:asciiTheme="minorHAnsi" w:hAnsiTheme="minorHAnsi" w:eastAsiaTheme="minorEastAsia" w:cstheme="minorBidi"/>
          <w:iCs w:val="0"/>
          <w:sz w:val="21"/>
          <w:szCs w:val="22"/>
        </w:rPr>
        <w:tab/>
      </w:r>
      <w:r>
        <w:rPr>
          <w:rStyle w:val="98"/>
          <w:rFonts w:hint="eastAsia"/>
        </w:rPr>
        <w:t>规划分期</w:t>
      </w:r>
      <w:r>
        <w:tab/>
      </w:r>
      <w:r>
        <w:fldChar w:fldCharType="begin"/>
      </w:r>
      <w:r>
        <w:instrText xml:space="preserve"> PAGEREF _Toc75013392 \h </w:instrText>
      </w:r>
      <w:r>
        <w:fldChar w:fldCharType="separate"/>
      </w:r>
      <w:r>
        <w:t>35</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"_Toc75013393" </w:instrText>
      </w:r>
      <w:r>
        <w:fldChar w:fldCharType="separate"/>
      </w:r>
      <w:r>
        <w:rPr>
          <w:rStyle w:val="98"/>
          <w:rFonts w:hint="eastAsia"/>
        </w:rPr>
        <w:t>第109条</w:t>
      </w:r>
      <w:r>
        <w:rPr>
          <w:rFonts w:asciiTheme="minorHAnsi" w:hAnsiTheme="minorHAnsi" w:eastAsiaTheme="minorEastAsia" w:cstheme="minorBidi"/>
          <w:iCs w:val="0"/>
          <w:sz w:val="21"/>
          <w:szCs w:val="22"/>
        </w:rPr>
        <w:tab/>
      </w:r>
      <w:r>
        <w:rPr>
          <w:rStyle w:val="98"/>
          <w:rFonts w:hint="eastAsia"/>
        </w:rPr>
        <w:t>分期实施重点</w:t>
      </w:r>
      <w:r>
        <w:tab/>
      </w:r>
      <w:r>
        <w:fldChar w:fldCharType="begin"/>
      </w:r>
      <w:r>
        <w:instrText xml:space="preserve"> PAGEREF _Toc75013393 \h </w:instrText>
      </w:r>
      <w:r>
        <w:fldChar w:fldCharType="separate"/>
      </w:r>
      <w:r>
        <w:t>35</w:t>
      </w:r>
      <w:r>
        <w:fldChar w:fldCharType="end"/>
      </w:r>
      <w:r>
        <w:fldChar w:fldCharType="end"/>
      </w:r>
    </w:p>
    <w:p>
      <w:pPr>
        <w:pStyle w:val="74"/>
        <w:tabs>
          <w:tab w:val="left" w:pos="1200"/>
          <w:tab w:val="right" w:leader="dot" w:pos="10037"/>
        </w:tabs>
        <w:rPr>
          <w:rFonts w:asciiTheme="minorHAnsi" w:hAnsiTheme="minorHAnsi" w:eastAsiaTheme="minorEastAsia" w:cstheme="minorBidi"/>
          <w:smallCaps w:val="0"/>
          <w:sz w:val="21"/>
          <w:szCs w:val="22"/>
        </w:rPr>
      </w:pPr>
      <w:r>
        <w:fldChar w:fldCharType="begin"/>
      </w:r>
      <w:r>
        <w:instrText xml:space="preserve"> HYPERLINK \l "_Toc75013394" </w:instrText>
      </w:r>
      <w:r>
        <w:fldChar w:fldCharType="separate"/>
      </w:r>
      <w:r>
        <w:rPr>
          <w:rStyle w:val="98"/>
          <w:rFonts w:hint="eastAsia" w:ascii="Times New Roman" w:hAnsi="Times New Roman"/>
          <w14:scene3d>
            <w14:lightRig w14:rig="threePt" w14:dir="t">
              <w14:rot w14:lat="0" w14:lon="0" w14:rev="0"/>
            </w14:lightRig>
          </w14:scene3d>
        </w:rPr>
        <w:t>第五节</w:t>
      </w:r>
      <w:r>
        <w:rPr>
          <w:rFonts w:asciiTheme="minorHAnsi" w:hAnsiTheme="minorHAnsi" w:eastAsiaTheme="minorEastAsia" w:cstheme="minorBidi"/>
          <w:smallCaps w:val="0"/>
          <w:sz w:val="21"/>
          <w:szCs w:val="22"/>
        </w:rPr>
        <w:tab/>
      </w:r>
      <w:r>
        <w:rPr>
          <w:rStyle w:val="98"/>
          <w:rFonts w:hint="eastAsia"/>
        </w:rPr>
        <w:t>投资估算</w:t>
      </w:r>
      <w:r>
        <w:tab/>
      </w:r>
      <w:r>
        <w:fldChar w:fldCharType="begin"/>
      </w:r>
      <w:r>
        <w:instrText xml:space="preserve"> PAGEREF _Toc75013394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"_Toc75013395" </w:instrText>
      </w:r>
      <w:r>
        <w:fldChar w:fldCharType="separate"/>
      </w:r>
      <w:r>
        <w:rPr>
          <w:rStyle w:val="98"/>
          <w:rFonts w:hint="eastAsia"/>
        </w:rPr>
        <w:t>第110条</w:t>
      </w:r>
      <w:r>
        <w:rPr>
          <w:rFonts w:asciiTheme="minorHAnsi" w:hAnsiTheme="minorHAnsi" w:eastAsiaTheme="minorEastAsia" w:cstheme="minorBidi"/>
          <w:iCs w:val="0"/>
          <w:sz w:val="21"/>
          <w:szCs w:val="22"/>
        </w:rPr>
        <w:tab/>
      </w:r>
      <w:r>
        <w:rPr>
          <w:rStyle w:val="98"/>
          <w:rFonts w:hint="eastAsia"/>
        </w:rPr>
        <w:t>估算说明</w:t>
      </w:r>
      <w:r>
        <w:tab/>
      </w:r>
      <w:r>
        <w:fldChar w:fldCharType="begin"/>
      </w:r>
      <w:r>
        <w:instrText xml:space="preserve"> PAGEREF _Toc75013395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"_Toc75013396" </w:instrText>
      </w:r>
      <w:r>
        <w:fldChar w:fldCharType="separate"/>
      </w:r>
      <w:r>
        <w:rPr>
          <w:rStyle w:val="98"/>
          <w:rFonts w:hint="eastAsia"/>
        </w:rPr>
        <w:t>第111条</w:t>
      </w:r>
      <w:r>
        <w:rPr>
          <w:rFonts w:asciiTheme="minorHAnsi" w:hAnsiTheme="minorHAnsi" w:eastAsiaTheme="minorEastAsia" w:cstheme="minorBidi"/>
          <w:iCs w:val="0"/>
          <w:sz w:val="21"/>
          <w:szCs w:val="22"/>
        </w:rPr>
        <w:tab/>
      </w:r>
      <w:r>
        <w:rPr>
          <w:rStyle w:val="98"/>
          <w:rFonts w:hint="eastAsia"/>
        </w:rPr>
        <w:t>近期重点项目投资估算</w:t>
      </w:r>
      <w:r>
        <w:tab/>
      </w:r>
      <w:r>
        <w:fldChar w:fldCharType="begin"/>
      </w:r>
      <w:r>
        <w:instrText xml:space="preserve"> PAGEREF _Toc75013396 \h </w:instrText>
      </w:r>
      <w:r>
        <w:fldChar w:fldCharType="separate"/>
      </w:r>
      <w:r>
        <w:t>36</w:t>
      </w:r>
      <w:r>
        <w:fldChar w:fldCharType="end"/>
      </w:r>
      <w:r>
        <w:fldChar w:fldCharType="end"/>
      </w:r>
    </w:p>
    <w:p>
      <w:pPr>
        <w:pStyle w:val="59"/>
        <w:tabs>
          <w:tab w:val="left" w:pos="120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"_Toc75013397" </w:instrText>
      </w:r>
      <w:r>
        <w:fldChar w:fldCharType="separate"/>
      </w:r>
      <w:r>
        <w:rPr>
          <w:rStyle w:val="98"/>
          <w:rFonts w:hint="eastAsia"/>
        </w:rPr>
        <w:t>第十五章</w:t>
      </w:r>
      <w:r>
        <w:rPr>
          <w:rFonts w:asciiTheme="minorHAnsi" w:hAnsiTheme="minorHAnsi" w:eastAsiaTheme="minorEastAsia" w:cstheme="minorBidi"/>
          <w:bCs w:val="0"/>
          <w:caps w:val="0"/>
          <w:sz w:val="21"/>
          <w:szCs w:val="22"/>
        </w:rPr>
        <w:tab/>
      </w:r>
      <w:r>
        <w:rPr>
          <w:rStyle w:val="98"/>
          <w:rFonts w:hint="eastAsia"/>
        </w:rPr>
        <w:t>规划实施保障</w:t>
      </w:r>
      <w:r>
        <w:tab/>
      </w:r>
      <w:r>
        <w:fldChar w:fldCharType="begin"/>
      </w:r>
      <w:r>
        <w:instrText xml:space="preserve"> PAGEREF _Toc75013397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"_Toc75013398" </w:instrText>
      </w:r>
      <w:r>
        <w:fldChar w:fldCharType="separate"/>
      </w:r>
      <w:r>
        <w:rPr>
          <w:rStyle w:val="98"/>
          <w:rFonts w:hint="eastAsia"/>
        </w:rPr>
        <w:t>第112条</w:t>
      </w:r>
      <w:r>
        <w:rPr>
          <w:rFonts w:asciiTheme="minorHAnsi" w:hAnsiTheme="minorHAnsi" w:eastAsiaTheme="minorEastAsia" w:cstheme="minorBidi"/>
          <w:iCs w:val="0"/>
          <w:sz w:val="21"/>
          <w:szCs w:val="22"/>
        </w:rPr>
        <w:tab/>
      </w:r>
      <w:r>
        <w:rPr>
          <w:rStyle w:val="98"/>
          <w:rFonts w:hint="eastAsia"/>
        </w:rPr>
        <w:t>经费来源</w:t>
      </w:r>
      <w:r>
        <w:tab/>
      </w:r>
      <w:r>
        <w:fldChar w:fldCharType="begin"/>
      </w:r>
      <w:r>
        <w:instrText xml:space="preserve"> PAGEREF _Toc75013398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"_Toc75013399" </w:instrText>
      </w:r>
      <w:r>
        <w:fldChar w:fldCharType="separate"/>
      </w:r>
      <w:r>
        <w:rPr>
          <w:rStyle w:val="98"/>
          <w:rFonts w:hint="eastAsia"/>
        </w:rPr>
        <w:t>第113条</w:t>
      </w:r>
      <w:r>
        <w:rPr>
          <w:rFonts w:asciiTheme="minorHAnsi" w:hAnsiTheme="minorHAnsi" w:eastAsiaTheme="minorEastAsia" w:cstheme="minorBidi"/>
          <w:iCs w:val="0"/>
          <w:sz w:val="21"/>
          <w:szCs w:val="22"/>
        </w:rPr>
        <w:tab/>
      </w:r>
      <w:r>
        <w:rPr>
          <w:rStyle w:val="98"/>
          <w:rFonts w:hint="eastAsia"/>
        </w:rPr>
        <w:t>相关规划衔接与要求</w:t>
      </w:r>
      <w:r>
        <w:tab/>
      </w:r>
      <w:r>
        <w:fldChar w:fldCharType="begin"/>
      </w:r>
      <w:r>
        <w:instrText xml:space="preserve"> PAGEREF _Toc75013399 \h </w:instrText>
      </w:r>
      <w:r>
        <w:fldChar w:fldCharType="separate"/>
      </w:r>
      <w:r>
        <w:t>36</w:t>
      </w:r>
      <w:r>
        <w:fldChar w:fldCharType="end"/>
      </w:r>
      <w:r>
        <w:fldChar w:fldCharType="end"/>
      </w:r>
    </w:p>
    <w:p>
      <w:pPr>
        <w:pStyle w:val="59"/>
        <w:tabs>
          <w:tab w:val="left" w:pos="1200"/>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"_Toc75013400" </w:instrText>
      </w:r>
      <w:r>
        <w:fldChar w:fldCharType="separate"/>
      </w:r>
      <w:r>
        <w:rPr>
          <w:rStyle w:val="98"/>
          <w:rFonts w:hint="eastAsia"/>
        </w:rPr>
        <w:t>第十六章</w:t>
      </w:r>
      <w:r>
        <w:rPr>
          <w:rFonts w:asciiTheme="minorHAnsi" w:hAnsiTheme="minorHAnsi" w:eastAsiaTheme="minorEastAsia" w:cstheme="minorBidi"/>
          <w:bCs w:val="0"/>
          <w:caps w:val="0"/>
          <w:sz w:val="21"/>
          <w:szCs w:val="22"/>
        </w:rPr>
        <w:tab/>
      </w:r>
      <w:r>
        <w:rPr>
          <w:rStyle w:val="98"/>
          <w:rFonts w:hint="eastAsia"/>
        </w:rPr>
        <w:t>附则</w:t>
      </w:r>
      <w:r>
        <w:tab/>
      </w:r>
      <w:r>
        <w:fldChar w:fldCharType="begin"/>
      </w:r>
      <w:r>
        <w:instrText xml:space="preserve"> PAGEREF _Toc75013400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"_Toc75013401" </w:instrText>
      </w:r>
      <w:r>
        <w:fldChar w:fldCharType="separate"/>
      </w:r>
      <w:r>
        <w:rPr>
          <w:rStyle w:val="98"/>
          <w:rFonts w:hint="eastAsia"/>
        </w:rPr>
        <w:t>第114条</w:t>
      </w:r>
      <w:r>
        <w:rPr>
          <w:rFonts w:asciiTheme="minorHAnsi" w:hAnsiTheme="minorHAnsi" w:eastAsiaTheme="minorEastAsia" w:cstheme="minorBidi"/>
          <w:iCs w:val="0"/>
          <w:sz w:val="21"/>
          <w:szCs w:val="22"/>
        </w:rPr>
        <w:tab/>
      </w:r>
      <w:r>
        <w:rPr>
          <w:rStyle w:val="98"/>
          <w:rFonts w:hint="eastAsia"/>
        </w:rPr>
        <w:t>规划成果</w:t>
      </w:r>
      <w:r>
        <w:tab/>
      </w:r>
      <w:r>
        <w:fldChar w:fldCharType="begin"/>
      </w:r>
      <w:r>
        <w:instrText xml:space="preserve"> PAGEREF _Toc75013401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"_Toc75013402" </w:instrText>
      </w:r>
      <w:r>
        <w:fldChar w:fldCharType="separate"/>
      </w:r>
      <w:r>
        <w:rPr>
          <w:rStyle w:val="98"/>
          <w:rFonts w:hint="eastAsia"/>
        </w:rPr>
        <w:t>第115条</w:t>
      </w:r>
      <w:r>
        <w:rPr>
          <w:rFonts w:asciiTheme="minorHAnsi" w:hAnsiTheme="minorHAnsi" w:eastAsiaTheme="minorEastAsia" w:cstheme="minorBidi"/>
          <w:iCs w:val="0"/>
          <w:sz w:val="21"/>
          <w:szCs w:val="22"/>
        </w:rPr>
        <w:tab/>
      </w:r>
      <w:r>
        <w:rPr>
          <w:rStyle w:val="98"/>
          <w:rFonts w:hint="eastAsia"/>
        </w:rPr>
        <w:t>实施程序</w:t>
      </w:r>
      <w:r>
        <w:tab/>
      </w:r>
      <w:r>
        <w:fldChar w:fldCharType="begin"/>
      </w:r>
      <w:r>
        <w:instrText xml:space="preserve"> PAGEREF _Toc75013402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"_Toc75013403" </w:instrText>
      </w:r>
      <w:r>
        <w:fldChar w:fldCharType="separate"/>
      </w:r>
      <w:r>
        <w:rPr>
          <w:rStyle w:val="98"/>
          <w:rFonts w:hint="eastAsia"/>
        </w:rPr>
        <w:t>第116条</w:t>
      </w:r>
      <w:r>
        <w:rPr>
          <w:rFonts w:asciiTheme="minorHAnsi" w:hAnsiTheme="minorHAnsi" w:eastAsiaTheme="minorEastAsia" w:cstheme="minorBidi"/>
          <w:iCs w:val="0"/>
          <w:sz w:val="21"/>
          <w:szCs w:val="22"/>
        </w:rPr>
        <w:tab/>
      </w:r>
      <w:r>
        <w:rPr>
          <w:rStyle w:val="98"/>
          <w:rFonts w:hint="eastAsia"/>
        </w:rPr>
        <w:t>规划解释</w:t>
      </w:r>
      <w:r>
        <w:tab/>
      </w:r>
      <w:r>
        <w:fldChar w:fldCharType="begin"/>
      </w:r>
      <w:r>
        <w:instrText xml:space="preserve"> PAGEREF _Toc75013403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"_Toc75013404" </w:instrText>
      </w:r>
      <w:r>
        <w:fldChar w:fldCharType="separate"/>
      </w:r>
      <w:r>
        <w:rPr>
          <w:rStyle w:val="98"/>
          <w:rFonts w:hint="eastAsia"/>
        </w:rPr>
        <w:t>第117条</w:t>
      </w:r>
      <w:r>
        <w:rPr>
          <w:rFonts w:asciiTheme="minorHAnsi" w:hAnsiTheme="minorHAnsi" w:eastAsiaTheme="minorEastAsia" w:cstheme="minorBidi"/>
          <w:iCs w:val="0"/>
          <w:sz w:val="21"/>
          <w:szCs w:val="22"/>
        </w:rPr>
        <w:tab/>
      </w:r>
      <w:r>
        <w:rPr>
          <w:rStyle w:val="98"/>
          <w:rFonts w:hint="eastAsia"/>
        </w:rPr>
        <w:t>修改程序</w:t>
      </w:r>
      <w:r>
        <w:tab/>
      </w:r>
      <w:r>
        <w:fldChar w:fldCharType="begin"/>
      </w:r>
      <w:r>
        <w:instrText xml:space="preserve"> PAGEREF _Toc75013404 \h </w:instrText>
      </w:r>
      <w:r>
        <w:fldChar w:fldCharType="separate"/>
      </w:r>
      <w:r>
        <w:t>36</w:t>
      </w:r>
      <w:r>
        <w:fldChar w:fldCharType="end"/>
      </w:r>
      <w:r>
        <w:fldChar w:fldCharType="end"/>
      </w:r>
    </w:p>
    <w:p>
      <w:pPr>
        <w:pStyle w:val="44"/>
        <w:tabs>
          <w:tab w:val="left" w:pos="1680"/>
          <w:tab w:val="right" w:leader="dot" w:pos="10037"/>
        </w:tabs>
        <w:rPr>
          <w:rFonts w:asciiTheme="minorHAnsi" w:hAnsiTheme="minorHAnsi" w:eastAsiaTheme="minorEastAsia" w:cstheme="minorBidi"/>
          <w:iCs w:val="0"/>
          <w:sz w:val="21"/>
          <w:szCs w:val="22"/>
        </w:rPr>
      </w:pPr>
      <w:r>
        <w:fldChar w:fldCharType="begin"/>
      </w:r>
      <w:r>
        <w:instrText xml:space="preserve"> HYPERLINK \l "_Toc75013405" </w:instrText>
      </w:r>
      <w:r>
        <w:fldChar w:fldCharType="separate"/>
      </w:r>
      <w:r>
        <w:rPr>
          <w:rStyle w:val="98"/>
          <w:rFonts w:hint="eastAsia"/>
        </w:rPr>
        <w:t>第118条</w:t>
      </w:r>
      <w:r>
        <w:rPr>
          <w:rFonts w:asciiTheme="minorHAnsi" w:hAnsiTheme="minorHAnsi" w:eastAsiaTheme="minorEastAsia" w:cstheme="minorBidi"/>
          <w:iCs w:val="0"/>
          <w:sz w:val="21"/>
          <w:szCs w:val="22"/>
        </w:rPr>
        <w:tab/>
      </w:r>
      <w:r>
        <w:rPr>
          <w:rStyle w:val="98"/>
          <w:rFonts w:hint="eastAsia"/>
        </w:rPr>
        <w:t>实施时间</w:t>
      </w:r>
      <w:r>
        <w:tab/>
      </w:r>
      <w:r>
        <w:fldChar w:fldCharType="begin"/>
      </w:r>
      <w:r>
        <w:instrText xml:space="preserve"> PAGEREF _Toc75013405 \h </w:instrText>
      </w:r>
      <w:r>
        <w:fldChar w:fldCharType="separate"/>
      </w:r>
      <w:r>
        <w:t>36</w:t>
      </w:r>
      <w:r>
        <w:fldChar w:fldCharType="end"/>
      </w:r>
      <w:r>
        <w:fldChar w:fldCharType="end"/>
      </w:r>
    </w:p>
    <w:p>
      <w:pPr>
        <w:pStyle w:val="59"/>
        <w:tabs>
          <w:tab w:val="right" w:leader="dot" w:pos="10037"/>
        </w:tabs>
        <w:rPr>
          <w:rFonts w:asciiTheme="minorHAnsi" w:hAnsiTheme="minorHAnsi" w:eastAsiaTheme="minorEastAsia" w:cstheme="minorBidi"/>
          <w:bCs w:val="0"/>
          <w:caps w:val="0"/>
          <w:sz w:val="21"/>
          <w:szCs w:val="22"/>
        </w:rPr>
      </w:pPr>
      <w:r>
        <w:fldChar w:fldCharType="begin"/>
      </w:r>
      <w:r>
        <w:instrText xml:space="preserve"> HYPERLINK \l "_Toc75013406" </w:instrText>
      </w:r>
      <w:r>
        <w:fldChar w:fldCharType="separate"/>
      </w:r>
      <w:r>
        <w:rPr>
          <w:rStyle w:val="98"/>
          <w:rFonts w:hint="eastAsia"/>
        </w:rPr>
        <w:t>附件：大鹏所城近期项目经费估算表</w:t>
      </w:r>
      <w:r>
        <w:tab/>
      </w:r>
      <w:r>
        <w:fldChar w:fldCharType="begin"/>
      </w:r>
      <w:r>
        <w:instrText xml:space="preserve"> PAGEREF _Toc75013406 \h </w:instrText>
      </w:r>
      <w:r>
        <w:fldChar w:fldCharType="separate"/>
      </w:r>
      <w:r>
        <w:t>37</w:t>
      </w:r>
      <w:r>
        <w:fldChar w:fldCharType="end"/>
      </w:r>
      <w:r>
        <w:fldChar w:fldCharType="end"/>
      </w:r>
    </w:p>
    <w:p>
      <w:pPr>
        <w:pStyle w:val="59"/>
        <w:tabs>
          <w:tab w:val="right" w:leader="dot" w:pos="10037"/>
        </w:tabs>
        <w:rPr>
          <w:color w:val="000000" w:themeColor="text1"/>
          <w14:textFill>
            <w14:solidFill>
              <w14:schemeClr w14:val="tx1"/>
            </w14:solidFill>
          </w14:textFill>
        </w:rPr>
        <w:sectPr>
          <w:type w:val="continuous"/>
          <w:pgSz w:w="23814" w:h="16839" w:orient="landscape"/>
          <w:pgMar w:top="1800" w:right="1440" w:bottom="1800" w:left="1440" w:header="851" w:footer="992" w:gutter="0"/>
          <w:pgNumType w:fmt="upperRoman"/>
          <w:cols w:space="840" w:num="2"/>
          <w:docGrid w:type="lines" w:linePitch="381" w:charSpace="0"/>
        </w:sectPr>
      </w:pPr>
      <w:r>
        <w:rPr>
          <w:rFonts w:ascii="黑体" w:hAnsi="黑体"/>
          <w:bCs w:val="0"/>
          <w:caps w:val="0"/>
          <w:color w:val="000000" w:themeColor="text1"/>
          <w:szCs w:val="28"/>
          <w14:textFill>
            <w14:solidFill>
              <w14:schemeClr w14:val="tx1"/>
            </w14:solidFill>
          </w14:textFill>
        </w:rPr>
        <w:fldChar w:fldCharType="end"/>
      </w:r>
    </w:p>
    <w:bookmarkEnd w:id="0"/>
    <w:p>
      <w:pPr>
        <w:pStyle w:val="3"/>
        <w:spacing w:before="163" w:after="163"/>
        <w:ind w:left="630" w:hanging="630"/>
        <w:rPr>
          <w:color w:val="000000" w:themeColor="text1"/>
          <w14:textFill>
            <w14:solidFill>
              <w14:schemeClr w14:val="tx1"/>
            </w14:solidFill>
          </w14:textFill>
        </w:rPr>
      </w:pPr>
      <w:bookmarkStart w:id="1" w:name="_Toc373500720"/>
      <w:bookmarkStart w:id="2" w:name="_Toc75013254"/>
      <w:r>
        <w:rPr>
          <w:rFonts w:hint="eastAsia"/>
          <w:color w:val="000000" w:themeColor="text1"/>
          <w14:textFill>
            <w14:solidFill>
              <w14:schemeClr w14:val="tx1"/>
            </w14:solidFill>
          </w14:textFill>
        </w:rPr>
        <w:t>规划总则</w:t>
      </w:r>
      <w:bookmarkEnd w:id="1"/>
      <w:bookmarkEnd w:id="2"/>
    </w:p>
    <w:p>
      <w:pPr>
        <w:pStyle w:val="5"/>
        <w:rPr>
          <w:color w:val="000000" w:themeColor="text1"/>
          <w14:textFill>
            <w14:solidFill>
              <w14:schemeClr w14:val="tx1"/>
            </w14:solidFill>
          </w14:textFill>
        </w:rPr>
      </w:pPr>
      <w:bookmarkStart w:id="3" w:name="_Toc373500721"/>
      <w:bookmarkStart w:id="4" w:name="_Toc75013255"/>
      <w:r>
        <w:rPr>
          <w:rFonts w:hint="eastAsia"/>
          <w:color w:val="000000" w:themeColor="text1"/>
          <w14:textFill>
            <w14:solidFill>
              <w14:schemeClr w14:val="tx1"/>
            </w14:solidFill>
          </w14:textFill>
        </w:rPr>
        <w:t>指导思想</w:t>
      </w:r>
      <w:bookmarkEnd w:id="3"/>
      <w:bookmarkEnd w:id="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贯彻“保护为主、抢救第一、合理利用、加强管理”的文物工作方针，有效保护大鹏所城的真实性、完整性，使其得到延续和传承；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文物保护与生态环境建设、地方经济发展相结合，促进社会效益、生态效益与经济效益的协调统一。</w:t>
      </w:r>
    </w:p>
    <w:p>
      <w:pPr>
        <w:pStyle w:val="5"/>
        <w:rPr>
          <w:color w:val="000000" w:themeColor="text1"/>
          <w14:textFill>
            <w14:solidFill>
              <w14:schemeClr w14:val="tx1"/>
            </w14:solidFill>
          </w14:textFill>
        </w:rPr>
      </w:pPr>
      <w:bookmarkStart w:id="5" w:name="_Toc373500722"/>
      <w:bookmarkStart w:id="6" w:name="_Toc75013256"/>
      <w:r>
        <w:rPr>
          <w:rFonts w:hint="eastAsia"/>
          <w:color w:val="000000" w:themeColor="text1"/>
          <w14:textFill>
            <w14:solidFill>
              <w14:schemeClr w14:val="tx1"/>
            </w14:solidFill>
          </w14:textFill>
        </w:rPr>
        <w:t>规划性质</w:t>
      </w:r>
      <w:bookmarkEnd w:id="5"/>
      <w:bookmarkEnd w:id="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大鹏所城文物保护规划》是在原东南大学建筑设计研究院编制的《全国重点文物保护单位深圳大鹏所城保护规划》（国家文物局批复同意）基础上进行修编，是以大鹏所城建筑群及其相关历史环境为保护对象的</w:t>
      </w:r>
      <w:r>
        <w:rPr>
          <w:rFonts w:hint="eastAsia" w:ascii="宋体" w:hAnsi="宋体"/>
          <w:bCs/>
          <w:color w:val="000000" w:themeColor="text1"/>
          <w:szCs w:val="28"/>
          <w14:textFill>
            <w14:solidFill>
              <w14:schemeClr w14:val="tx1"/>
            </w14:solidFill>
          </w14:textFill>
        </w:rPr>
        <w:t>全国重点文物保护单位</w:t>
      </w:r>
      <w:r>
        <w:rPr>
          <w:rFonts w:hint="eastAsia"/>
          <w:color w:val="000000" w:themeColor="text1"/>
          <w14:textFill>
            <w14:solidFill>
              <w14:schemeClr w14:val="tx1"/>
            </w14:solidFill>
          </w14:textFill>
        </w:rPr>
        <w:t>文物保护总体规划，规划依法审批后，作为大鹏所城保护工作的法规性指导文件。</w:t>
      </w:r>
    </w:p>
    <w:p>
      <w:pPr>
        <w:pStyle w:val="5"/>
        <w:rPr>
          <w:color w:val="000000" w:themeColor="text1"/>
          <w14:textFill>
            <w14:solidFill>
              <w14:schemeClr w14:val="tx1"/>
            </w14:solidFill>
          </w14:textFill>
        </w:rPr>
      </w:pPr>
      <w:bookmarkStart w:id="7" w:name="_Toc373500723"/>
      <w:bookmarkStart w:id="8" w:name="_Toc75013257"/>
      <w:r>
        <w:rPr>
          <w:rFonts w:hint="eastAsia"/>
          <w:color w:val="000000" w:themeColor="text1"/>
          <w14:textFill>
            <w14:solidFill>
              <w14:schemeClr w14:val="tx1"/>
            </w14:solidFill>
          </w14:textFill>
        </w:rPr>
        <w:t>规划编制依据</w:t>
      </w:r>
      <w:bookmarkEnd w:id="7"/>
      <w:bookmarkEnd w:id="8"/>
    </w:p>
    <w:p>
      <w:pPr>
        <w:pStyle w:val="6"/>
        <w:rPr>
          <w:color w:val="000000" w:themeColor="text1"/>
          <w14:textFill>
            <w14:solidFill>
              <w14:schemeClr w14:val="tx1"/>
            </w14:solidFill>
          </w14:textFill>
        </w:rPr>
      </w:pPr>
      <w:bookmarkStart w:id="9" w:name="_Toc373500724"/>
      <w:r>
        <w:rPr>
          <w:rFonts w:hint="eastAsia"/>
          <w:color w:val="000000" w:themeColor="text1"/>
          <w14:textFill>
            <w14:solidFill>
              <w14:schemeClr w14:val="tx1"/>
            </w14:solidFill>
          </w14:textFill>
        </w:rPr>
        <w:t>国家法律法规与文件</w:t>
      </w:r>
      <w:bookmarkEnd w:id="9"/>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《中华人民共和国文物保护法》（2017修订</w:t>
      </w:r>
      <w:r>
        <w:rPr>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《中华人民共和国城乡规划法》（20</w:t>
      </w:r>
      <w:r>
        <w:rPr>
          <w:color w:val="000000" w:themeColor="text1"/>
          <w14:textFill>
            <w14:solidFill>
              <w14:schemeClr w14:val="tx1"/>
            </w14:solidFill>
          </w14:textFill>
        </w:rPr>
        <w:t>19修正</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《中华人民共和国环境保护法》（1989）</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《中华人民共和国土地管理法》（2004）</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《中华人民共和国文物保护法实施条例》（2017修订）</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《中华人民共和国河道管理条例》（2018修正版）</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《历史文化名城名镇名村保护管理条例》（20</w:t>
      </w:r>
      <w:r>
        <w:rPr>
          <w:color w:val="000000" w:themeColor="text1"/>
          <w14:textFill>
            <w14:solidFill>
              <w14:schemeClr w14:val="tx1"/>
            </w14:solidFill>
          </w14:textFill>
        </w:rPr>
        <w:t>17修正</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《风景名胜区条例》（2006）</w:t>
      </w:r>
    </w:p>
    <w:p>
      <w:pPr>
        <w:pStyle w:val="6"/>
        <w:rPr>
          <w:color w:val="000000" w:themeColor="text1"/>
          <w14:textFill>
            <w14:solidFill>
              <w14:schemeClr w14:val="tx1"/>
            </w14:solidFill>
          </w14:textFill>
        </w:rPr>
      </w:pPr>
      <w:bookmarkStart w:id="10" w:name="_Toc373500725"/>
      <w:r>
        <w:rPr>
          <w:rFonts w:hint="eastAsia"/>
          <w:color w:val="000000" w:themeColor="text1"/>
          <w14:textFill>
            <w14:solidFill>
              <w14:schemeClr w14:val="tx1"/>
            </w14:solidFill>
          </w14:textFill>
        </w:rPr>
        <w:t>相关行业规范</w:t>
      </w:r>
      <w:bookmarkEnd w:id="1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《全国重点文物保护单位规划编制要求》（</w:t>
      </w:r>
      <w:r>
        <w:rPr>
          <w:color w:val="000000" w:themeColor="text1"/>
          <w14:textFill>
            <w14:solidFill>
              <w14:schemeClr w14:val="tx1"/>
            </w14:solidFill>
          </w14:textFill>
        </w:rPr>
        <w:t>2017年修订</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《全国重点文物保护单位保护规划编制审批办法》（</w:t>
      </w:r>
      <w:r>
        <w:rPr>
          <w:color w:val="000000" w:themeColor="text1"/>
          <w14:textFill>
            <w14:solidFill>
              <w14:schemeClr w14:val="tx1"/>
            </w14:solidFill>
          </w14:textFill>
        </w:rPr>
        <w:t>2004</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《文物保护工程管理办法》（</w:t>
      </w:r>
      <w:r>
        <w:rPr>
          <w:color w:val="000000" w:themeColor="text1"/>
          <w14:textFill>
            <w14:solidFill>
              <w14:schemeClr w14:val="tx1"/>
            </w14:solidFill>
          </w14:textFill>
        </w:rPr>
        <w:t>2003</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《中国文物古迹保护准则》（2015），ICOMOS CHINA</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《全国重点文物保护单位保护范围、标志说明、记录档案和保管机构工作规范( 试行)》（1991）</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《古建筑木结构维护与加固技术规范》（1993）</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《文物保护单位游客承载量评估规范》（报批稿）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《核动力厂环境辐射防护规定》（2011）</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《大亚湾核电厂周围限制区安全保障与环境管理条例》（1994）</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《深圳市基本生态管理规定》（深圳市人民政府第254令）</w:t>
      </w:r>
    </w:p>
    <w:p>
      <w:pPr>
        <w:pStyle w:val="6"/>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主要相关规划</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《全国重点文物保护单位—大鹏所城保护规划2005-2020》(2006)</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《大鹏所城保护规划2004-2020》（2004）</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《深圳市龙岗402-03号片区【大鹏鹏城地区】法定图则》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《深圳市大鹏所城保护与修缮一期工程》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《深圳市大鹏所城整体保护项目二期工程》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《深圳市城市更新“十三五”规划》</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《深圳市海岸带综合保护与利用规划（2018-2035）》</w:t>
      </w:r>
    </w:p>
    <w:p>
      <w:pPr>
        <w:pStyle w:val="6"/>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其他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《关于加强文物保护利用改革的若干意见》</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《广东省人民政府关于进一步加强文物工作的实施意见》</w:t>
      </w:r>
    </w:p>
    <w:p>
      <w:pPr>
        <w:pStyle w:val="5"/>
        <w:rPr>
          <w:color w:val="000000" w:themeColor="text1"/>
          <w14:textFill>
            <w14:solidFill>
              <w14:schemeClr w14:val="tx1"/>
            </w14:solidFill>
          </w14:textFill>
        </w:rPr>
      </w:pPr>
      <w:bookmarkStart w:id="11" w:name="_Toc75013258"/>
      <w:bookmarkStart w:id="12" w:name="_Toc373500729"/>
      <w:r>
        <w:rPr>
          <w:rFonts w:hint="eastAsia"/>
          <w:color w:val="000000" w:themeColor="text1"/>
          <w14:textFill>
            <w14:solidFill>
              <w14:schemeClr w14:val="tx1"/>
            </w14:solidFill>
          </w14:textFill>
        </w:rPr>
        <w:t>规划范围</w:t>
      </w:r>
      <w:bookmarkEnd w:id="11"/>
      <w:bookmarkEnd w:id="1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本次保护规划结合所在区域城市规划，通过对大鹏所城文物本体、相关遗存、周边地形地貌分析等，确定大鹏所城的规划范围面积为</w:t>
      </w:r>
      <w:r>
        <w:rPr>
          <w:color w:val="000000" w:themeColor="text1"/>
          <w14:textFill>
            <w14:solidFill>
              <w14:schemeClr w14:val="tx1"/>
            </w14:solidFill>
          </w14:textFill>
        </w:rPr>
        <w:t>99.62</w:t>
      </w:r>
      <w:r>
        <w:rPr>
          <w:rFonts w:hint="eastAsia"/>
          <w:color w:val="000000" w:themeColor="text1"/>
          <w14:textFill>
            <w14:solidFill>
              <w14:schemeClr w14:val="tx1"/>
            </w14:solidFill>
          </w14:textFill>
        </w:rPr>
        <w:t>公顷，四至边界如下：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——东至东山山脊线与东侧规划道路的连接线，即东门楼外约60</w:t>
      </w:r>
      <w:r>
        <w:rPr>
          <w:color w:val="000000" w:themeColor="text1"/>
          <w14:textFill>
            <w14:solidFill>
              <w14:schemeClr w14:val="tx1"/>
            </w14:solidFill>
          </w14:textFill>
        </w:rPr>
        <w:t>0米处</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——南至龙岐湾2018海岸线，即南门楼外约360米处；</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——西至西侧鹏飞路道路红线 ，即西门楼外约</w:t>
      </w:r>
      <w:r>
        <w:rPr>
          <w:color w:val="000000" w:themeColor="text1"/>
          <w14:textFill>
            <w14:solidFill>
              <w14:schemeClr w14:val="tx1"/>
            </w14:solidFill>
          </w14:textFill>
        </w:rPr>
        <w:t>280</w:t>
      </w:r>
      <w:r>
        <w:rPr>
          <w:rFonts w:hint="eastAsia"/>
          <w:color w:val="000000" w:themeColor="text1"/>
          <w14:textFill>
            <w14:solidFill>
              <w14:schemeClr w14:val="tx1"/>
            </w14:solidFill>
          </w14:textFill>
        </w:rPr>
        <w:t>米处；</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——北至规划城北路十号路道路红线，即北门楼外约150米处。</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（详见规划范围图）</w:t>
      </w:r>
    </w:p>
    <w:p>
      <w:pPr>
        <w:pStyle w:val="5"/>
        <w:rPr>
          <w:color w:val="000000" w:themeColor="text1"/>
          <w14:textFill>
            <w14:solidFill>
              <w14:schemeClr w14:val="tx1"/>
            </w14:solidFill>
          </w14:textFill>
        </w:rPr>
      </w:pPr>
      <w:bookmarkStart w:id="13" w:name="_Toc373500730"/>
      <w:bookmarkStart w:id="14" w:name="_Toc75013259"/>
      <w:r>
        <w:rPr>
          <w:rFonts w:hint="eastAsia"/>
          <w:color w:val="000000" w:themeColor="text1"/>
          <w14:textFill>
            <w14:solidFill>
              <w14:schemeClr w14:val="tx1"/>
            </w14:solidFill>
          </w14:textFill>
        </w:rPr>
        <w:t>规划期限</w:t>
      </w:r>
      <w:bookmarkEnd w:id="13"/>
      <w:bookmarkEnd w:id="1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本次保护规划规划期限为20</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年至2035年，其中：</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近期实施为20</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——202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中期实施为202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远期实施为20</w:t>
      </w:r>
      <w:r>
        <w:rPr>
          <w:color w:val="000000" w:themeColor="text1"/>
          <w14:textFill>
            <w14:solidFill>
              <w14:schemeClr w14:val="tx1"/>
            </w14:solidFill>
          </w14:textFill>
        </w:rPr>
        <w:t>31</w:t>
      </w:r>
      <w:r>
        <w:rPr>
          <w:rFonts w:hint="eastAsia"/>
          <w:color w:val="000000" w:themeColor="text1"/>
          <w14:textFill>
            <w14:solidFill>
              <w14:schemeClr w14:val="tx1"/>
            </w14:solidFill>
          </w14:textFill>
        </w:rPr>
        <w:t>——2035年。</w:t>
      </w:r>
    </w:p>
    <w:p>
      <w:pPr>
        <w:pStyle w:val="5"/>
        <w:rPr>
          <w:color w:val="000000" w:themeColor="text1"/>
          <w14:textFill>
            <w14:solidFill>
              <w14:schemeClr w14:val="tx1"/>
            </w14:solidFill>
          </w14:textFill>
        </w:rPr>
      </w:pPr>
      <w:bookmarkStart w:id="15" w:name="_Toc75013260"/>
      <w:r>
        <w:rPr>
          <w:rFonts w:hint="eastAsia"/>
          <w:color w:val="000000" w:themeColor="text1"/>
          <w14:textFill>
            <w14:solidFill>
              <w14:schemeClr w14:val="tx1"/>
            </w14:solidFill>
          </w14:textFill>
        </w:rPr>
        <w:t>规划主要内容</w:t>
      </w:r>
      <w:bookmarkEnd w:id="15"/>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（1）分析和评估深圳大鹏所城的现状和价值。</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（2）确定保护对象、保护目标和重点。</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（3）确定文物保护原则和策略。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（4）对文物保护区划做出调整，制定管理要求。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（5）编制保护措施，划分措施等级。</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（6）编制保护利用、保护管理、考古研究、环境整治等专项规划。</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（7）制定用地调整等总体引导规划。</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（8）制定各期实施计划，编制规划分期与估算。</w:t>
      </w:r>
    </w:p>
    <w:p>
      <w:pPr>
        <w:ind w:firstLine="480" w:firstLineChars="200"/>
        <w:rPr>
          <w:color w:val="000000" w:themeColor="text1"/>
          <w14:textFill>
            <w14:solidFill>
              <w14:schemeClr w14:val="tx1"/>
            </w14:solidFill>
          </w14:textFill>
        </w:rPr>
      </w:pPr>
    </w:p>
    <w:p>
      <w:pPr>
        <w:pStyle w:val="3"/>
        <w:spacing w:before="163" w:after="163"/>
        <w:ind w:left="630" w:hanging="630"/>
        <w:rPr>
          <w:color w:val="000000" w:themeColor="text1"/>
          <w:lang w:eastAsia="zh-CN"/>
          <w14:textFill>
            <w14:solidFill>
              <w14:schemeClr w14:val="tx1"/>
            </w14:solidFill>
          </w14:textFill>
        </w:rPr>
      </w:pPr>
      <w:bookmarkStart w:id="16" w:name="_Toc373500731"/>
      <w:r>
        <w:rPr>
          <w:color w:val="000000" w:themeColor="text1"/>
          <w14:textFill>
            <w14:solidFill>
              <w14:schemeClr w14:val="tx1"/>
            </w14:solidFill>
          </w14:textFill>
        </w:rPr>
        <w:br w:type="column"/>
      </w:r>
      <w:bookmarkStart w:id="17" w:name="_Toc75013261"/>
      <w:r>
        <w:rPr>
          <w:rFonts w:hint="eastAsia"/>
          <w:color w:val="000000" w:themeColor="text1"/>
          <w14:textFill>
            <w14:solidFill>
              <w14:schemeClr w14:val="tx1"/>
            </w14:solidFill>
          </w14:textFill>
        </w:rPr>
        <w:t>文物概况</w:t>
      </w:r>
      <w:bookmarkEnd w:id="16"/>
      <w:bookmarkEnd w:id="17"/>
    </w:p>
    <w:p>
      <w:pPr>
        <w:pStyle w:val="5"/>
        <w:rPr>
          <w:color w:val="000000" w:themeColor="text1"/>
          <w14:textFill>
            <w14:solidFill>
              <w14:schemeClr w14:val="tx1"/>
            </w14:solidFill>
          </w14:textFill>
        </w:rPr>
      </w:pPr>
      <w:bookmarkStart w:id="18" w:name="_Toc373500733"/>
      <w:bookmarkStart w:id="19" w:name="_Toc75013262"/>
      <w:r>
        <w:rPr>
          <w:rFonts w:hint="eastAsia"/>
          <w:color w:val="000000" w:themeColor="text1"/>
          <w14:textFill>
            <w14:solidFill>
              <w14:schemeClr w14:val="tx1"/>
            </w14:solidFill>
          </w14:textFill>
        </w:rPr>
        <w:t>地理位置</w:t>
      </w:r>
      <w:bookmarkEnd w:id="18"/>
      <w:bookmarkEnd w:id="19"/>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大鹏所城位于</w:t>
      </w:r>
      <w:r>
        <w:rPr>
          <w:rFonts w:hint="eastAsia"/>
          <w:color w:val="000000" w:themeColor="text1"/>
          <w14:textFill>
            <w14:solidFill>
              <w14:schemeClr w14:val="tx1"/>
            </w14:solidFill>
          </w14:textFill>
        </w:rPr>
        <w:t>广东省深圳市大鹏新区大鹏街道鹏城社区，大鹏所城南门前地理坐标为东经114°30'32"，北纬22°35'49"。</w:t>
      </w:r>
    </w:p>
    <w:p>
      <w:pPr>
        <w:pStyle w:val="5"/>
        <w:rPr>
          <w:color w:val="000000" w:themeColor="text1"/>
          <w:lang w:val="en-US"/>
          <w14:textFill>
            <w14:solidFill>
              <w14:schemeClr w14:val="tx1"/>
            </w14:solidFill>
          </w14:textFill>
        </w:rPr>
      </w:pPr>
      <w:bookmarkStart w:id="20" w:name="_Toc373500734"/>
      <w:bookmarkStart w:id="21" w:name="_Toc75013263"/>
      <w:r>
        <w:rPr>
          <w:rFonts w:hint="eastAsia"/>
          <w:color w:val="000000" w:themeColor="text1"/>
          <w14:textFill>
            <w14:solidFill>
              <w14:schemeClr w14:val="tx1"/>
            </w14:solidFill>
          </w14:textFill>
        </w:rPr>
        <w:t>文物性质</w:t>
      </w:r>
      <w:bookmarkEnd w:id="20"/>
      <w:bookmarkEnd w:id="21"/>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大鹏所城于2001年6月被国务院公布为第五批“全国重点文物保护单位”；公布类型：古建筑；所属类型：城郭；公布时代：明至清（统计时按明统计）；单位编号：5-0373-3-179。</w:t>
      </w:r>
    </w:p>
    <w:p>
      <w:pPr>
        <w:pStyle w:val="5"/>
        <w:rPr>
          <w:color w:val="000000" w:themeColor="text1"/>
          <w14:textFill>
            <w14:solidFill>
              <w14:schemeClr w14:val="tx1"/>
            </w14:solidFill>
          </w14:textFill>
        </w:rPr>
      </w:pPr>
      <w:bookmarkStart w:id="22" w:name="_Toc373500735"/>
      <w:bookmarkStart w:id="23" w:name="_Toc75013264"/>
      <w:r>
        <w:rPr>
          <w:rFonts w:hint="eastAsia"/>
          <w:color w:val="000000" w:themeColor="text1"/>
          <w:lang w:eastAsia="zh-CN"/>
          <w14:textFill>
            <w14:solidFill>
              <w14:schemeClr w14:val="tx1"/>
            </w14:solidFill>
          </w14:textFill>
        </w:rPr>
        <w:t>文物</w:t>
      </w:r>
      <w:bookmarkEnd w:id="22"/>
      <w:r>
        <w:rPr>
          <w:rFonts w:hint="eastAsia"/>
          <w:color w:val="000000" w:themeColor="text1"/>
          <w:lang w:eastAsia="zh-CN"/>
          <w14:textFill>
            <w14:solidFill>
              <w14:schemeClr w14:val="tx1"/>
            </w14:solidFill>
          </w14:textFill>
        </w:rPr>
        <w:t>简介</w:t>
      </w:r>
      <w:bookmarkEnd w:id="23"/>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依据四有档案：</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位于广东省深圳市龙岗区大鹏镇鹏城村。所城平面呈梯形，占地约l0公顷。原东墙长约306米，南墙255米，西墙318米，北墙361米。其中东墙北段保存最好，残长100余米，残高4米，墙基残宽8米。除西墙无存外，南墙、北墙有土垣存留。东、南、西三座城门尚存，东、南两门保存较好，为明代遗物。门道为花岗岩石铺砌，顶用砖砌拱券。城内有东西、南北向街道各4条，在城中心交汇。街道地面用长条石板铺砌，南门街宽约4米。城内尚存关帝庙、文庙遗址。现存大部分为明清建筑，现存赖恩爵振威将军第(建筑面积2500平方米)、刘起龙将军第(建筑面积510平方米)，以及赖氏、李氏、何氏、林氏、郑氏等将军第、大夫第、司马第和怡文楼、赵公祠、天后庙、华光庙、侯王庙等古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城原称“大鹏守御千户所城”，明洪武二十七年(1394年)由左卫千户张斌筑造。康熙七年(1668年)实行“迁界禁海”，城并入惠州协副将管辖。嘉庆时，水陆区分，大鹏营为外海水师营。光绪二十三年(1898年)，按中英《展拓香港界址专条》，大鹏所下辖诸寨、台、营、汛被裁没，城遂废颓。</w:t>
      </w:r>
    </w:p>
    <w:p>
      <w:pPr>
        <w:pStyle w:val="5"/>
        <w:rPr>
          <w:color w:val="000000" w:themeColor="text1"/>
          <w14:textFill>
            <w14:solidFill>
              <w14:schemeClr w14:val="tx1"/>
            </w14:solidFill>
          </w14:textFill>
        </w:rPr>
      </w:pPr>
      <w:bookmarkStart w:id="24" w:name="_Toc373500737"/>
      <w:bookmarkStart w:id="25" w:name="_Toc75013265"/>
      <w:r>
        <w:rPr>
          <w:rFonts w:hint="eastAsia"/>
          <w:color w:val="000000" w:themeColor="text1"/>
          <w14:textFill>
            <w14:solidFill>
              <w14:schemeClr w14:val="tx1"/>
            </w14:solidFill>
          </w14:textFill>
        </w:rPr>
        <w:t>历史沿革</w:t>
      </w:r>
      <w:bookmarkEnd w:id="24"/>
      <w:bookmarkEnd w:id="25"/>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大鹏所城所在地域在春秋战国时为越国、楚国属地。</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秦（公元前221年），属南海郡。</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秦末汉初，属南越国。</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汉代，属南海郡番禺县。</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东晋成帝咸和元年（公元331年），属东官郡宝安县。</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唐至德二年（公元757年），属东莞县。</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明万历元年（公元1573年），属新安县。</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明洪武二十七年（1394），广州左卫千户张斌奉命筑“大鹏守御千户所城”。</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清初</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1656年，抗清队伍李万荣占据大鹏城达十年之久。</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1656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1668年，新安县知县傅尔植奏设“大鹏所防守营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康熙七年（1668），大鹏所防守营并入惠州协,受惠州协副将管辖。</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康熙四十三年（1704），大鹏所防守营提升为大鹏水师营。</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雍正四年（1726），裁游击，改设参将，录广东水陆提督管辖。</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嘉庆十五年（1810），大鹏营为外海水师营，归虎门水师提督管辖，兵额800名。</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道光十一年（1831），大鹏营分左右二营，左营驻扎大鹏城，右营移驻东涌寨城。</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道光二十年（1840），大鹏营提升为大鹏协，统率左右二营。</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道光二十七年（1847），九龙城建成，大鹏协副将移驻九龙城，统辖左右二营。</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光绪二十四年（1899），中英签订《展拓香港界址专条》，大鹏所城管辖之寨台营汛大部分被裁没。</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民国年间，大鹏所城成为其军士后裔的聚居地。</w:t>
      </w:r>
    </w:p>
    <w:p>
      <w:pPr>
        <w:spacing w:line="336" w:lineRule="auto"/>
        <w:ind w:firstLine="48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新中国成立</w:t>
      </w:r>
      <w:r>
        <w:rPr>
          <w:rFonts w:hint="eastAsia"/>
          <w:color w:val="000000" w:themeColor="text1"/>
          <w14:textFill>
            <w14:solidFill>
              <w14:schemeClr w14:val="tx1"/>
            </w14:solidFill>
          </w14:textFill>
        </w:rPr>
        <w:t>以后，大鹏所城是大鹏人民公社鹏城村所在地。</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改革开放以来，当地居民另建新村，所城内建筑大部分出租给外来打工人员居住。</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1984年，大鹏所城被深圳市政府公布为文物保护单位。</w:t>
      </w:r>
    </w:p>
    <w:p>
      <w:pPr>
        <w:spacing w:line="336"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1989</w:t>
      </w:r>
      <w:r>
        <w:rPr>
          <w:rFonts w:hint="eastAsia"/>
          <w:color w:val="000000" w:themeColor="text1"/>
          <w14:textFill>
            <w14:solidFill>
              <w14:schemeClr w14:val="tx1"/>
            </w14:solidFill>
          </w14:textFill>
        </w:rPr>
        <w:t>年，大鹏所城被公布为广东省级文物保护单位。</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1996年，成立大鹏古城博物馆，作为大鹏所城的专职保护管理机构。</w:t>
      </w:r>
    </w:p>
    <w:p>
      <w:pPr>
        <w:spacing w:line="336"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2001年6月25日，大鹏所城被公布为全国重点文物保护单位。</w:t>
      </w:r>
    </w:p>
    <w:p>
      <w:pPr>
        <w:spacing w:line="336" w:lineRule="auto"/>
        <w:ind w:firstLine="480" w:firstLineChars="20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2003年11月，大鹏所城所在的鹏城村被公布为第一批“中国历史文化名村”。</w:t>
      </w:r>
    </w:p>
    <w:p>
      <w:pPr>
        <w:spacing w:line="336" w:lineRule="auto"/>
        <w:ind w:firstLine="480" w:firstLineChars="200"/>
        <w:rPr>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2012年12月，大鹏所城所在的鹏城村被公布为第一批“中国传统村落”。</w:t>
      </w:r>
    </w:p>
    <w:p>
      <w:pPr>
        <w:pStyle w:val="3"/>
        <w:spacing w:before="163" w:after="163"/>
        <w:ind w:left="630" w:hanging="630"/>
        <w:rPr>
          <w:color w:val="000000" w:themeColor="text1"/>
          <w:lang w:eastAsia="zh-CN"/>
          <w14:textFill>
            <w14:solidFill>
              <w14:schemeClr w14:val="tx1"/>
            </w14:solidFill>
          </w14:textFill>
        </w:rPr>
      </w:pPr>
      <w:bookmarkStart w:id="26" w:name="_Toc373500745"/>
      <w:r>
        <w:rPr>
          <w:color w:val="000000" w:themeColor="text1"/>
          <w:lang w:eastAsia="zh-CN"/>
          <w14:textFill>
            <w14:solidFill>
              <w14:schemeClr w14:val="tx1"/>
            </w14:solidFill>
          </w14:textFill>
        </w:rPr>
        <w:br w:type="column"/>
      </w:r>
      <w:bookmarkStart w:id="27" w:name="_Toc75013266"/>
      <w:r>
        <w:rPr>
          <w:rFonts w:hint="eastAsia"/>
          <w:color w:val="000000" w:themeColor="text1"/>
          <w:lang w:eastAsia="zh-CN"/>
          <w14:textFill>
            <w14:solidFill>
              <w14:schemeClr w14:val="tx1"/>
            </w14:solidFill>
          </w14:textFill>
        </w:rPr>
        <w:t>保护对象构成</w:t>
      </w:r>
      <w:bookmarkEnd w:id="26"/>
      <w:bookmarkEnd w:id="27"/>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本次规划的保护对象，包括文物本体和文物环境，其中，</w:t>
      </w:r>
    </w:p>
    <w:p>
      <w:pPr>
        <w:ind w:firstLine="482" w:firstLineChars="200"/>
        <w:rPr>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文物本体：</w:t>
      </w:r>
      <w:r>
        <w:rPr>
          <w:rFonts w:hint="eastAsia"/>
          <w:color w:val="000000" w:themeColor="text1"/>
          <w:lang w:val="zh-CN"/>
          <w14:textFill>
            <w14:solidFill>
              <w14:schemeClr w14:val="tx1"/>
            </w14:solidFill>
          </w14:textFill>
        </w:rPr>
        <w:t>21处全国重点文物建筑。</w:t>
      </w:r>
    </w:p>
    <w:p>
      <w:pPr>
        <w:ind w:firstLine="482" w:firstLineChars="200"/>
        <w:rPr>
          <w:color w:val="000000" w:themeColor="text1"/>
          <w:lang w:val="zh-CN"/>
          <w14:textFill>
            <w14:solidFill>
              <w14:schemeClr w14:val="tx1"/>
            </w14:solidFill>
          </w14:textFill>
        </w:rPr>
      </w:pPr>
      <w:r>
        <w:rPr>
          <w:b/>
          <w:color w:val="000000" w:themeColor="text1"/>
          <w:lang w:val="zh-CN"/>
          <w14:textFill>
            <w14:solidFill>
              <w14:schemeClr w14:val="tx1"/>
            </w14:solidFill>
          </w14:textFill>
        </w:rPr>
        <w:t>文物环境</w:t>
      </w:r>
      <w:r>
        <w:rPr>
          <w:rFonts w:hint="eastAsia"/>
          <w:b/>
          <w:color w:val="000000" w:themeColor="text1"/>
          <w:lang w:val="zh-CN"/>
          <w14:textFill>
            <w14:solidFill>
              <w14:schemeClr w14:val="tx1"/>
            </w14:solidFill>
          </w14:textFill>
        </w:rPr>
        <w:t>：</w:t>
      </w:r>
      <w:r>
        <w:rPr>
          <w:color w:val="000000" w:themeColor="text1"/>
          <w:lang w:val="zh-CN"/>
          <w14:textFill>
            <w14:solidFill>
              <w14:schemeClr w14:val="tx1"/>
            </w14:solidFill>
          </w14:textFill>
        </w:rPr>
        <w:t>城内文物环境</w:t>
      </w:r>
      <w:r>
        <w:rPr>
          <w:rFonts w:hint="eastAsia"/>
          <w:color w:val="000000" w:themeColor="text1"/>
          <w:lang w:val="zh-CN"/>
          <w14:textFill>
            <w14:solidFill>
              <w14:schemeClr w14:val="tx1"/>
            </w14:solidFill>
          </w14:textFill>
        </w:rPr>
        <w:t>（73处未定级不可移动文物建筑、城墙遗址和城壕遗址、1</w:t>
      </w:r>
      <w:r>
        <w:rPr>
          <w:color w:val="000000" w:themeColor="text1"/>
          <w:lang w:val="zh-CN"/>
          <w14:textFill>
            <w14:solidFill>
              <w14:schemeClr w14:val="tx1"/>
            </w14:solidFill>
          </w14:textFill>
        </w:rPr>
        <w:t>0</w:t>
      </w:r>
      <w:r>
        <w:rPr>
          <w:rFonts w:hint="eastAsia"/>
          <w:color w:val="000000" w:themeColor="text1"/>
          <w:lang w:val="zh-CN"/>
          <w14:textFill>
            <w14:solidFill>
              <w14:schemeClr w14:val="tx1"/>
            </w14:solidFill>
          </w14:textFill>
        </w:rPr>
        <w:t>处重点建筑遗址、历史街巷、古树古井、城外文物环境（山-城-海空间格局、11处城外相关遗存、古树）。</w:t>
      </w:r>
    </w:p>
    <w:p>
      <w:pPr>
        <w:pStyle w:val="5"/>
        <w:rPr>
          <w:color w:val="000000" w:themeColor="text1"/>
          <w:lang w:eastAsia="zh-CN"/>
          <w14:textFill>
            <w14:solidFill>
              <w14:schemeClr w14:val="tx1"/>
            </w14:solidFill>
          </w14:textFill>
        </w:rPr>
      </w:pPr>
      <w:bookmarkStart w:id="28" w:name="_Toc75013267"/>
      <w:r>
        <w:rPr>
          <w:rFonts w:hint="eastAsia"/>
          <w:color w:val="000000" w:themeColor="text1"/>
          <w14:textFill>
            <w14:solidFill>
              <w14:schemeClr w14:val="tx1"/>
            </w14:solidFill>
          </w14:textFill>
        </w:rPr>
        <w:t>文物本体</w:t>
      </w:r>
      <w:bookmarkEnd w:id="2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依据《全国文物保护单位综合管理系统》（国家文物局</w:t>
      </w:r>
      <w:r>
        <w:rPr>
          <w:color w:val="000000" w:themeColor="text1"/>
          <w14:textFill>
            <w14:solidFill>
              <w14:schemeClr w14:val="tx1"/>
            </w14:solidFill>
          </w14:textFill>
        </w:rPr>
        <w:t>http://www.1271.com.cn/</w:t>
      </w:r>
      <w:r>
        <w:rPr>
          <w:rFonts w:hint="eastAsia"/>
          <w:color w:val="000000" w:themeColor="text1"/>
          <w14:textFill>
            <w14:solidFill>
              <w14:schemeClr w14:val="tx1"/>
            </w14:solidFill>
          </w14:textFill>
        </w:rPr>
        <w:t>）的公布名单。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处全国重点文物建筑包含：天后宫、赖绍贤将军第、赖恩爵振威将军第、赖恩锡将军第、赖府书房——怡文楼、东门楼、赖英扬振威将军第、西门赖氏将军第、赵公祠、西门楼、郑氏司马第、南门楼、东北村戴氏大屋、赖世超将军第、赖信扬将军第、何文朴故居、梁氏大屋、侯王古庙、林仕英“大夫第”、刘起龙将军第、东门李将军府。</w:t>
      </w:r>
    </w:p>
    <w:p>
      <w:pPr>
        <w:pStyle w:val="5"/>
        <w:rPr>
          <w:color w:val="000000" w:themeColor="text1"/>
          <w14:textFill>
            <w14:solidFill>
              <w14:schemeClr w14:val="tx1"/>
            </w14:solidFill>
          </w14:textFill>
        </w:rPr>
      </w:pPr>
      <w:bookmarkStart w:id="29" w:name="_Toc75013268"/>
      <w:r>
        <w:rPr>
          <w:color w:val="000000" w:themeColor="text1"/>
          <w14:textFill>
            <w14:solidFill>
              <w14:schemeClr w14:val="tx1"/>
            </w14:solidFill>
          </w14:textFill>
        </w:rPr>
        <w:t>文物环境</w:t>
      </w:r>
      <w:bookmarkEnd w:id="29"/>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1、城内文物环境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）73处未定级不可移动文物建筑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未定级不可移动文物建筑为大鹏新区公共事业局2014年、2015年公布的不可移动文物，均为清代至民国时期的建筑，共73处，包括古民居、衙署、宗祠等。</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（2）城墙遗址和城壕遗址</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据康熙《新安县志》记载：“大鹏所城……内外砌以砖石，周围三百二十五丈六尺，高一丈八尺，址广一丈四尺，门楼四，敌楼如之，警铺十六、雉堞六百五十四，东、西、南三面环水，濠周围三百九十八丈，阔一丈五尺，深一丈。”</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城墙遗址</w:t>
      </w:r>
      <w:r>
        <w:rPr>
          <w:rFonts w:hint="eastAsia"/>
          <w:color w:val="000000" w:themeColor="text1"/>
          <w14:textFill>
            <w14:solidFill>
              <w14:schemeClr w14:val="tx1"/>
            </w14:solidFill>
          </w14:textFill>
        </w:rPr>
        <w:t>：目前大鹏所城城墙仅东门楼至北门楼段有地上遗存，</w:t>
      </w:r>
      <w:r>
        <w:rPr>
          <w:color w:val="000000" w:themeColor="text1"/>
          <w14:textFill>
            <w14:solidFill>
              <w14:schemeClr w14:val="tx1"/>
            </w14:solidFill>
          </w14:textFill>
        </w:rPr>
        <w:t>长度约为</w:t>
      </w:r>
      <w:r>
        <w:rPr>
          <w:rFonts w:hint="eastAsia"/>
          <w:color w:val="000000" w:themeColor="text1"/>
          <w14:textFill>
            <w14:solidFill>
              <w14:schemeClr w14:val="tx1"/>
            </w14:solidFill>
          </w14:textFill>
        </w:rPr>
        <w:t>300米。</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城壕遗址</w:t>
      </w:r>
      <w:r>
        <w:rPr>
          <w:rFonts w:hint="eastAsia"/>
          <w:color w:val="000000" w:themeColor="text1"/>
          <w14:textFill>
            <w14:solidFill>
              <w14:schemeClr w14:val="tx1"/>
            </w14:solidFill>
          </w14:textFill>
        </w:rPr>
        <w:t>：史载大鹏所城东西南三面环水，环壕周迴三百九十八丈，阔一丈五尺，深一丈； 考古在驳岸的南侧发现有护城壕沟，但护壕的外界尚不清楚。</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处重点建筑遗址</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重点建筑遗址为大鹏所城城内重要衙署机构及寺庙建筑遗址，包括关帝庙遗址、文庙遗址、火药局遗址、华光庙遗址、城隍庙遗址、左堂署遗址、守备署遗址、都府署遗址、参将署遗址、协台衙门遗址。</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历史街巷</w:t>
      </w:r>
    </w:p>
    <w:p>
      <w:pPr>
        <w:ind w:firstLine="480" w:firstLineChars="200"/>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所城平面呈梯形，周围围以环壕，十字街贯穿全城，建设东、南、西、北四座城门，街道规整，轴线分明，衙署居于城中偏北位置，还有庙宇、祠堂、书院等公共建筑。目前尚保留重要的历史街巷</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条，包括</w:t>
      </w:r>
      <w:r>
        <w:rPr>
          <w:color w:val="000000" w:themeColor="text1"/>
          <w:lang w:val="zh-CN"/>
          <w14:textFill>
            <w14:solidFill>
              <w14:schemeClr w14:val="tx1"/>
            </w14:solidFill>
          </w14:textFill>
        </w:rPr>
        <w:t>南门街</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赖府巷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十字街</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东城巷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东门街</w:t>
      </w:r>
      <w:r>
        <w:rPr>
          <w:rFonts w:hint="eastAsia"/>
          <w:color w:val="000000" w:themeColor="text1"/>
          <w:lang w:val="zh-CN"/>
          <w14:textFill>
            <w14:solidFill>
              <w14:schemeClr w14:val="tx1"/>
            </w14:solidFill>
          </w14:textFill>
        </w:rPr>
        <w:t>、无名巷、</w:t>
      </w:r>
      <w:r>
        <w:rPr>
          <w:color w:val="000000" w:themeColor="text1"/>
          <w:lang w:val="zh-CN"/>
          <w14:textFill>
            <w14:solidFill>
              <w14:schemeClr w14:val="tx1"/>
            </w14:solidFill>
          </w14:textFill>
        </w:rPr>
        <w:t>长巷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戴屋巷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食烟巷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刘屋巷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李屋巷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将军第巷</w:t>
      </w:r>
      <w:r>
        <w:rPr>
          <w:rFonts w:hint="eastAsia"/>
          <w:color w:val="000000" w:themeColor="text1"/>
          <w:lang w:val="zh-CN"/>
          <w14:textFill>
            <w14:solidFill>
              <w14:schemeClr w14:val="tx1"/>
            </w14:solidFill>
          </w14:textFill>
        </w:rPr>
        <w:t>、红花巷、</w:t>
      </w:r>
      <w:r>
        <w:rPr>
          <w:color w:val="000000" w:themeColor="text1"/>
          <w:lang w:val="zh-CN"/>
          <w14:textFill>
            <w14:solidFill>
              <w14:schemeClr w14:val="tx1"/>
            </w14:solidFill>
          </w14:textFill>
        </w:rPr>
        <w:t>正街</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西城巷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西城一巷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西城二巷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西城三巷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西城四巷</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西城五巷</w:t>
      </w:r>
      <w:r>
        <w:rPr>
          <w:rFonts w:hint="eastAsia"/>
          <w:color w:val="000000" w:themeColor="text1"/>
          <w:lang w:val="zh-CN"/>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（5）古树古井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所城内现存古树</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棵，古井8处。</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2、城外文物环境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）山-城-海空间</w:t>
      </w:r>
      <w:r>
        <w:rPr>
          <w:color w:val="000000" w:themeColor="text1"/>
          <w14:textFill>
            <w14:solidFill>
              <w14:schemeClr w14:val="tx1"/>
            </w14:solidFill>
          </w14:textFill>
        </w:rPr>
        <w:t>格局</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大鹏所城的规划建设与中国古代的城池建设思想相吻合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所城的格局与结构准确的把握了大鹏所城处的地形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位置</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所城选址保持了背山面水的大格局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而在山体选择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山峰对称上也符合传统选址的要求</w:t>
      </w:r>
      <w:r>
        <w:rPr>
          <w:rFonts w:hint="eastAsia"/>
          <w:color w:val="000000" w:themeColor="text1"/>
          <w14:textFill>
            <w14:solidFill>
              <w14:schemeClr w14:val="tx1"/>
            </w14:solidFill>
          </w14:textFill>
        </w:rPr>
        <w:t>。按照古代堪舆学，七娘山即案山，排牙山为镇山，两侧西山、东山则分别为护砂，建筑群的主轴线与案山山峰在一条直线上，有严格的对位关系。</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）11处城外相关遗存</w:t>
      </w:r>
    </w:p>
    <w:p>
      <w:pPr>
        <w:ind w:left="420"/>
        <w:rPr>
          <w:color w:val="000000" w:themeColor="text1"/>
          <w:lang w:val="zh-CN"/>
          <w14:textFill>
            <w14:solidFill>
              <w14:schemeClr w14:val="tx1"/>
            </w14:solidFill>
          </w14:textFill>
        </w:rPr>
      </w:pPr>
      <w:r>
        <w:rPr>
          <w:color w:val="000000" w:themeColor="text1"/>
          <w:lang w:val="zh-CN"/>
          <w14:textFill>
            <w14:solidFill>
              <w14:schemeClr w14:val="tx1"/>
            </w14:solidFill>
          </w14:textFill>
        </w:rPr>
        <w:t>大鹏所城外共有与</w:t>
      </w:r>
      <w:r>
        <w:rPr>
          <w:rFonts w:hint="eastAsia"/>
          <w:color w:val="000000" w:themeColor="text1"/>
          <w:lang w:val="zh-CN"/>
          <w14:textFill>
            <w14:solidFill>
              <w14:schemeClr w14:val="tx1"/>
            </w14:solidFill>
          </w14:textFill>
        </w:rPr>
        <w:t>其</w:t>
      </w:r>
      <w:r>
        <w:rPr>
          <w:color w:val="000000" w:themeColor="text1"/>
          <w:lang w:val="zh-CN"/>
          <w14:textFill>
            <w14:solidFill>
              <w14:schemeClr w14:val="tx1"/>
            </w14:solidFill>
          </w14:textFill>
        </w:rPr>
        <w:t>相关的历史遗存2</w:t>
      </w:r>
      <w:r>
        <w:rPr>
          <w:rFonts w:hint="eastAsia"/>
          <w:color w:val="000000" w:themeColor="text1"/>
          <w:lang w:val="zh-CN"/>
          <w14:textFill>
            <w14:solidFill>
              <w14:schemeClr w14:val="tx1"/>
            </w14:solidFill>
          </w14:textFill>
        </w:rPr>
        <w:t>类，包括古墓葬、古建筑。</w:t>
      </w:r>
    </w:p>
    <w:p>
      <w:pPr>
        <w:ind w:left="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古墓葬6处：刘起龙夫人林氏墓、刘起龙将军墓、明武略将军徐勋墓、赖太母刘老夫人墓、赖绍贤夫妇墓、东山寺住持墓。</w:t>
      </w:r>
    </w:p>
    <w:p>
      <w:pPr>
        <w:ind w:left="42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古建筑5处：东山寺石牌坊、东山寺墓塔、荣荫桥、登云桥、龙井。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（3）古树</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所城外现存古树</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9棵</w:t>
      </w:r>
      <w:r>
        <w:rPr>
          <w:rFonts w:hint="eastAsia"/>
          <w:color w:val="000000" w:themeColor="text1"/>
          <w14:textFill>
            <w14:solidFill>
              <w14:schemeClr w14:val="tx1"/>
            </w14:solidFill>
          </w14:textFill>
        </w:rPr>
        <w:t>。</w:t>
      </w:r>
    </w:p>
    <w:p>
      <w:pPr>
        <w:pStyle w:val="3"/>
        <w:spacing w:before="163" w:after="163"/>
        <w:ind w:left="630" w:hanging="630"/>
        <w:rPr>
          <w:color w:val="000000" w:themeColor="text1"/>
          <w:lang w:eastAsia="zh-CN"/>
          <w14:textFill>
            <w14:solidFill>
              <w14:schemeClr w14:val="tx1"/>
            </w14:solidFill>
          </w14:textFill>
        </w:rPr>
      </w:pPr>
      <w:bookmarkStart w:id="30" w:name="_Toc394066536"/>
      <w:bookmarkEnd w:id="30"/>
      <w:bookmarkStart w:id="31" w:name="_Toc394066530"/>
      <w:bookmarkEnd w:id="31"/>
      <w:bookmarkStart w:id="32" w:name="_Toc394066537"/>
      <w:bookmarkEnd w:id="32"/>
      <w:bookmarkStart w:id="33" w:name="_Toc394066535"/>
      <w:bookmarkEnd w:id="33"/>
      <w:bookmarkStart w:id="34" w:name="_Toc394066532"/>
      <w:bookmarkEnd w:id="34"/>
      <w:bookmarkStart w:id="35" w:name="_Toc75013269"/>
      <w:bookmarkStart w:id="36" w:name="_Toc373500756"/>
      <w:r>
        <w:rPr>
          <w:rFonts w:hint="eastAsia"/>
          <w:color w:val="000000" w:themeColor="text1"/>
          <w14:textFill>
            <w14:solidFill>
              <w14:schemeClr w14:val="tx1"/>
            </w14:solidFill>
          </w14:textFill>
        </w:rPr>
        <w:t>价值评估</w:t>
      </w:r>
      <w:bookmarkEnd w:id="35"/>
      <w:bookmarkEnd w:id="36"/>
    </w:p>
    <w:p>
      <w:pPr>
        <w:pStyle w:val="5"/>
        <w:rPr>
          <w:color w:val="000000" w:themeColor="text1"/>
          <w14:textFill>
            <w14:solidFill>
              <w14:schemeClr w14:val="tx1"/>
            </w14:solidFill>
          </w14:textFill>
        </w:rPr>
      </w:pPr>
      <w:bookmarkStart w:id="37" w:name="_Toc15634133"/>
      <w:bookmarkStart w:id="38" w:name="_Toc75013270"/>
      <w:bookmarkStart w:id="39" w:name="_Toc373500762"/>
      <w:r>
        <w:rPr>
          <w:rFonts w:hint="eastAsia"/>
          <w:color w:val="000000" w:themeColor="text1"/>
          <w14:textFill>
            <w14:solidFill>
              <w14:schemeClr w14:val="tx1"/>
            </w14:solidFill>
          </w14:textFill>
        </w:rPr>
        <w:t>历史价值</w:t>
      </w:r>
      <w:bookmarkEnd w:id="37"/>
      <w:bookmarkEnd w:id="38"/>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对于明清海防历史与军事设施研究具有重要价值</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15世纪下半叶开始，中国海疆先后受到倭寇、海盗与西方殖民者的侵扰。明代</w:t>
      </w:r>
      <w:r>
        <w:rPr>
          <w:rFonts w:cs="宋体" w:asciiTheme="minorEastAsia" w:hAnsiTheme="minorEastAsia"/>
          <w:color w:val="000000" w:themeColor="text1"/>
          <w:kern w:val="0"/>
          <w:szCs w:val="21"/>
          <w14:textFill>
            <w14:solidFill>
              <w14:schemeClr w14:val="tx1"/>
            </w14:solidFill>
          </w14:textFill>
        </w:rPr>
        <w:t>洪武、永乐年间建立了中国历史上第一个较完善的海防体系</w:t>
      </w:r>
      <w:r>
        <w:rPr>
          <w:rFonts w:hint="eastAsia" w:cs="宋体" w:asciiTheme="minorEastAsia" w:hAnsiTheme="minorEastAsia"/>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以卫所抵御为基干</w:t>
      </w:r>
      <w:r>
        <w:rPr>
          <w:rFonts w:hint="eastAsia" w:cs="宋体" w:asciiTheme="minorEastAsia" w:hAnsiTheme="minorEastAsia"/>
          <w:color w:val="000000" w:themeColor="text1"/>
          <w:kern w:val="0"/>
          <w:szCs w:val="21"/>
          <w14:textFill>
            <w14:solidFill>
              <w14:schemeClr w14:val="tx1"/>
            </w14:solidFill>
          </w14:textFill>
        </w:rPr>
        <w:t>，卫所</w:t>
      </w:r>
      <w:r>
        <w:rPr>
          <w:rFonts w:cs="宋体" w:asciiTheme="minorEastAsia" w:hAnsiTheme="minorEastAsia"/>
          <w:color w:val="000000" w:themeColor="text1"/>
          <w:kern w:val="0"/>
          <w:szCs w:val="21"/>
          <w14:textFill>
            <w14:solidFill>
              <w14:schemeClr w14:val="tx1"/>
            </w14:solidFill>
          </w14:textFill>
        </w:rPr>
        <w:t>间以烟墩报警</w:t>
      </w:r>
      <w:r>
        <w:rPr>
          <w:rFonts w:hint="eastAsia" w:cs="宋体" w:asciiTheme="minorEastAsia" w:hAnsiTheme="minorEastAsia"/>
          <w:color w:val="000000" w:themeColor="text1"/>
          <w:kern w:val="0"/>
          <w:szCs w:val="21"/>
          <w14:textFill>
            <w14:solidFill>
              <w14:schemeClr w14:val="tx1"/>
            </w14:solidFill>
          </w14:textFill>
        </w:rPr>
        <w:t>，配合以</w:t>
      </w:r>
      <w:r>
        <w:rPr>
          <w:rFonts w:cs="宋体" w:asciiTheme="minorEastAsia" w:hAnsiTheme="minorEastAsia"/>
          <w:color w:val="000000" w:themeColor="text1"/>
          <w:kern w:val="0"/>
          <w:szCs w:val="21"/>
          <w14:textFill>
            <w14:solidFill>
              <w14:schemeClr w14:val="tx1"/>
            </w14:solidFill>
          </w14:textFill>
        </w:rPr>
        <w:t>巡检司盘查</w:t>
      </w:r>
      <w:r>
        <w:rPr>
          <w:rFonts w:hint="eastAsia" w:cs="宋体" w:asciiTheme="minorEastAsia" w:hAnsiTheme="minorEastAsia"/>
          <w:color w:val="000000" w:themeColor="text1"/>
          <w:kern w:val="0"/>
          <w:szCs w:val="21"/>
          <w14:textFill>
            <w14:solidFill>
              <w14:schemeClr w14:val="tx1"/>
            </w14:solidFill>
          </w14:textFill>
        </w:rPr>
        <w:t>、闽浙粤</w:t>
      </w:r>
      <w:r>
        <w:rPr>
          <w:rFonts w:cs="宋体" w:asciiTheme="minorEastAsia" w:hAnsiTheme="minorEastAsia"/>
          <w:color w:val="000000" w:themeColor="text1"/>
          <w:kern w:val="0"/>
          <w:szCs w:val="21"/>
          <w14:textFill>
            <w14:solidFill>
              <w14:schemeClr w14:val="tx1"/>
            </w14:solidFill>
          </w14:textFill>
        </w:rPr>
        <w:t>海域兵船巡防</w:t>
      </w:r>
      <w:r>
        <w:rPr>
          <w:rFonts w:hint="eastAsia" w:cs="宋体" w:asciiTheme="minorEastAsia" w:hAnsiTheme="minorEastAsia"/>
          <w:color w:val="000000" w:themeColor="text1"/>
          <w:kern w:val="0"/>
          <w:szCs w:val="21"/>
          <w14:textFill>
            <w14:solidFill>
              <w14:schemeClr w14:val="tx1"/>
            </w14:solidFill>
          </w14:textFill>
        </w:rPr>
        <w:t>。清代时，各地所城在原基础上均有增建，同时东南沿海大兴炮台建设以完善火力防御。</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广东是明清海防的代表性区域之一，洪武二十七年（1394）广东建立起8卫25所城、东中西三路的海防格局，大鹏所城为当时所建，是中路海防的六座卫所之一；清中期大鹏所城为水师营驻地，珠江口防御地位上升后隶属于新设于虎门的水师提督，后提升为水师协，管辖</w:t>
      </w:r>
      <w:r>
        <w:rPr>
          <w:rFonts w:hint="eastAsia" w:asciiTheme="minorEastAsia" w:hAnsiTheme="minorEastAsia" w:cstheme="minorHAnsi"/>
          <w:color w:val="000000" w:themeColor="text1"/>
          <w:szCs w:val="21"/>
          <w14:textFill>
            <w14:solidFill>
              <w14:schemeClr w14:val="tx1"/>
            </w14:solidFill>
          </w14:textFill>
        </w:rPr>
        <w:t>“东至归善县岭凹村陆路三十里，西至新安县独树村陆路九十五里，南至外洋，北至归善县西乡凹陆路三里”的广阔范围</w:t>
      </w:r>
      <w:r>
        <w:rPr>
          <w:rFonts w:hint="eastAsia" w:cs="宋体" w:asciiTheme="minorEastAsia" w:hAnsiTheme="minorEastAsia"/>
          <w:color w:val="000000" w:themeColor="text1"/>
          <w:kern w:val="0"/>
          <w:szCs w:val="21"/>
          <w14:textFill>
            <w14:solidFill>
              <w14:schemeClr w14:val="tx1"/>
            </w14:solidFill>
          </w14:textFill>
        </w:rPr>
        <w:t>。</w:t>
      </w:r>
    </w:p>
    <w:p>
      <w:pPr>
        <w:autoSpaceDE w:val="0"/>
        <w:autoSpaceDN w:val="0"/>
        <w:adjustRightInd w:val="0"/>
        <w:ind w:firstLine="480" w:firstLineChars="200"/>
        <w:jc w:val="left"/>
        <w:rPr>
          <w:rFonts w:cs="仿宋"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大鹏所城是在独特历史背景下诞生的极具代表性的所城军事设施，</w:t>
      </w:r>
      <w:r>
        <w:rPr>
          <w:rFonts w:hint="eastAsia" w:cs="仿宋" w:asciiTheme="minorEastAsia" w:hAnsiTheme="minorEastAsia"/>
          <w:color w:val="000000" w:themeColor="text1"/>
          <w:kern w:val="0"/>
          <w:szCs w:val="21"/>
          <w14:textFill>
            <w14:solidFill>
              <w14:schemeClr w14:val="tx1"/>
            </w14:solidFill>
          </w14:textFill>
        </w:rPr>
        <w:t>对海防建设及海防史的研究，具有重要的历史价值。</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体现了历史军事制度的孑遗</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明代时与卫所设施并行</w:t>
      </w:r>
      <w:r>
        <w:rPr>
          <w:rFonts w:hint="eastAsia" w:cs="宋体" w:asciiTheme="minorEastAsia" w:hAnsiTheme="minorEastAsia"/>
          <w:color w:val="000000" w:themeColor="text1"/>
          <w:kern w:val="0"/>
          <w:szCs w:val="21"/>
          <w14:textFill>
            <w14:solidFill>
              <w14:schemeClr w14:val="tx1"/>
            </w14:solidFill>
          </w14:textFill>
        </w:rPr>
        <w:t>的是兵制上的卫所制，驻兵世代从军，且耕且战，是古老军屯制度在明代的延续，在边疆开发中起到举足轻重的作用；明中期至清代兵制改革为营兵制，逐步建立起体系完备的成熟水师，产生了杰出的将领和军事思想家，在大鹏所城中可以找到丰富的映证。</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大鹏所城在深港城市的发展史上是不可多得的历史见证</w:t>
      </w:r>
    </w:p>
    <w:p>
      <w:pPr>
        <w:autoSpaceDE w:val="0"/>
        <w:autoSpaceDN w:val="0"/>
        <w:adjustRightInd w:val="0"/>
        <w:ind w:firstLine="480" w:firstLineChars="200"/>
        <w:jc w:val="left"/>
        <w:rPr>
          <w:rFonts w:cs="仿宋" w:asciiTheme="minorEastAsia" w:hAnsiTheme="minorEastAsia"/>
          <w:color w:val="000000" w:themeColor="text1"/>
          <w:kern w:val="0"/>
          <w:szCs w:val="21"/>
          <w14:textFill>
            <w14:solidFill>
              <w14:schemeClr w14:val="tx1"/>
            </w14:solidFill>
          </w14:textFill>
        </w:rPr>
      </w:pPr>
      <w:r>
        <w:rPr>
          <w:rFonts w:hint="eastAsia" w:cs="仿宋" w:asciiTheme="minorEastAsia" w:hAnsiTheme="minorEastAsia"/>
          <w:color w:val="000000" w:themeColor="text1"/>
          <w:kern w:val="0"/>
          <w:szCs w:val="21"/>
          <w14:textFill>
            <w14:solidFill>
              <w14:schemeClr w14:val="tx1"/>
            </w14:solidFill>
          </w14:textFill>
        </w:rPr>
        <w:t>中央大举迁兵员赴海疆屯垦前，深港区域人口稀少，大鹏所城的屯垦官兵在当地开垦田地，建设聚落，在清代成为覆盖深圳东部和香港地区的行政和军事中心，深刻影响了区域历史的进程。</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在中国近代史开端事件鸦片战争中占有重要的一席</w:t>
      </w:r>
    </w:p>
    <w:p>
      <w:pPr>
        <w:autoSpaceDE w:val="0"/>
        <w:autoSpaceDN w:val="0"/>
        <w:adjustRightInd w:val="0"/>
        <w:ind w:firstLine="480" w:firstLineChars="200"/>
        <w:jc w:val="left"/>
        <w:rPr>
          <w:b/>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鸦片战争爆发的第一站为九龙海战，时任大鹏营参将的赖恩爵率大鹏水师右营取得了九龙海战的胜利，</w:t>
      </w:r>
      <w:r>
        <w:rPr>
          <w:rFonts w:hint="eastAsia"/>
          <w:color w:val="000000" w:themeColor="text1"/>
          <w14:textFill>
            <w14:solidFill>
              <w14:schemeClr w14:val="tx1"/>
            </w14:solidFill>
          </w14:textFill>
        </w:rPr>
        <w:t>揭开了我国捍卫主权完整、反殖民反侵略斗争的序幕，</w:t>
      </w:r>
      <w:r>
        <w:rPr>
          <w:rFonts w:hint="eastAsia" w:cs="宋体" w:asciiTheme="minorEastAsia" w:hAnsiTheme="minorEastAsia"/>
          <w:color w:val="000000" w:themeColor="text1"/>
          <w:kern w:val="0"/>
          <w:szCs w:val="21"/>
          <w14:textFill>
            <w14:solidFill>
              <w14:schemeClr w14:val="tx1"/>
            </w14:solidFill>
          </w14:textFill>
        </w:rPr>
        <w:t>此为大鹏所城历史中最具重要性的事件之一。</w:t>
      </w:r>
    </w:p>
    <w:p>
      <w:pPr>
        <w:pStyle w:val="5"/>
        <w:rPr>
          <w:color w:val="000000" w:themeColor="text1"/>
          <w14:textFill>
            <w14:solidFill>
              <w14:schemeClr w14:val="tx1"/>
            </w14:solidFill>
          </w14:textFill>
        </w:rPr>
      </w:pPr>
      <w:bookmarkStart w:id="40" w:name="_Toc15634134"/>
      <w:bookmarkStart w:id="41" w:name="_Toc75013271"/>
      <w:r>
        <w:rPr>
          <w:rFonts w:hint="eastAsia"/>
          <w:color w:val="000000" w:themeColor="text1"/>
          <w14:textFill>
            <w14:solidFill>
              <w14:schemeClr w14:val="tx1"/>
            </w14:solidFill>
          </w14:textFill>
        </w:rPr>
        <w:t>科学价值</w:t>
      </w:r>
      <w:bookmarkEnd w:id="40"/>
      <w:bookmarkEnd w:id="41"/>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以大鹏所城为中心的海防系统是明清海防军事设施的杰出代表</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大鹏所城属于海防设施中的卫所城池，其军事设施系统在明代为卫所烟墩体系，执行一种称为“坚壁清野”的防御：大鹏所城建于资源与交通要地，倭寇来临时，兵民携物资撤入卫所内据守，并等待周边驻兵的救援；烟墩是此系统中必备的辅助通讯设施。</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清代大鹏为水师营，地位提升</w:t>
      </w:r>
      <w:r>
        <w:rPr>
          <w:rFonts w:ascii="ˎ̥" w:hAnsi="ˎ̥"/>
          <w:color w:val="000000" w:themeColor="text1"/>
          <w:szCs w:val="21"/>
          <w14:textFill>
            <w14:solidFill>
              <w14:schemeClr w14:val="tx1"/>
            </w14:solidFill>
          </w14:textFill>
        </w:rPr>
        <w:t>为管辖珠江外洋东部海路的海防军事机构</w:t>
      </w:r>
      <w:r>
        <w:rPr>
          <w:rFonts w:hint="eastAsia" w:asciiTheme="minorEastAsia" w:hAnsiTheme="minorEastAsia" w:cstheme="minorHAnsi"/>
          <w:color w:val="000000" w:themeColor="text1"/>
          <w:szCs w:val="21"/>
          <w14:textFill>
            <w14:solidFill>
              <w14:schemeClr w14:val="tx1"/>
            </w14:solidFill>
          </w14:textFill>
        </w:rPr>
        <w:t>（隶属于虎门水师提督），并由于管辖洋面宽广分设左右营，左营驻大鹏所城，右营驻香港东涌所城；提升为水师协后设副将驻九龙寨城。其下辖汛地、炮台、墩台星罗棋布，是中国清代海防设施营造的优秀成果。</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城池的营建体现了高质量的中国古代营造技术</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大鹏所城的选址体现了</w:t>
      </w:r>
      <w:r>
        <w:rPr>
          <w:rFonts w:asciiTheme="minorEastAsia" w:hAnsiTheme="minorEastAsia" w:cstheme="minorHAnsi"/>
          <w:color w:val="000000" w:themeColor="text1"/>
          <w:szCs w:val="21"/>
          <w14:textFill>
            <w14:solidFill>
              <w14:schemeClr w14:val="tx1"/>
            </w14:solidFill>
          </w14:textFill>
        </w:rPr>
        <w:t>《周礼·考工记》</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《管子》和堪舆学说等多种营城方法论的结合</w:t>
      </w:r>
      <w:r>
        <w:rPr>
          <w:rFonts w:hint="eastAsia" w:asciiTheme="minorEastAsia" w:hAnsiTheme="minorEastAsia" w:cstheme="minorHAnsi"/>
          <w:color w:val="000000" w:themeColor="text1"/>
          <w:szCs w:val="21"/>
          <w14:textFill>
            <w14:solidFill>
              <w14:schemeClr w14:val="tx1"/>
            </w14:solidFill>
          </w14:textFill>
        </w:rPr>
        <w:t>，高墙深壕，随形附势，在六百年来的战争和气候等严酷考验中证明了其设计的合理性。</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城墙和墙内建筑较好地体现了中国传统营造技艺和区域特色的结合，采用了花岗岩、贝壳灰、三合土等华南滨海地区特有的建筑技术，致密耐久，能够禁受海滨环境的腐蚀作用。</w:t>
      </w:r>
    </w:p>
    <w:p>
      <w:pPr>
        <w:pStyle w:val="5"/>
        <w:rPr>
          <w:color w:val="000000" w:themeColor="text1"/>
          <w14:textFill>
            <w14:solidFill>
              <w14:schemeClr w14:val="tx1"/>
            </w14:solidFill>
          </w14:textFill>
        </w:rPr>
      </w:pPr>
      <w:bookmarkStart w:id="42" w:name="_Toc75013272"/>
      <w:bookmarkStart w:id="43" w:name="_Toc15634135"/>
      <w:r>
        <w:rPr>
          <w:rFonts w:hint="eastAsia"/>
          <w:color w:val="000000" w:themeColor="text1"/>
          <w14:textFill>
            <w14:solidFill>
              <w14:schemeClr w14:val="tx1"/>
            </w14:solidFill>
          </w14:textFill>
        </w:rPr>
        <w:t>艺术价值</w:t>
      </w:r>
      <w:bookmarkEnd w:id="42"/>
      <w:bookmarkEnd w:id="43"/>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大鹏所城体现了军事审美的典型风格</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大鹏所城的建筑构成、街道格局和建筑风格，其设计多出于军事功能主义需求，表现出纪律严明、庄严简介的军事审美。如高墙深壕、复杂巷道和衙署建筑集群，均在顺应军事需求时达到了庄严、震慑的美学效果；众多将军府邸则体现了彼时军事将领刚健质朴、忠义、重文教等精神风格。</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大鹏所城的建筑体现了中国传统建筑与广府、客家民居的建筑美学风格</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大鹏所城位于客家民系和广府民系交汇区域，建筑</w:t>
      </w:r>
      <w:r>
        <w:rPr>
          <w:rFonts w:asciiTheme="minorEastAsia" w:hAnsiTheme="minorEastAsia" w:cstheme="minorHAnsi"/>
          <w:color w:val="000000" w:themeColor="text1"/>
          <w:szCs w:val="21"/>
          <w14:textFill>
            <w14:solidFill>
              <w14:schemeClr w14:val="tx1"/>
            </w14:solidFill>
          </w14:textFill>
        </w:rPr>
        <w:t>属于华南建筑大类，细部可见广东客家民系、广府民系和潮汕民系等本土营造手法的熏陶。建筑的基本形态是沿中轴线排布的合院</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形成有层次、有深度的空间序列</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装饰手法和主题具有明显的地域特色</w:t>
      </w:r>
      <w:r>
        <w:rPr>
          <w:rFonts w:hint="eastAsia" w:asciiTheme="minorEastAsia" w:hAnsiTheme="minorEastAsia" w:cstheme="minorHAnsi"/>
          <w:color w:val="000000" w:themeColor="text1"/>
          <w:szCs w:val="21"/>
          <w14:textFill>
            <w14:solidFill>
              <w14:schemeClr w14:val="tx1"/>
            </w14:solidFill>
          </w14:textFill>
        </w:rPr>
        <w:t>，如灰塑、彩绘、雕刻、嵌瓷等，在重要的文物建筑和普通文物建筑上都有体现。</w:t>
      </w:r>
    </w:p>
    <w:p>
      <w:pPr>
        <w:pStyle w:val="5"/>
        <w:rPr>
          <w:color w:val="000000" w:themeColor="text1"/>
          <w14:textFill>
            <w14:solidFill>
              <w14:schemeClr w14:val="tx1"/>
            </w14:solidFill>
          </w14:textFill>
        </w:rPr>
      </w:pPr>
      <w:bookmarkStart w:id="44" w:name="_Toc75013273"/>
      <w:bookmarkStart w:id="45" w:name="_Toc15634136"/>
      <w:r>
        <w:rPr>
          <w:rFonts w:hint="eastAsia"/>
          <w:color w:val="000000" w:themeColor="text1"/>
          <w14:textFill>
            <w14:solidFill>
              <w14:schemeClr w14:val="tx1"/>
            </w14:solidFill>
          </w14:textFill>
        </w:rPr>
        <w:t>社会价值</w:t>
      </w:r>
      <w:bookmarkEnd w:id="44"/>
      <w:bookmarkEnd w:id="45"/>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大鹏所城是当地社会、文化的重要源头</w:t>
      </w:r>
    </w:p>
    <w:p>
      <w:pPr>
        <w:autoSpaceDE w:val="0"/>
        <w:autoSpaceDN w:val="0"/>
        <w:adjustRightInd w:val="0"/>
        <w:ind w:firstLine="480" w:firstLineChars="200"/>
        <w:jc w:val="left"/>
        <w:rPr>
          <w:rFonts w:cs="仿宋" w:asciiTheme="minorEastAsia" w:hAnsiTheme="minorEastAsia"/>
          <w:color w:val="000000" w:themeColor="text1"/>
          <w:kern w:val="0"/>
          <w:szCs w:val="21"/>
          <w14:textFill>
            <w14:solidFill>
              <w14:schemeClr w14:val="tx1"/>
            </w14:solidFill>
          </w14:textFill>
        </w:rPr>
      </w:pPr>
      <w:r>
        <w:rPr>
          <w:rFonts w:cs="仿宋" w:asciiTheme="minorEastAsia" w:hAnsiTheme="minorEastAsia"/>
          <w:color w:val="000000" w:themeColor="text1"/>
          <w:kern w:val="0"/>
          <w:szCs w:val="21"/>
          <w14:textFill>
            <w14:solidFill>
              <w14:schemeClr w14:val="tx1"/>
            </w14:solidFill>
          </w14:textFill>
        </w:rPr>
        <w:t>卫所制是一种兼顾军事、户籍管理和生产等多方面独特制度</w:t>
      </w:r>
      <w:r>
        <w:rPr>
          <w:rFonts w:hint="eastAsia" w:cs="仿宋" w:asciiTheme="minorEastAsia" w:hAnsiTheme="minorEastAsia"/>
          <w:color w:val="000000" w:themeColor="text1"/>
          <w:kern w:val="0"/>
          <w:szCs w:val="21"/>
          <w14:textFill>
            <w14:solidFill>
              <w14:schemeClr w14:val="tx1"/>
            </w14:solidFill>
          </w14:textFill>
        </w:rPr>
        <w:t>。“卫所”在府县二级设置，基本覆盖了海疆全线，卫所士兵来源于多地，驻移驻当地后世代为兵，平日三分作战，七分屯田，整个军队是一个自给自足的武装集团，极大地促进了海疆地区的开发（全国屯田上交的粮食占总数的四成，可见数量之广）；不同地区民俗与当地文化的融合发展也产生了新的文化体系，如“军语”、大鹏凉帽和婚俗等民俗。</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大鹏所城是深圳重要的爱国主义教育基地，对深港地区精神文明建设具有积极影响</w:t>
      </w:r>
    </w:p>
    <w:p>
      <w:pPr>
        <w:autoSpaceDE w:val="0"/>
        <w:autoSpaceDN w:val="0"/>
        <w:adjustRightInd w:val="0"/>
        <w:ind w:firstLine="480" w:firstLineChars="200"/>
        <w:jc w:val="left"/>
        <w:rPr>
          <w:rFonts w:cs="仿宋" w:asciiTheme="minorEastAsia" w:hAnsiTheme="minorEastAsia"/>
          <w:color w:val="000000" w:themeColor="text1"/>
          <w:kern w:val="0"/>
          <w:szCs w:val="21"/>
          <w14:textFill>
            <w14:solidFill>
              <w14:schemeClr w14:val="tx1"/>
            </w14:solidFill>
          </w14:textFill>
        </w:rPr>
      </w:pPr>
      <w:r>
        <w:rPr>
          <w:rFonts w:hint="eastAsia" w:cs="仿宋" w:asciiTheme="minorEastAsia" w:hAnsiTheme="minorEastAsia"/>
          <w:color w:val="000000" w:themeColor="text1"/>
          <w:kern w:val="0"/>
          <w:szCs w:val="21"/>
          <w14:textFill>
            <w14:solidFill>
              <w14:schemeClr w14:val="tx1"/>
            </w14:solidFill>
          </w14:textFill>
        </w:rPr>
        <w:t>大鹏所城所城在鸦片战争的开端中占据了重要地位，是中华民族开发海洋、与世界其他文明交流碰撞这段重要历史的实物见证，是弘扬爱国主义精神，增强民族文化认同感和民族自信心的重要宣教地，对深港地区精神文明建设具有积极影响。</w:t>
      </w:r>
    </w:p>
    <w:p>
      <w:pPr>
        <w:numPr>
          <w:ilvl w:val="0"/>
          <w:numId w:val="1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大鹏新区是深圳东进战略的新引擎，是粤港澳大湾区产业合作的枢纽，大鹏所城是这一格局中宝贵的文化资源</w:t>
      </w:r>
    </w:p>
    <w:p>
      <w:pPr>
        <w:ind w:firstLine="480" w:firstLineChars="200"/>
        <w:rPr>
          <w:rFonts w:cs="仿宋" w:asciiTheme="minorEastAsia" w:hAnsiTheme="minorEastAsia"/>
          <w:color w:val="000000" w:themeColor="text1"/>
          <w:kern w:val="0"/>
          <w:szCs w:val="21"/>
          <w14:textFill>
            <w14:solidFill>
              <w14:schemeClr w14:val="tx1"/>
            </w14:solidFill>
          </w14:textFill>
        </w:rPr>
      </w:pPr>
      <w:r>
        <w:rPr>
          <w:rFonts w:hint="eastAsia" w:cs="仿宋" w:asciiTheme="minorEastAsia" w:hAnsiTheme="minorEastAsia"/>
          <w:color w:val="000000" w:themeColor="text1"/>
          <w:kern w:val="0"/>
          <w:szCs w:val="21"/>
          <w14:textFill>
            <w14:solidFill>
              <w14:schemeClr w14:val="tx1"/>
            </w14:solidFill>
          </w14:textFill>
        </w:rPr>
        <w:t>清代大鹏水师营、水师协的设置，证明了中国政府在几百年前对于香港与珠江口地区的统治地位，是大湾区城市同根同源的标志，立足于此文化资源的保护、发展与利用有助于改善深圳东部的资源结构，加强粤港澳大湾区经济、文化的协调可持续发展。</w:t>
      </w: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ind w:firstLine="480" w:firstLineChars="200"/>
        <w:rPr>
          <w:rFonts w:ascii="宋体" w:hAnsi="宋体"/>
          <w:color w:val="000000" w:themeColor="text1"/>
          <w14:textFill>
            <w14:solidFill>
              <w14:schemeClr w14:val="tx1"/>
            </w14:solidFill>
          </w14:textFill>
        </w:rPr>
      </w:pPr>
    </w:p>
    <w:p>
      <w:pPr>
        <w:pStyle w:val="3"/>
        <w:spacing w:before="163" w:after="163"/>
        <w:ind w:left="630" w:hanging="630"/>
        <w:rPr>
          <w:color w:val="000000" w:themeColor="text1"/>
          <w14:textFill>
            <w14:solidFill>
              <w14:schemeClr w14:val="tx1"/>
            </w14:solidFill>
          </w14:textFill>
        </w:rPr>
      </w:pPr>
      <w:bookmarkStart w:id="46" w:name="_Toc75013274"/>
      <w:r>
        <w:rPr>
          <w:rFonts w:hint="eastAsia"/>
          <w:color w:val="000000" w:themeColor="text1"/>
          <w14:textFill>
            <w14:solidFill>
              <w14:schemeClr w14:val="tx1"/>
            </w14:solidFill>
          </w14:textFill>
        </w:rPr>
        <w:t>专项评估</w:t>
      </w:r>
      <w:bookmarkEnd w:id="39"/>
      <w:bookmarkEnd w:id="46"/>
    </w:p>
    <w:p>
      <w:pPr>
        <w:pStyle w:val="4"/>
        <w:numPr>
          <w:ilvl w:val="0"/>
          <w:numId w:val="17"/>
        </w:numPr>
        <w:spacing w:beforeLines="0" w:afterLines="0" w:line="240" w:lineRule="auto"/>
        <w:ind w:left="525" w:hanging="525" w:hangingChars="175"/>
        <w:rPr>
          <w:color w:val="000000" w:themeColor="text1"/>
          <w:lang w:eastAsia="zh-CN"/>
          <w14:textFill>
            <w14:solidFill>
              <w14:schemeClr w14:val="tx1"/>
            </w14:solidFill>
          </w14:textFill>
        </w:rPr>
      </w:pPr>
      <w:bookmarkStart w:id="47" w:name="_Toc75013275"/>
      <w:bookmarkStart w:id="48" w:name="_Toc373500763"/>
      <w:r>
        <w:rPr>
          <w:rFonts w:hint="eastAsia"/>
          <w:color w:val="000000" w:themeColor="text1"/>
          <w:lang w:eastAsia="zh-CN"/>
          <w14:textFill>
            <w14:solidFill>
              <w14:schemeClr w14:val="tx1"/>
            </w14:solidFill>
          </w14:textFill>
        </w:rPr>
        <w:t>保护对象现状评估</w:t>
      </w:r>
      <w:bookmarkEnd w:id="47"/>
      <w:bookmarkEnd w:id="48"/>
    </w:p>
    <w:p>
      <w:pPr>
        <w:pStyle w:val="5"/>
        <w:rPr>
          <w:color w:val="000000" w:themeColor="text1"/>
          <w14:textFill>
            <w14:solidFill>
              <w14:schemeClr w14:val="tx1"/>
            </w14:solidFill>
          </w14:textFill>
        </w:rPr>
      </w:pPr>
      <w:bookmarkStart w:id="49" w:name="_Toc75013276"/>
      <w:r>
        <w:rPr>
          <w:rFonts w:hint="eastAsia"/>
          <w:color w:val="000000" w:themeColor="text1"/>
          <w:lang w:eastAsia="zh-CN"/>
          <w14:textFill>
            <w14:solidFill>
              <w14:schemeClr w14:val="tx1"/>
            </w14:solidFill>
          </w14:textFill>
        </w:rPr>
        <w:t>保</w:t>
      </w:r>
      <w:r>
        <w:rPr>
          <w:rFonts w:hint="eastAsia"/>
          <w:color w:val="000000" w:themeColor="text1"/>
          <w14:textFill>
            <w14:solidFill>
              <w14:schemeClr w14:val="tx1"/>
            </w14:solidFill>
          </w14:textFill>
        </w:rPr>
        <w:t>护对象评估分类</w:t>
      </w:r>
      <w:bookmarkEnd w:id="49"/>
    </w:p>
    <w:p>
      <w:pPr>
        <w:autoSpaceDE w:val="0"/>
        <w:autoSpaceDN w:val="0"/>
        <w:adjustRightInd w:val="0"/>
        <w:ind w:firstLine="480" w:firstLineChars="200"/>
        <w:jc w:val="left"/>
        <w:rPr>
          <w:rFonts w:cs="黑体" w:asciiTheme="minorEastAsia" w:hAnsiTheme="minorEastAsia"/>
          <w:color w:val="000000" w:themeColor="text1"/>
          <w:kern w:val="0"/>
          <w:szCs w:val="21"/>
          <w14:textFill>
            <w14:solidFill>
              <w14:schemeClr w14:val="tx1"/>
            </w14:solidFill>
          </w14:textFill>
        </w:rPr>
      </w:pPr>
      <w:r>
        <w:rPr>
          <w:rFonts w:hint="eastAsia" w:cs="黑体" w:asciiTheme="minorEastAsia" w:hAnsiTheme="minorEastAsia"/>
          <w:color w:val="000000" w:themeColor="text1"/>
          <w:kern w:val="0"/>
          <w:szCs w:val="21"/>
          <w14:textFill>
            <w14:solidFill>
              <w14:schemeClr w14:val="tx1"/>
            </w14:solidFill>
          </w14:textFill>
        </w:rPr>
        <w:t>以历史、科技、艺术、社会四方面价值标准，对大鹏所城主要构成要素进行评估与分类：主要包括军事防御体系、海防指挥管理体系、驻防后勤支撑体系以及其他保护对象。</w:t>
      </w:r>
    </w:p>
    <w:p>
      <w:pPr>
        <w:autoSpaceDE w:val="0"/>
        <w:autoSpaceDN w:val="0"/>
        <w:adjustRightInd w:val="0"/>
        <w:jc w:val="left"/>
        <w:rPr>
          <w:rFonts w:cs="黑体" w:asciiTheme="minorEastAsia" w:hAnsiTheme="minorEastAsia"/>
          <w:b/>
          <w:color w:val="000000" w:themeColor="text1"/>
          <w:kern w:val="0"/>
          <w:szCs w:val="21"/>
          <w14:textFill>
            <w14:solidFill>
              <w14:schemeClr w14:val="tx1"/>
            </w14:solidFill>
          </w14:textFill>
        </w:rPr>
      </w:pPr>
      <w:r>
        <w:rPr>
          <w:rFonts w:hint="eastAsia" w:cs="黑体" w:asciiTheme="minorEastAsia" w:hAnsiTheme="minorEastAsia"/>
          <w:b/>
          <w:color w:val="000000" w:themeColor="text1"/>
          <w:kern w:val="0"/>
          <w:szCs w:val="21"/>
          <w14:textFill>
            <w14:solidFill>
              <w14:schemeClr w14:val="tx1"/>
            </w14:solidFill>
          </w14:textFill>
        </w:rPr>
        <w:t>1、军事防御体系</w:t>
      </w:r>
    </w:p>
    <w:p>
      <w:pPr>
        <w:autoSpaceDE w:val="0"/>
        <w:autoSpaceDN w:val="0"/>
        <w:adjustRightInd w:val="0"/>
        <w:ind w:firstLine="480" w:firstLineChars="200"/>
        <w:jc w:val="left"/>
        <w:rPr>
          <w:rFonts w:cs="黑体" w:asciiTheme="minorEastAsia" w:hAnsiTheme="minorEastAsia"/>
          <w:color w:val="000000" w:themeColor="text1"/>
          <w:kern w:val="0"/>
          <w:szCs w:val="21"/>
          <w14:textFill>
            <w14:solidFill>
              <w14:schemeClr w14:val="tx1"/>
            </w14:solidFill>
          </w14:textFill>
        </w:rPr>
      </w:pPr>
      <w:r>
        <w:rPr>
          <w:rFonts w:hint="eastAsia" w:cs="黑体" w:asciiTheme="minorEastAsia" w:hAnsiTheme="minorEastAsia"/>
          <w:color w:val="000000" w:themeColor="text1"/>
          <w:kern w:val="0"/>
          <w:szCs w:val="21"/>
          <w14:textFill>
            <w14:solidFill>
              <w14:schemeClr w14:val="tx1"/>
            </w14:solidFill>
          </w14:textFill>
        </w:rPr>
        <w:t>军事防御体系是大鹏所城最为核心的价值载体，构成要素包括：山-城-海空间格局、东门楼、南门楼、西门楼、城墙遗址、城壕遗址。</w:t>
      </w:r>
    </w:p>
    <w:p>
      <w:pPr>
        <w:autoSpaceDE w:val="0"/>
        <w:autoSpaceDN w:val="0"/>
        <w:adjustRightInd w:val="0"/>
        <w:ind w:firstLine="480" w:firstLineChars="200"/>
        <w:jc w:val="left"/>
        <w:rPr>
          <w:rFonts w:cs="黑体" w:asciiTheme="minorEastAsia" w:hAnsiTheme="minorEastAsia"/>
          <w:color w:val="000000" w:themeColor="text1"/>
          <w:kern w:val="0"/>
          <w:szCs w:val="21"/>
          <w14:textFill>
            <w14:solidFill>
              <w14:schemeClr w14:val="tx1"/>
            </w14:solidFill>
          </w14:textFill>
        </w:rPr>
      </w:pPr>
      <w:r>
        <w:rPr>
          <w:rFonts w:hint="eastAsia" w:cs="黑体" w:asciiTheme="minorEastAsia" w:hAnsiTheme="minorEastAsia"/>
          <w:color w:val="000000" w:themeColor="text1"/>
          <w:kern w:val="0"/>
          <w:szCs w:val="21"/>
          <w14:textFill>
            <w14:solidFill>
              <w14:schemeClr w14:val="tx1"/>
            </w14:solidFill>
          </w14:textFill>
        </w:rPr>
        <w:t>大鹏所城较为完好的保存了“山-城-海”的防御格局，且各构成要素保存基本完好，军事防御体系总体保存较好。</w:t>
      </w:r>
    </w:p>
    <w:p>
      <w:pPr>
        <w:autoSpaceDE w:val="0"/>
        <w:autoSpaceDN w:val="0"/>
        <w:adjustRightInd w:val="0"/>
        <w:jc w:val="left"/>
        <w:rPr>
          <w:rFonts w:asciiTheme="minorEastAsia" w:hAnsiTheme="minorEastAsia" w:cstheme="minorHAnsi"/>
          <w:b/>
          <w:color w:val="000000" w:themeColor="text1"/>
          <w:szCs w:val="21"/>
          <w14:textFill>
            <w14:solidFill>
              <w14:schemeClr w14:val="tx1"/>
            </w14:solidFill>
          </w14:textFill>
        </w:rPr>
      </w:pPr>
      <w:r>
        <w:rPr>
          <w:rFonts w:hint="eastAsia" w:asciiTheme="minorEastAsia" w:hAnsiTheme="minorEastAsia" w:cstheme="minorHAnsi"/>
          <w:b/>
          <w:color w:val="000000" w:themeColor="text1"/>
          <w:szCs w:val="21"/>
          <w14:textFill>
            <w14:solidFill>
              <w14:schemeClr w14:val="tx1"/>
            </w14:solidFill>
          </w14:textFill>
        </w:rPr>
        <w:t>2、海防指挥管理体系</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hint="eastAsia" w:asciiTheme="minorEastAsia" w:hAnsiTheme="minorEastAsia" w:cstheme="minorHAnsi"/>
          <w:color w:val="000000" w:themeColor="text1"/>
          <w:szCs w:val="21"/>
          <w14:textFill>
            <w14:solidFill>
              <w14:schemeClr w14:val="tx1"/>
            </w14:solidFill>
          </w14:textFill>
        </w:rPr>
        <w:t>海防指挥管理体系是军事上卫所制的外化体现：</w:t>
      </w:r>
      <w:r>
        <w:rPr>
          <w:rFonts w:asciiTheme="minorEastAsia" w:hAnsiTheme="minorEastAsia" w:cstheme="minorHAnsi"/>
          <w:color w:val="000000" w:themeColor="text1"/>
          <w:szCs w:val="21"/>
          <w14:textFill>
            <w14:solidFill>
              <w14:schemeClr w14:val="tx1"/>
            </w14:solidFill>
          </w14:textFill>
        </w:rPr>
        <w:t>明代前期国家兵制是卫所制</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以卫所为核心编制单位</w:t>
      </w:r>
      <w:r>
        <w:rPr>
          <w:rFonts w:hint="eastAsia" w:asciiTheme="minorEastAsia" w:hAnsiTheme="minorEastAsia" w:cstheme="minorHAnsi"/>
          <w:color w:val="000000" w:themeColor="text1"/>
          <w:szCs w:val="21"/>
          <w14:textFill>
            <w14:solidFill>
              <w14:schemeClr w14:val="tx1"/>
            </w14:solidFill>
          </w14:textFill>
        </w:rPr>
        <w:t>。</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asciiTheme="minorEastAsia" w:hAnsiTheme="minorEastAsia" w:cstheme="minorHAnsi"/>
          <w:color w:val="000000" w:themeColor="text1"/>
          <w:szCs w:val="21"/>
          <w14:textFill>
            <w14:solidFill>
              <w14:schemeClr w14:val="tx1"/>
            </w14:solidFill>
          </w14:textFill>
        </w:rPr>
        <w:t>海防指挥管理体系构成要素包括</w:t>
      </w:r>
      <w:r>
        <w:rPr>
          <w:rFonts w:hint="eastAsia" w:asciiTheme="minorEastAsia" w:hAnsiTheme="minorEastAsia" w:cstheme="minorHAnsi"/>
          <w:color w:val="000000" w:themeColor="text1"/>
          <w:szCs w:val="21"/>
          <w14:textFill>
            <w14:solidFill>
              <w14:schemeClr w14:val="tx1"/>
            </w14:solidFill>
          </w14:textFill>
        </w:rPr>
        <w:t>：协台衙门遗址、守备署遗址、都府署遗址、左堂署遗址、火药局遗址、参将府遗址。</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asciiTheme="minorEastAsia" w:hAnsiTheme="minorEastAsia" w:cstheme="minorHAnsi"/>
          <w:color w:val="000000" w:themeColor="text1"/>
          <w:szCs w:val="21"/>
          <w14:textFill>
            <w14:solidFill>
              <w14:schemeClr w14:val="tx1"/>
            </w14:solidFill>
          </w14:textFill>
        </w:rPr>
        <w:t>大鹏所城的海防指挥管理体系构成要素</w:t>
      </w:r>
      <w:r>
        <w:rPr>
          <w:rFonts w:hint="eastAsia" w:asciiTheme="minorEastAsia" w:hAnsiTheme="minorEastAsia" w:cstheme="minorHAnsi"/>
          <w:color w:val="000000" w:themeColor="text1"/>
          <w:szCs w:val="21"/>
          <w14:textFill>
            <w14:solidFill>
              <w14:schemeClr w14:val="tx1"/>
            </w14:solidFill>
          </w14:textFill>
        </w:rPr>
        <w:t>仅剩建筑遗址，总体保存较差。</w:t>
      </w:r>
    </w:p>
    <w:p>
      <w:pPr>
        <w:autoSpaceDE w:val="0"/>
        <w:autoSpaceDN w:val="0"/>
        <w:adjustRightInd w:val="0"/>
        <w:jc w:val="left"/>
        <w:rPr>
          <w:rFonts w:asciiTheme="minorEastAsia" w:hAnsiTheme="minorEastAsia" w:cstheme="minorHAnsi"/>
          <w:b/>
          <w:color w:val="000000" w:themeColor="text1"/>
          <w:szCs w:val="21"/>
          <w14:textFill>
            <w14:solidFill>
              <w14:schemeClr w14:val="tx1"/>
            </w14:solidFill>
          </w14:textFill>
        </w:rPr>
      </w:pPr>
      <w:r>
        <w:rPr>
          <w:rFonts w:hint="eastAsia" w:asciiTheme="minorEastAsia" w:hAnsiTheme="minorEastAsia" w:cstheme="minorHAnsi"/>
          <w:b/>
          <w:color w:val="000000" w:themeColor="text1"/>
          <w:szCs w:val="21"/>
          <w14:textFill>
            <w14:solidFill>
              <w14:schemeClr w14:val="tx1"/>
            </w14:solidFill>
          </w14:textFill>
        </w:rPr>
        <w:t>3、驻防后勤支撑体系</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asciiTheme="minorEastAsia" w:hAnsiTheme="minorEastAsia" w:cstheme="minorHAnsi"/>
          <w:color w:val="000000" w:themeColor="text1"/>
          <w:szCs w:val="21"/>
          <w14:textFill>
            <w14:solidFill>
              <w14:schemeClr w14:val="tx1"/>
            </w14:solidFill>
          </w14:textFill>
        </w:rPr>
        <w:t>海防工事中的所城建筑，是千年来中国营城技术在新的海疆环境中的延续</w:t>
      </w:r>
      <w:r>
        <w:rPr>
          <w:rFonts w:hint="eastAsia" w:asciiTheme="minorEastAsia" w:hAnsiTheme="minorEastAsia" w:cstheme="minorHAnsi"/>
          <w:color w:val="000000" w:themeColor="text1"/>
          <w:szCs w:val="21"/>
          <w14:textFill>
            <w14:solidFill>
              <w14:schemeClr w14:val="tx1"/>
            </w14:solidFill>
          </w14:textFill>
        </w:rPr>
        <w:t>，卫所屯兵制这种独特的兵制，则在当地催生了较为丰富的驻防后勤体系，同时也进一步体现</w:t>
      </w:r>
      <w:r>
        <w:rPr>
          <w:rFonts w:asciiTheme="minorEastAsia" w:hAnsiTheme="minorEastAsia" w:cstheme="minorHAnsi"/>
          <w:color w:val="000000" w:themeColor="text1"/>
          <w:szCs w:val="21"/>
          <w14:textFill>
            <w14:solidFill>
              <w14:schemeClr w14:val="tx1"/>
            </w14:solidFill>
          </w14:textFill>
        </w:rPr>
        <w:t>了为鲜明的中国古代建筑与城市的特征</w:t>
      </w:r>
      <w:r>
        <w:rPr>
          <w:rFonts w:hint="eastAsia" w:asciiTheme="minorEastAsia" w:hAnsiTheme="minorEastAsia" w:cstheme="minorHAnsi"/>
          <w:color w:val="000000" w:themeColor="text1"/>
          <w:szCs w:val="21"/>
          <w14:textFill>
            <w14:solidFill>
              <w14:schemeClr w14:val="tx1"/>
            </w14:solidFill>
          </w14:textFill>
        </w:rPr>
        <w:t>。</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asciiTheme="minorEastAsia" w:hAnsiTheme="minorEastAsia" w:cstheme="minorHAnsi"/>
          <w:color w:val="000000" w:themeColor="text1"/>
          <w:szCs w:val="21"/>
          <w14:textFill>
            <w14:solidFill>
              <w14:schemeClr w14:val="tx1"/>
            </w14:solidFill>
          </w14:textFill>
        </w:rPr>
        <w:t>驻防后勤支撑体系构成要素包括</w:t>
      </w:r>
      <w:r>
        <w:rPr>
          <w:rFonts w:hint="eastAsia" w:asciiTheme="minorEastAsia" w:hAnsiTheme="minorEastAsia" w:cstheme="minorHAnsi"/>
          <w:color w:val="000000" w:themeColor="text1"/>
          <w:szCs w:val="21"/>
          <w14:textFill>
            <w14:solidFill>
              <w14:schemeClr w14:val="tx1"/>
            </w14:solidFill>
          </w14:textFill>
        </w:rPr>
        <w:t>：赖绍贤将军第、赖恩爵振威将军第、赖恩赐将军第、赖英扬振威将军第、西门赖氏将军第、郑氏司马第、赖世超将军第、赖信扬将军第、刘起龙将军第、东门李将军第、赵公祠、天后宫、侯王古庙、梁氏大屋、戴氏大屋、怡文楼、7</w:t>
      </w:r>
      <w:r>
        <w:rPr>
          <w:rFonts w:asciiTheme="minorEastAsia" w:hAnsiTheme="minorEastAsia" w:cstheme="minorHAnsi"/>
          <w:color w:val="000000" w:themeColor="text1"/>
          <w:szCs w:val="21"/>
          <w14:textFill>
            <w14:solidFill>
              <w14:schemeClr w14:val="tx1"/>
            </w14:solidFill>
          </w14:textFill>
        </w:rPr>
        <w:t>3处未定级一般不可移动文物</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城隍庙遗址</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华光庙遗址</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文庙遗址</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关帝庙遗址</w:t>
      </w:r>
      <w:r>
        <w:rPr>
          <w:rFonts w:hint="eastAsia" w:asciiTheme="minorEastAsia" w:hAnsiTheme="minorEastAsia" w:cstheme="minorHAnsi"/>
          <w:color w:val="000000" w:themeColor="text1"/>
          <w:szCs w:val="21"/>
          <w14:textFill>
            <w14:solidFill>
              <w14:schemeClr w14:val="tx1"/>
            </w14:solidFill>
          </w14:textFill>
        </w:rPr>
        <w:t>、</w:t>
      </w:r>
      <w:r>
        <w:rPr>
          <w:rFonts w:asciiTheme="minorEastAsia" w:hAnsiTheme="minorEastAsia" w:cstheme="minorHAnsi"/>
          <w:color w:val="000000" w:themeColor="text1"/>
          <w:szCs w:val="21"/>
          <w14:textFill>
            <w14:solidFill>
              <w14:schemeClr w14:val="tx1"/>
            </w14:solidFill>
          </w14:textFill>
        </w:rPr>
        <w:t>古井和古树</w:t>
      </w:r>
      <w:r>
        <w:rPr>
          <w:rFonts w:hint="eastAsia" w:asciiTheme="minorEastAsia" w:hAnsiTheme="minorEastAsia" w:cstheme="minorHAnsi"/>
          <w:color w:val="000000" w:themeColor="text1"/>
          <w:szCs w:val="21"/>
          <w14:textFill>
            <w14:solidFill>
              <w14:schemeClr w14:val="tx1"/>
            </w14:solidFill>
          </w14:textFill>
        </w:rPr>
        <w:t>。</w:t>
      </w:r>
    </w:p>
    <w:p>
      <w:pPr>
        <w:autoSpaceDE w:val="0"/>
        <w:autoSpaceDN w:val="0"/>
        <w:adjustRightInd w:val="0"/>
        <w:ind w:firstLine="480" w:firstLineChars="200"/>
        <w:jc w:val="left"/>
        <w:rPr>
          <w:rFonts w:asciiTheme="minorEastAsia" w:hAnsiTheme="minorEastAsia" w:cstheme="minorHAnsi"/>
          <w:color w:val="000000" w:themeColor="text1"/>
          <w:szCs w:val="21"/>
          <w14:textFill>
            <w14:solidFill>
              <w14:schemeClr w14:val="tx1"/>
            </w14:solidFill>
          </w14:textFill>
        </w:rPr>
      </w:pPr>
      <w:r>
        <w:rPr>
          <w:rFonts w:asciiTheme="minorEastAsia" w:hAnsiTheme="minorEastAsia" w:cstheme="minorHAnsi"/>
          <w:color w:val="000000" w:themeColor="text1"/>
          <w:szCs w:val="21"/>
          <w14:textFill>
            <w14:solidFill>
              <w14:schemeClr w14:val="tx1"/>
            </w14:solidFill>
          </w14:textFill>
        </w:rPr>
        <w:t>大鹏所城的驻防后勤支撑体系构成要素总体保存较好</w:t>
      </w:r>
      <w:r>
        <w:rPr>
          <w:rFonts w:hint="eastAsia" w:asciiTheme="minorEastAsia" w:hAnsiTheme="minorEastAsia" w:cstheme="minorHAnsi"/>
          <w:color w:val="000000" w:themeColor="text1"/>
          <w:szCs w:val="21"/>
          <w14:textFill>
            <w14:solidFill>
              <w14:schemeClr w14:val="tx1"/>
            </w14:solidFill>
          </w14:textFill>
        </w:rPr>
        <w:t>。</w:t>
      </w:r>
    </w:p>
    <w:p>
      <w:pPr>
        <w:autoSpaceDE w:val="0"/>
        <w:autoSpaceDN w:val="0"/>
        <w:adjustRightInd w:val="0"/>
        <w:ind w:firstLine="482" w:firstLineChars="200"/>
        <w:jc w:val="left"/>
        <w:rPr>
          <w:rFonts w:asciiTheme="minorEastAsia" w:hAnsiTheme="minorEastAsia" w:cstheme="minorHAnsi"/>
          <w:b/>
          <w:color w:val="000000" w:themeColor="text1"/>
          <w:szCs w:val="21"/>
          <w14:textFill>
            <w14:solidFill>
              <w14:schemeClr w14:val="tx1"/>
            </w14:solidFill>
          </w14:textFill>
        </w:rPr>
      </w:pPr>
      <w:r>
        <w:rPr>
          <w:rFonts w:hint="eastAsia" w:asciiTheme="minorEastAsia" w:hAnsiTheme="minorEastAsia" w:cstheme="minorHAnsi"/>
          <w:b/>
          <w:color w:val="000000" w:themeColor="text1"/>
          <w:szCs w:val="21"/>
          <w14:textFill>
            <w14:solidFill>
              <w14:schemeClr w14:val="tx1"/>
            </w14:solidFill>
          </w14:textFill>
        </w:rPr>
        <w:t>4、</w:t>
      </w:r>
      <w:r>
        <w:rPr>
          <w:rFonts w:asciiTheme="minorEastAsia" w:hAnsiTheme="minorEastAsia" w:cstheme="minorHAnsi"/>
          <w:b/>
          <w:color w:val="000000" w:themeColor="text1"/>
          <w:szCs w:val="21"/>
          <w14:textFill>
            <w14:solidFill>
              <w14:schemeClr w14:val="tx1"/>
            </w14:solidFill>
          </w14:textFill>
        </w:rPr>
        <w:t>其他保护对象</w:t>
      </w:r>
    </w:p>
    <w:p>
      <w:pPr>
        <w:autoSpaceDE w:val="0"/>
        <w:autoSpaceDN w:val="0"/>
        <w:adjustRightInd w:val="0"/>
        <w:ind w:firstLine="480" w:firstLineChars="200"/>
        <w:jc w:val="left"/>
        <w:rPr>
          <w:rFonts w:cs="黑体" w:asciiTheme="minorEastAsia" w:hAnsiTheme="minorEastAsia"/>
          <w:color w:val="000000" w:themeColor="text1"/>
          <w:kern w:val="0"/>
          <w:szCs w:val="21"/>
          <w14:textFill>
            <w14:solidFill>
              <w14:schemeClr w14:val="tx1"/>
            </w14:solidFill>
          </w14:textFill>
        </w:rPr>
      </w:pPr>
      <w:r>
        <w:rPr>
          <w:rFonts w:hint="eastAsia" w:cs="黑体" w:asciiTheme="minorEastAsia" w:hAnsiTheme="minorEastAsia"/>
          <w:color w:val="000000" w:themeColor="text1"/>
          <w:kern w:val="0"/>
          <w:szCs w:val="21"/>
          <w14:textFill>
            <w14:solidFill>
              <w14:schemeClr w14:val="tx1"/>
            </w14:solidFill>
          </w14:textFill>
        </w:rPr>
        <w:t>赖太母墓、清振威将军刘起龙墓、刘起龙夫人林氏墓、明武略将军徐勋墓、赖绍贤夫妇墓、东山寺石牌坊、东山寺墓塔、东山寺住持墓、龙井、荣荫桥、登云桥。</w:t>
      </w:r>
    </w:p>
    <w:p>
      <w:pPr>
        <w:autoSpaceDE w:val="0"/>
        <w:autoSpaceDN w:val="0"/>
        <w:adjustRightInd w:val="0"/>
        <w:ind w:firstLine="480" w:firstLineChars="200"/>
        <w:jc w:val="left"/>
        <w:rPr>
          <w:rFonts w:cs="黑体" w:asciiTheme="minorEastAsia" w:hAnsiTheme="minorEastAsia"/>
          <w:color w:val="000000" w:themeColor="text1"/>
          <w:kern w:val="0"/>
          <w:szCs w:val="21"/>
          <w14:textFill>
            <w14:solidFill>
              <w14:schemeClr w14:val="tx1"/>
            </w14:solidFill>
          </w14:textFill>
        </w:rPr>
      </w:pPr>
      <w:r>
        <w:rPr>
          <w:rFonts w:cs="黑体" w:asciiTheme="minorEastAsia" w:hAnsiTheme="minorEastAsia"/>
          <w:color w:val="000000" w:themeColor="text1"/>
          <w:kern w:val="0"/>
          <w:szCs w:val="21"/>
          <w14:textFill>
            <w14:solidFill>
              <w14:schemeClr w14:val="tx1"/>
            </w14:solidFill>
          </w14:textFill>
        </w:rPr>
        <w:t>其他保护对象</w:t>
      </w:r>
      <w:r>
        <w:rPr>
          <w:rFonts w:hint="eastAsia" w:cs="黑体" w:asciiTheme="minorEastAsia" w:hAnsiTheme="minorEastAsia"/>
          <w:color w:val="000000" w:themeColor="text1"/>
          <w:kern w:val="0"/>
          <w:szCs w:val="21"/>
          <w14:textFill>
            <w14:solidFill>
              <w14:schemeClr w14:val="tx1"/>
            </w14:solidFill>
          </w14:textFill>
        </w:rPr>
        <w:t>，由于受风雨侵蚀的影响，</w:t>
      </w:r>
      <w:r>
        <w:rPr>
          <w:rFonts w:cs="黑体" w:asciiTheme="minorEastAsia" w:hAnsiTheme="minorEastAsia"/>
          <w:color w:val="000000" w:themeColor="text1"/>
          <w:kern w:val="0"/>
          <w:szCs w:val="21"/>
          <w14:textFill>
            <w14:solidFill>
              <w14:schemeClr w14:val="tx1"/>
            </w14:solidFill>
          </w14:textFill>
        </w:rPr>
        <w:t>总体保存较差</w:t>
      </w:r>
      <w:r>
        <w:rPr>
          <w:rFonts w:hint="eastAsia" w:cs="黑体" w:asciiTheme="minorEastAsia" w:hAnsiTheme="minorEastAsia"/>
          <w:color w:val="000000" w:themeColor="text1"/>
          <w:kern w:val="0"/>
          <w:szCs w:val="21"/>
          <w14:textFill>
            <w14:solidFill>
              <w14:schemeClr w14:val="tx1"/>
            </w14:solidFill>
          </w14:textFill>
        </w:rPr>
        <w:t>。</w:t>
      </w:r>
    </w:p>
    <w:p>
      <w:pPr>
        <w:pStyle w:val="5"/>
        <w:rPr>
          <w:color w:val="000000" w:themeColor="text1"/>
          <w:lang w:eastAsia="zh-CN"/>
          <w14:textFill>
            <w14:solidFill>
              <w14:schemeClr w14:val="tx1"/>
            </w14:solidFill>
          </w14:textFill>
        </w:rPr>
      </w:pPr>
      <w:bookmarkStart w:id="50" w:name="_Toc490470508"/>
      <w:bookmarkEnd w:id="50"/>
      <w:bookmarkStart w:id="51" w:name="_Toc490470507"/>
      <w:bookmarkEnd w:id="51"/>
      <w:bookmarkStart w:id="52" w:name="_Toc490470505"/>
      <w:bookmarkEnd w:id="52"/>
      <w:bookmarkStart w:id="53" w:name="_Toc490470506"/>
      <w:bookmarkEnd w:id="53"/>
      <w:bookmarkStart w:id="54" w:name="_Toc433975974"/>
      <w:bookmarkEnd w:id="54"/>
      <w:bookmarkStart w:id="55" w:name="_Toc433975979"/>
      <w:bookmarkEnd w:id="55"/>
      <w:bookmarkStart w:id="56" w:name="_Toc433975977"/>
      <w:bookmarkEnd w:id="56"/>
      <w:bookmarkStart w:id="57" w:name="_Toc433975978"/>
      <w:bookmarkEnd w:id="57"/>
      <w:bookmarkStart w:id="58" w:name="_Toc490470510"/>
      <w:bookmarkEnd w:id="58"/>
      <w:bookmarkStart w:id="59" w:name="_Toc433975976"/>
      <w:bookmarkEnd w:id="59"/>
      <w:bookmarkStart w:id="60" w:name="_Toc490470509"/>
      <w:bookmarkEnd w:id="60"/>
      <w:bookmarkStart w:id="61" w:name="_Toc490470503"/>
      <w:bookmarkEnd w:id="61"/>
      <w:bookmarkStart w:id="62" w:name="_Toc433975973"/>
      <w:bookmarkEnd w:id="62"/>
      <w:bookmarkStart w:id="63" w:name="_Toc433975972"/>
      <w:bookmarkEnd w:id="63"/>
      <w:bookmarkStart w:id="64" w:name="_Toc433975975"/>
      <w:bookmarkEnd w:id="64"/>
      <w:bookmarkStart w:id="65" w:name="_Toc75013277"/>
      <w:r>
        <w:rPr>
          <w:rFonts w:hint="eastAsia"/>
          <w:color w:val="000000" w:themeColor="text1"/>
          <w:lang w:eastAsia="zh-CN"/>
          <w14:textFill>
            <w14:solidFill>
              <w14:schemeClr w14:val="tx1"/>
            </w14:solidFill>
          </w14:textFill>
        </w:rPr>
        <w:t>文物本体现状评估</w:t>
      </w:r>
      <w:bookmarkEnd w:id="65"/>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大鹏所城已经完成的</w:t>
      </w:r>
      <w:r>
        <w:rPr>
          <w:rFonts w:hint="eastAsia"/>
          <w:color w:val="000000" w:themeColor="text1"/>
          <w14:textFill>
            <w14:solidFill>
              <w14:schemeClr w14:val="tx1"/>
            </w14:solidFill>
          </w14:textFill>
        </w:rPr>
        <w:t>《深圳市大鹏所城保护与修缮一期工程》、《深圳市大鹏所城整体保护项目二期工程》，对</w:t>
      </w:r>
      <w:r>
        <w:rPr>
          <w:rFonts w:hint="eastAsia" w:ascii="宋体" w:hAnsi="宋体"/>
          <w:color w:val="000000" w:themeColor="text1"/>
          <w14:textFill>
            <w14:solidFill>
              <w14:schemeClr w14:val="tx1"/>
            </w14:solidFill>
          </w14:textFill>
        </w:rPr>
        <w:t>21处全国重点文物建筑进行保护修缮，建筑总体保存较好，但由于修缮工艺、技术以及后期缺乏人为的维护，建筑局部存在一定程度的残损。</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导致全国重点文物建筑残损的人为因素主要包括利用不当、部分维修技术不规范、选材不当，导致屋面漏雨、墙体抹制水泥等；自然因素主要包括木构架风干裂缝、雨水渗漏，导致部分地基软化下沉或屋顶渗漏木构架洇湿沤朽等。</w:t>
      </w:r>
    </w:p>
    <w:p>
      <w:pPr>
        <w:pStyle w:val="5"/>
        <w:rPr>
          <w:color w:val="000000" w:themeColor="text1"/>
          <w:lang w:val="en-US"/>
          <w14:textFill>
            <w14:solidFill>
              <w14:schemeClr w14:val="tx1"/>
            </w14:solidFill>
          </w14:textFill>
        </w:rPr>
      </w:pPr>
      <w:bookmarkStart w:id="66" w:name="_Toc75013278"/>
      <w:r>
        <w:rPr>
          <w:rFonts w:hint="eastAsia"/>
          <w:color w:val="000000" w:themeColor="text1"/>
          <w14:textFill>
            <w14:solidFill>
              <w14:schemeClr w14:val="tx1"/>
            </w14:solidFill>
          </w14:textFill>
        </w:rPr>
        <w:t>“三防”设施现状</w:t>
      </w:r>
      <w:bookmarkEnd w:id="66"/>
      <w:r>
        <w:rPr>
          <w:rFonts w:hint="eastAsia"/>
          <w:color w:val="000000" w:themeColor="text1"/>
          <w:lang w:val="en-US"/>
          <w14:textFill>
            <w14:solidFill>
              <w14:schemeClr w14:val="tx1"/>
            </w14:solidFill>
          </w14:textFill>
        </w:rPr>
        <w:t xml:space="preserve"> </w:t>
      </w:r>
    </w:p>
    <w:p>
      <w:pPr>
        <w:autoSpaceDE w:val="0"/>
        <w:autoSpaceDN w:val="0"/>
        <w:adjustRightInd w:val="0"/>
        <w:jc w:val="left"/>
        <w:rPr>
          <w:rFonts w:asciiTheme="minorEastAsia" w:hAnsiTheme="minorEastAsia" w:cstheme="minorHAnsi"/>
          <w:b/>
          <w:color w:val="000000" w:themeColor="text1"/>
          <w:szCs w:val="21"/>
          <w14:textFill>
            <w14:solidFill>
              <w14:schemeClr w14:val="tx1"/>
            </w14:solidFill>
          </w14:textFill>
        </w:rPr>
      </w:pPr>
      <w:r>
        <w:rPr>
          <w:rFonts w:hint="eastAsia" w:asciiTheme="minorEastAsia" w:hAnsiTheme="minorEastAsia" w:cstheme="minorHAnsi"/>
          <w:b/>
          <w:color w:val="000000" w:themeColor="text1"/>
          <w:szCs w:val="21"/>
          <w14:textFill>
            <w14:solidFill>
              <w14:schemeClr w14:val="tx1"/>
            </w14:solidFill>
          </w14:textFill>
        </w:rPr>
        <w:t>1、安防现状</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大鹏所城仅在2</w:t>
      </w:r>
      <w:r>
        <w:rPr>
          <w:rFonts w:ascii="宋体" w:hAnsi="宋体"/>
          <w:color w:val="000000" w:themeColor="text1"/>
          <w14:textFill>
            <w14:solidFill>
              <w14:schemeClr w14:val="tx1"/>
            </w14:solidFill>
          </w14:textFill>
        </w:rPr>
        <w:t>1处全国</w:t>
      </w:r>
      <w:r>
        <w:rPr>
          <w:rFonts w:hint="eastAsia" w:ascii="宋体" w:hAnsi="宋体"/>
          <w:color w:val="000000" w:themeColor="text1"/>
          <w14:textFill>
            <w14:solidFill>
              <w14:schemeClr w14:val="tx1"/>
            </w14:solidFill>
          </w14:textFill>
        </w:rPr>
        <w:t>重点文物建筑周边设置安防监控摄像机25台，监控室位于博物馆的办公用房内，其他主要街巷及城墙周边缺少必要的安防设备。</w:t>
      </w:r>
    </w:p>
    <w:p>
      <w:pPr>
        <w:autoSpaceDE w:val="0"/>
        <w:autoSpaceDN w:val="0"/>
        <w:adjustRightInd w:val="0"/>
        <w:jc w:val="left"/>
        <w:rPr>
          <w:rFonts w:asciiTheme="minorEastAsia" w:hAnsiTheme="minorEastAsia" w:cstheme="minorHAnsi"/>
          <w:b/>
          <w:color w:val="000000" w:themeColor="text1"/>
          <w:szCs w:val="21"/>
          <w14:textFill>
            <w14:solidFill>
              <w14:schemeClr w14:val="tx1"/>
            </w14:solidFill>
          </w14:textFill>
        </w:rPr>
      </w:pPr>
      <w:r>
        <w:rPr>
          <w:rFonts w:hint="eastAsia" w:asciiTheme="minorEastAsia" w:hAnsiTheme="minorEastAsia" w:cstheme="minorHAnsi"/>
          <w:b/>
          <w:color w:val="000000" w:themeColor="text1"/>
          <w:szCs w:val="21"/>
          <w14:textFill>
            <w14:solidFill>
              <w14:schemeClr w14:val="tx1"/>
            </w14:solidFill>
          </w14:textFill>
        </w:rPr>
        <w:t>2、消防现状</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大鹏所城立足于自救，已建设两处微型消防站，配有2辆微型消防车，</w:t>
      </w:r>
      <w:r>
        <w:rPr>
          <w:rFonts w:ascii="宋体" w:hAnsi="宋体"/>
          <w:color w:val="000000" w:themeColor="text1"/>
          <w14:textFill>
            <w14:solidFill>
              <w14:schemeClr w14:val="tx1"/>
            </w14:solidFill>
          </w14:textFill>
        </w:rPr>
        <w:t>设专职消防队，负责日常的训练、巡查和灭火工作。并</w:t>
      </w:r>
      <w:r>
        <w:rPr>
          <w:rFonts w:hint="eastAsia" w:ascii="宋体" w:hAnsi="宋体"/>
          <w:color w:val="000000" w:themeColor="text1"/>
          <w14:textFill>
            <w14:solidFill>
              <w14:schemeClr w14:val="tx1"/>
            </w14:solidFill>
          </w14:textFill>
        </w:rPr>
        <w:t>在所城内宅间道上设置双阀双出口室内消火栓，共47个，基本满足消防需求。</w:t>
      </w:r>
    </w:p>
    <w:p>
      <w:pPr>
        <w:autoSpaceDE w:val="0"/>
        <w:autoSpaceDN w:val="0"/>
        <w:adjustRightInd w:val="0"/>
        <w:jc w:val="left"/>
        <w:rPr>
          <w:rFonts w:asciiTheme="minorEastAsia" w:hAnsiTheme="minorEastAsia" w:cstheme="minorHAnsi"/>
          <w:b/>
          <w:color w:val="000000" w:themeColor="text1"/>
          <w:szCs w:val="21"/>
          <w14:textFill>
            <w14:solidFill>
              <w14:schemeClr w14:val="tx1"/>
            </w14:solidFill>
          </w14:textFill>
        </w:rPr>
      </w:pPr>
      <w:r>
        <w:rPr>
          <w:rFonts w:hint="eastAsia" w:asciiTheme="minorEastAsia" w:hAnsiTheme="minorEastAsia" w:cstheme="minorHAnsi"/>
          <w:b/>
          <w:color w:val="000000" w:themeColor="text1"/>
          <w:szCs w:val="21"/>
          <w14:textFill>
            <w14:solidFill>
              <w14:schemeClr w14:val="tx1"/>
            </w14:solidFill>
          </w14:textFill>
        </w:rPr>
        <w:t>3、防雷现状</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目前所城外已经建设三处避雷设施，且城内较高的建筑上一并安装了防雷设施，基本满足所城的防雷要求，但城外防雷设施缺乏必要的美化和绿化遮挡，对所城的风貌环境造成一定的影响。</w:t>
      </w:r>
    </w:p>
    <w:p>
      <w:pPr>
        <w:pStyle w:val="5"/>
        <w:rPr>
          <w:color w:val="000000" w:themeColor="text1"/>
          <w14:textFill>
            <w14:solidFill>
              <w14:schemeClr w14:val="tx1"/>
            </w14:solidFill>
          </w14:textFill>
        </w:rPr>
      </w:pPr>
      <w:bookmarkStart w:id="67" w:name="_Toc433975987"/>
      <w:bookmarkEnd w:id="67"/>
      <w:bookmarkStart w:id="68" w:name="_Toc433975990"/>
      <w:bookmarkEnd w:id="68"/>
      <w:bookmarkStart w:id="69" w:name="_Toc490470521"/>
      <w:bookmarkEnd w:id="69"/>
      <w:bookmarkStart w:id="70" w:name="_Toc433975991"/>
      <w:bookmarkEnd w:id="70"/>
      <w:bookmarkStart w:id="71" w:name="_Toc490470520"/>
      <w:bookmarkEnd w:id="71"/>
      <w:bookmarkStart w:id="72" w:name="_Toc433975989"/>
      <w:bookmarkEnd w:id="72"/>
      <w:bookmarkStart w:id="73" w:name="_Toc490470522"/>
      <w:bookmarkEnd w:id="73"/>
      <w:bookmarkStart w:id="74" w:name="_Toc490470518"/>
      <w:bookmarkEnd w:id="74"/>
      <w:bookmarkStart w:id="75" w:name="_Toc75013279"/>
      <w:r>
        <w:rPr>
          <w:rFonts w:hint="eastAsia"/>
          <w:color w:val="000000" w:themeColor="text1"/>
          <w:lang w:eastAsia="zh-CN"/>
          <w14:textFill>
            <w14:solidFill>
              <w14:schemeClr w14:val="tx1"/>
            </w14:solidFill>
          </w14:textFill>
        </w:rPr>
        <w:t>文物环境现状评估</w:t>
      </w:r>
      <w:bookmarkEnd w:id="75"/>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1、城内文物环境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（1）73处未定级不可移动文物建筑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73处未定级不可移动文物建筑总体保存状况较好，个别建筑在屋面、木构件、墙体、基础方面存在不同程度的残损。</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（2）城墙遗址和城壕遗址</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城墙遗址：</w:t>
      </w:r>
      <w:r>
        <w:rPr>
          <w:rFonts w:hint="eastAsia" w:ascii="宋体" w:hAnsi="宋体"/>
          <w:color w:val="000000" w:themeColor="text1"/>
          <w14:textFill>
            <w14:solidFill>
              <w14:schemeClr w14:val="tx1"/>
            </w14:solidFill>
          </w14:textFill>
        </w:rPr>
        <w:t>城墙大多被毁，仅东城墙和北城墙局部存在地上遗存，其余为房屋建筑占压</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城壕遗址</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城壕整体埋于地下，距地表1</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5.2米不等</w:t>
      </w:r>
      <w:r>
        <w:rPr>
          <w:rFonts w:hint="eastAsia" w:ascii="宋体" w:hAnsi="宋体"/>
          <w:color w:val="000000" w:themeColor="text1"/>
          <w14:textFill>
            <w14:solidFill>
              <w14:schemeClr w14:val="tx1"/>
            </w14:solidFill>
          </w14:textFill>
        </w:rPr>
        <w:t>，受上方建筑基础破坏较小，整体保存较好</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处重点建筑遗址现状评估</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大鹏所城城内重点建筑遗址，总体保存现状较差。</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目前城隍庙遗址、协台衙门遗址、左堂署遗址进行展示工程；其余建筑遗址为新建建筑占压。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（4）历史街巷现状评估</w:t>
      </w:r>
    </w:p>
    <w:p>
      <w:pPr>
        <w:ind w:firstLine="48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大鹏所城已经完成的</w:t>
      </w:r>
      <w:r>
        <w:rPr>
          <w:rFonts w:hint="eastAsia"/>
          <w:color w:val="000000" w:themeColor="text1"/>
          <w14:textFill>
            <w14:solidFill>
              <w14:schemeClr w14:val="tx1"/>
            </w14:solidFill>
          </w14:textFill>
        </w:rPr>
        <w:t>《深圳市大鹏所城保护与修缮一期工程》、《深圳市大鹏所城整体保护项目二期工程》，对城内的历史街巷进行了保护修缮，街巷整体保存较好。</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（5）古树古井现状评估 </w:t>
      </w:r>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古树</w:t>
      </w:r>
      <w:r>
        <w:rPr>
          <w:rFonts w:hint="eastAsia" w:ascii="宋体" w:hAnsi="宋体"/>
          <w:color w:val="000000" w:themeColor="text1"/>
          <w14:textFill>
            <w14:solidFill>
              <w14:schemeClr w14:val="tx1"/>
            </w14:solidFill>
          </w14:textFill>
        </w:rPr>
        <w:t>：树木繁茂，长势较好，总体保存较好，且划定了保护范围。</w:t>
      </w:r>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古井</w:t>
      </w:r>
      <w:r>
        <w:rPr>
          <w:rFonts w:hint="eastAsia" w:ascii="宋体" w:hAnsi="宋体"/>
          <w:color w:val="000000" w:themeColor="text1"/>
          <w14:textFill>
            <w14:solidFill>
              <w14:schemeClr w14:val="tx1"/>
            </w14:solidFill>
          </w14:textFill>
        </w:rPr>
        <w:t>：古井后期加装维护栏杆，部分井内杂草生长，总体保存状况一般。</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w:t>
      </w:r>
      <w:r>
        <w:rPr>
          <w:b/>
          <w:color w:val="000000" w:themeColor="text1"/>
          <w14:textFill>
            <w14:solidFill>
              <w14:schemeClr w14:val="tx1"/>
            </w14:solidFill>
          </w14:textFill>
        </w:rPr>
        <w:t>城外文物环境</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山-城-海空间</w:t>
      </w:r>
      <w:r>
        <w:rPr>
          <w:color w:val="000000" w:themeColor="text1"/>
          <w14:textFill>
            <w14:solidFill>
              <w14:schemeClr w14:val="tx1"/>
            </w14:solidFill>
          </w14:textFill>
        </w:rPr>
        <w:t>格局</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大鹏所城“山、城、海”整体空间基底优越，背山面水的格局保存较为完成，但随着所城周边无序开发建设活动，造成海面的视线通廊被遮蔽。</w:t>
      </w:r>
    </w:p>
    <w:p>
      <w:pPr>
        <w:ind w:firstLine="48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11处城外相关遗存</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城外相关遗存保存现状总体尚可，但由于城外遗存多处于山林地、农田等偏僻区域，缺少相应管理、保护，致使相关遗存草木覆盖，且常年受风雨侵蚀导致石材构件风化。</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（3）古树</w:t>
      </w:r>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城外19棵古树总体保存较好</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建立了保护名录</w:t>
      </w:r>
      <w:r>
        <w:rPr>
          <w:rFonts w:hint="eastAsia" w:ascii="宋体" w:hAnsi="宋体"/>
          <w:color w:val="000000" w:themeColor="text1"/>
          <w14:textFill>
            <w14:solidFill>
              <w14:schemeClr w14:val="tx1"/>
            </w14:solidFill>
          </w14:textFill>
        </w:rPr>
        <w:t>，划定了保护范围。</w:t>
      </w:r>
    </w:p>
    <w:p>
      <w:pPr>
        <w:pStyle w:val="4"/>
        <w:numPr>
          <w:ilvl w:val="0"/>
          <w:numId w:val="17"/>
        </w:numPr>
        <w:spacing w:before="163" w:after="163"/>
        <w:rPr>
          <w:color w:val="000000" w:themeColor="text1"/>
          <w:lang w:eastAsia="zh-CN"/>
          <w14:textFill>
            <w14:solidFill>
              <w14:schemeClr w14:val="tx1"/>
            </w14:solidFill>
          </w14:textFill>
        </w:rPr>
      </w:pPr>
      <w:bookmarkStart w:id="76" w:name="_Toc433975998"/>
      <w:bookmarkEnd w:id="76"/>
      <w:bookmarkStart w:id="77" w:name="_Toc490470532"/>
      <w:bookmarkEnd w:id="77"/>
      <w:bookmarkStart w:id="78" w:name="_Toc433975997"/>
      <w:bookmarkEnd w:id="78"/>
      <w:bookmarkStart w:id="79" w:name="_Toc490470537"/>
      <w:bookmarkEnd w:id="79"/>
      <w:bookmarkStart w:id="80" w:name="_Toc433975996"/>
      <w:bookmarkEnd w:id="80"/>
      <w:bookmarkStart w:id="81" w:name="_Toc490470534"/>
      <w:bookmarkEnd w:id="81"/>
      <w:bookmarkStart w:id="82" w:name="_Toc490470535"/>
      <w:bookmarkEnd w:id="82"/>
      <w:bookmarkStart w:id="83" w:name="_Toc490470536"/>
      <w:bookmarkEnd w:id="83"/>
      <w:bookmarkStart w:id="84" w:name="_Toc490470533"/>
      <w:bookmarkEnd w:id="84"/>
      <w:bookmarkStart w:id="85" w:name="_Toc433975999"/>
      <w:bookmarkEnd w:id="85"/>
      <w:bookmarkStart w:id="86" w:name="_Toc433975994"/>
      <w:bookmarkEnd w:id="86"/>
      <w:bookmarkStart w:id="87" w:name="_Toc433975995"/>
      <w:bookmarkEnd w:id="87"/>
      <w:bookmarkStart w:id="88" w:name="_Toc75013280"/>
      <w:bookmarkStart w:id="89" w:name="_Toc373500769"/>
      <w:r>
        <w:rPr>
          <w:rFonts w:hint="eastAsia"/>
          <w:color w:val="000000" w:themeColor="text1"/>
          <w:lang w:eastAsia="zh-CN"/>
          <w14:textFill>
            <w14:solidFill>
              <w14:schemeClr w14:val="tx1"/>
            </w14:solidFill>
          </w14:textFill>
        </w:rPr>
        <w:t>环境现状评估</w:t>
      </w:r>
      <w:bookmarkEnd w:id="88"/>
      <w:bookmarkEnd w:id="89"/>
    </w:p>
    <w:p>
      <w:pPr>
        <w:pStyle w:val="5"/>
        <w:rPr>
          <w:color w:val="000000" w:themeColor="text1"/>
          <w14:textFill>
            <w14:solidFill>
              <w14:schemeClr w14:val="tx1"/>
            </w14:solidFill>
          </w14:textFill>
        </w:rPr>
      </w:pPr>
      <w:bookmarkStart w:id="90" w:name="_Toc75013281"/>
      <w:r>
        <w:rPr>
          <w:rFonts w:hint="eastAsia"/>
          <w:color w:val="000000" w:themeColor="text1"/>
          <w14:textFill>
            <w14:solidFill>
              <w14:schemeClr w14:val="tx1"/>
            </w14:solidFill>
          </w14:textFill>
        </w:rPr>
        <w:t>城内建筑现状评估</w:t>
      </w:r>
      <w:bookmarkEnd w:id="9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城内建筑现状评估不包含21处全国重点文物建筑、73处未定级不可移动文物建筑。</w:t>
      </w:r>
    </w:p>
    <w:p>
      <w:pPr>
        <w:pStyle w:val="6"/>
        <w:numPr>
          <w:ilvl w:val="0"/>
          <w:numId w:val="18"/>
        </w:numPr>
        <w:rPr>
          <w:color w:val="000000" w:themeColor="text1"/>
          <w14:textFill>
            <w14:solidFill>
              <w14:schemeClr w14:val="tx1"/>
            </w14:solidFill>
          </w14:textFill>
        </w:rPr>
      </w:pPr>
      <w:r>
        <w:rPr>
          <w:color w:val="000000" w:themeColor="text1"/>
          <w14:textFill>
            <w14:solidFill>
              <w14:schemeClr w14:val="tx1"/>
            </w14:solidFill>
          </w14:textFill>
        </w:rPr>
        <w:t>城内建筑现状</w:t>
      </w:r>
    </w:p>
    <w:p>
      <w:pPr>
        <w:numPr>
          <w:ilvl w:val="0"/>
          <w:numId w:val="1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建筑质量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根据大鹏所城建筑的保存现状情况将城内建筑按照建筑质量分为四类，分别为：质量较好的建筑、质量一般的建筑、质量较差的建筑、质量很差的建筑。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城内建筑质量整体较好，保存较好的建筑面积占总建筑面积的43.37%，保存一般的建筑面积占总建筑面积的48.93%。</w:t>
      </w:r>
    </w:p>
    <w:p>
      <w:pPr>
        <w:numPr>
          <w:ilvl w:val="0"/>
          <w:numId w:val="1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建筑风貌</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根据大鹏所城建筑的保存现状情况以及建造工艺材质将城内建筑按照风貌分为</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类，分别为：风貌协调的建筑、风貌一般的建筑、风貌较差的建筑、其他破坏性建筑。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风貌协调的建筑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① 屋顶：建筑形式以坡屋顶为主。</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② 外墙：外墙底部为石条或石块铺砌，上砌青砖，部分墙面涂抹贝灰泥。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③ 门窗：门窗为红色木质的花格窗与板门。</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④ 地面：建筑庭院地面为青麻石铺砌，室内则用红砖横向有规律的错缝铺砌。</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⑤ 建筑色彩：建筑色彩以灰白为主。</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风貌一般的建筑</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该类建筑总体保持传统形式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后期因为功能需求对屋顶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外墙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门窗或地面进行局部的改动</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风貌较差的建筑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该类建筑大多为后期翻建或新建，与所城传统建筑形式相冲突，一般为平屋顶、外墙瓷砖贴面、铁艺门窗，地面铺瓷砖。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其他破坏性建筑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该类建筑为占压历史格局的建筑。</w:t>
      </w:r>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所城内建筑风貌整体较协调，其中风貌协调的建筑面积、风貌一般的建筑面积分别占总建筑面积的17%、46.49%。</w:t>
      </w:r>
    </w:p>
    <w:p>
      <w:pPr>
        <w:numPr>
          <w:ilvl w:val="0"/>
          <w:numId w:val="1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建筑层数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通过对大鹏所城建筑的现状勘察数据显示，所城内建筑基本为一到二层，三层建筑较少，个别建筑为四层建筑。 </w:t>
      </w:r>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建筑层数多为1—2层，局部有3层和4层建筑。其中1层建筑面积占总建筑面积的41.02%，2层建筑面积占总建筑面积的46.32%。</w:t>
      </w:r>
    </w:p>
    <w:p>
      <w:pPr>
        <w:numPr>
          <w:ilvl w:val="0"/>
          <w:numId w:val="1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建筑年代</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通过对大鹏所城建筑的现状勘察，结合建筑工艺、材质、结构形式以及历次修缮记录和其他相关档案资料，所城内建筑年代跨度较长，建筑的建造时间概分为晚清、民国、新中国成立到80年代以及80年代至今。</w:t>
      </w:r>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所城内建筑年代多为晚清、民国和80年代至今的建筑。</w:t>
      </w:r>
    </w:p>
    <w:p>
      <w:pPr>
        <w:numPr>
          <w:ilvl w:val="0"/>
          <w:numId w:val="1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建筑功能</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根据对大鹏所城城内建筑利用形式的调研结果，城内建筑功能分为七类，即公共建筑、宗教建筑、祭祀建筑、居住建筑、商铺建筑、餐饮建筑以及闲置建筑。 </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所城内公共建筑及宗教建筑多为博物馆或集体组织管理，建筑形制与所城风貌较为协调，使用过程未对文物建筑进行较大改造。</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祭祀建筑多为祠堂，属个人产权，建筑在使用过程中进行较大改造，通常表现在屋顶琉璃瓦、红色饰面墙砖等部分，与所城内其他建筑青砖墙体、灰色合瓦屋顶的古朴风貌存在较大冲突。</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居住建筑绝大多数作为出租房使用，各项居住指标如采光、通风、上下水、卫生条件均较差，不能满足现代人生活的基本需要，且火灾隐患较大。 </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商铺和餐饮建筑在经营使用过程中经过较大的内部改造，多表现为室内地面改为瓷砖、木地板等形制，建筑外的店招、遮阳伞等设施风格各异、排布杂乱，对所城整体风貌造成一定影响。</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闲置建筑因无人管理和使用、年久失修，导致墙体破损、屋面瓦件疏松残损，屋面漏雨病害逐渐加重，建筑存在一定的安全隐患。 </w:t>
      </w:r>
    </w:p>
    <w:p>
      <w:pPr>
        <w:numPr>
          <w:ilvl w:val="0"/>
          <w:numId w:val="1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建筑价值</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综合以上建筑质量、建筑风貌、建筑层数、建筑年代及建筑功能分类情况，将城内建筑价值分为三类，分别为价值一般的建筑、价值较低的建筑及破坏性建筑。</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价值一般的建筑：</w:t>
      </w:r>
      <w:r>
        <w:rPr>
          <w:rFonts w:hint="eastAsia"/>
          <w:color w:val="000000" w:themeColor="text1"/>
          <w14:textFill>
            <w14:solidFill>
              <w14:schemeClr w14:val="tx1"/>
            </w14:solidFill>
          </w14:textFill>
        </w:rPr>
        <w:t>此类建筑具有地域传统特色，</w:t>
      </w:r>
      <w:r>
        <w:rPr>
          <w:rFonts w:hint="eastAsia"/>
          <w:color w:val="000000" w:themeColor="text1"/>
          <w:lang w:val="zh-CN"/>
          <w14:textFill>
            <w14:solidFill>
              <w14:schemeClr w14:val="tx1"/>
            </w14:solidFill>
          </w14:textFill>
        </w:rPr>
        <w:t>能反映所城一定时期的历史特色</w:t>
      </w:r>
      <w:r>
        <w:rPr>
          <w:rFonts w:hint="eastAsia"/>
          <w:color w:val="000000" w:themeColor="text1"/>
          <w14:textFill>
            <w14:solidFill>
              <w14:schemeClr w14:val="tx1"/>
            </w14:solidFill>
          </w14:textFill>
        </w:rPr>
        <w:t>，与古城风貌协调性较好。</w:t>
      </w:r>
    </w:p>
    <w:p>
      <w:pPr>
        <w:ind w:firstLine="482" w:firstLineChars="200"/>
        <w:rPr>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价值较低的建筑</w:t>
      </w:r>
      <w:r>
        <w:rPr>
          <w:rFonts w:hint="eastAsia"/>
          <w:color w:val="000000" w:themeColor="text1"/>
          <w14:textFill>
            <w14:solidFill>
              <w14:schemeClr w14:val="tx1"/>
            </w14:solidFill>
          </w14:textFill>
        </w:rPr>
        <w:t>：此类建筑无区域建筑特色，仅在体量、形式、建筑外立面色彩上与所城传统风貌基本一致。</w:t>
      </w:r>
    </w:p>
    <w:p>
      <w:pPr>
        <w:tabs>
          <w:tab w:val="left" w:pos="720"/>
        </w:tabs>
        <w:ind w:firstLine="482" w:firstLineChars="200"/>
        <w:rPr>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破坏性建筑：</w:t>
      </w:r>
      <w:r>
        <w:rPr>
          <w:rFonts w:hint="eastAsia"/>
          <w:color w:val="000000" w:themeColor="text1"/>
          <w:lang w:val="zh-CN"/>
          <w14:textFill>
            <w14:solidFill>
              <w14:schemeClr w14:val="tx1"/>
            </w14:solidFill>
          </w14:textFill>
        </w:rPr>
        <w:t>此类建筑为破坏古城格局的建筑，大多是80年代后建设。</w:t>
      </w:r>
    </w:p>
    <w:p>
      <w:pPr>
        <w:pStyle w:val="6"/>
        <w:numPr>
          <w:ilvl w:val="0"/>
          <w:numId w:val="18"/>
        </w:numPr>
        <w:rPr>
          <w:color w:val="000000" w:themeColor="text1"/>
          <w14:textFill>
            <w14:solidFill>
              <w14:schemeClr w14:val="tx1"/>
            </w14:solidFill>
          </w14:textFill>
        </w:rPr>
      </w:pPr>
      <w:r>
        <w:rPr>
          <w:rFonts w:hint="eastAsia"/>
          <w:color w:val="000000" w:themeColor="text1"/>
          <w14:textFill>
            <w14:solidFill>
              <w14:schemeClr w14:val="tx1"/>
            </w14:solidFill>
          </w14:textFill>
        </w:rPr>
        <w:t>城内建筑现状评估结论</w:t>
      </w:r>
    </w:p>
    <w:p>
      <w:pPr>
        <w:tabs>
          <w:tab w:val="left" w:pos="720"/>
        </w:tabs>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城内建筑质量整体较好，保存较好的建筑面积占总建筑面积的43.37%，保存一般的建筑面积占总建筑面积的48.93%。建筑风貌整体较协调，其中风貌协调的建筑面积、风貌较协调的建筑面积分别占总建筑面积的17</w:t>
      </w:r>
      <w:r>
        <w:rPr>
          <w:color w:val="000000" w:themeColor="text1"/>
          <w:lang w:val="zh-CN"/>
          <w14:textFill>
            <w14:solidFill>
              <w14:schemeClr w14:val="tx1"/>
            </w14:solidFill>
          </w14:textFill>
        </w:rPr>
        <w:t>.00</w:t>
      </w:r>
      <w:r>
        <w:rPr>
          <w:rFonts w:hint="eastAsia"/>
          <w:color w:val="000000" w:themeColor="text1"/>
          <w:lang w:val="zh-CN"/>
          <w14:textFill>
            <w14:solidFill>
              <w14:schemeClr w14:val="tx1"/>
            </w14:solidFill>
          </w14:textFill>
        </w:rPr>
        <w:t>%、46.49%。建筑层数多为1—2层，局部有3层和4层建筑。其中1层建筑面积占总建筑面积的41.02%，2层建筑面积占总建筑面积的46.32%。建筑年代多为晚清、民国和80年代至今的建筑。建筑功能方面多为居住建筑，闲置建筑中原有功能多为居住建筑。</w:t>
      </w:r>
    </w:p>
    <w:p>
      <w:pPr>
        <w:pStyle w:val="5"/>
        <w:rPr>
          <w:color w:val="000000" w:themeColor="text1"/>
          <w14:textFill>
            <w14:solidFill>
              <w14:schemeClr w14:val="tx1"/>
            </w14:solidFill>
          </w14:textFill>
        </w:rPr>
      </w:pPr>
      <w:bookmarkStart w:id="91" w:name="_Toc75013282"/>
      <w:r>
        <w:rPr>
          <w:color w:val="000000" w:themeColor="text1"/>
          <w14:textFill>
            <w14:solidFill>
              <w14:schemeClr w14:val="tx1"/>
            </w14:solidFill>
          </w14:textFill>
        </w:rPr>
        <w:t>城内景观环境现状评估</w:t>
      </w:r>
      <w:bookmarkEnd w:id="91"/>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目前大鹏所城城内已经开展实施花街花巷工程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沿主要街巷设置了盆栽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丰富了街巷的景观环境</w:t>
      </w:r>
      <w:r>
        <w:rPr>
          <w:rFonts w:hint="eastAsia"/>
          <w:color w:val="000000" w:themeColor="text1"/>
          <w14:textFill>
            <w14:solidFill>
              <w14:schemeClr w14:val="tx1"/>
            </w14:solidFill>
          </w14:textFill>
        </w:rPr>
        <w:t>，增加了游客的观赏度。</w:t>
      </w:r>
    </w:p>
    <w:p>
      <w:pPr>
        <w:pStyle w:val="5"/>
        <w:rPr>
          <w:color w:val="000000" w:themeColor="text1"/>
          <w:lang w:val="en-US"/>
          <w14:textFill>
            <w14:solidFill>
              <w14:schemeClr w14:val="tx1"/>
            </w14:solidFill>
          </w14:textFill>
        </w:rPr>
      </w:pPr>
      <w:bookmarkStart w:id="92" w:name="_Toc75013283"/>
      <w:r>
        <w:rPr>
          <w:color w:val="000000" w:themeColor="text1"/>
          <w:lang w:val="en-US"/>
          <w14:textFill>
            <w14:solidFill>
              <w14:schemeClr w14:val="tx1"/>
            </w14:solidFill>
          </w14:textFill>
        </w:rPr>
        <w:t>城内商业业态现状评估</w:t>
      </w:r>
      <w:bookmarkEnd w:id="9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大鹏所城内业态分布主要集中在南门街两侧和北门广场。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其中，南门街两侧以小商品零售为主，定位较低，且大部分店家所出售商品无法与所城历史文化底蕴关联。</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北门广场南侧的两家商铺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产品结合所城文化特色打造</w:t>
      </w:r>
      <w:r>
        <w:rPr>
          <w:rFonts w:hint="eastAsia"/>
          <w:color w:val="000000" w:themeColor="text1"/>
          <w14:textFill>
            <w14:solidFill>
              <w14:schemeClr w14:val="tx1"/>
            </w14:solidFill>
          </w14:textFill>
        </w:rPr>
        <w:t>，品质较高。</w:t>
      </w:r>
    </w:p>
    <w:p>
      <w:pPr>
        <w:pStyle w:val="5"/>
        <w:rPr>
          <w:color w:val="000000" w:themeColor="text1"/>
          <w14:textFill>
            <w14:solidFill>
              <w14:schemeClr w14:val="tx1"/>
            </w14:solidFill>
          </w14:textFill>
        </w:rPr>
      </w:pPr>
      <w:bookmarkStart w:id="93" w:name="_Toc75013284"/>
      <w:r>
        <w:rPr>
          <w:rFonts w:hint="eastAsia"/>
          <w:color w:val="000000" w:themeColor="text1"/>
          <w:lang w:eastAsia="zh-CN"/>
          <w14:textFill>
            <w14:solidFill>
              <w14:schemeClr w14:val="tx1"/>
            </w14:solidFill>
          </w14:textFill>
        </w:rPr>
        <w:t>城内市政基础设施</w:t>
      </w:r>
      <w:r>
        <w:rPr>
          <w:rFonts w:hint="eastAsia"/>
          <w:color w:val="000000" w:themeColor="text1"/>
          <w14:textFill>
            <w14:solidFill>
              <w14:schemeClr w14:val="tx1"/>
            </w14:solidFill>
          </w14:textFill>
        </w:rPr>
        <w:t>现状评估</w:t>
      </w:r>
      <w:bookmarkEnd w:id="93"/>
    </w:p>
    <w:p>
      <w:pPr>
        <w:ind w:firstLine="480" w:firstLineChars="200"/>
        <w:rPr>
          <w:color w:val="000000" w:themeColor="text1"/>
          <w14:textFill>
            <w14:solidFill>
              <w14:schemeClr w14:val="tx1"/>
            </w14:solidFill>
          </w14:textFill>
        </w:rPr>
      </w:pPr>
      <w:bookmarkStart w:id="94" w:name="_Toc373500771"/>
      <w:bookmarkStart w:id="95" w:name="_Toc373500772"/>
      <w:r>
        <w:rPr>
          <w:color w:val="000000" w:themeColor="text1"/>
          <w14:textFill>
            <w14:solidFill>
              <w14:schemeClr w14:val="tx1"/>
            </w14:solidFill>
          </w14:textFill>
        </w:rPr>
        <w:t>目前大鹏所城已完成的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深圳大鹏所城整体保护项目二期工程</w:t>
      </w:r>
      <w:r>
        <w:rPr>
          <w:rFonts w:hint="eastAsia"/>
          <w:color w:val="000000" w:themeColor="text1"/>
          <w14:textFill>
            <w14:solidFill>
              <w14:schemeClr w14:val="tx1"/>
            </w14:solidFill>
          </w14:textFill>
        </w:rPr>
        <w:t>》中包含给排水工程、电气工程、有线电视工程等市政设施建设，形成了基本完备的市政设施系统，但所城内东南区域市政工程管网尚未覆盖全面，并且仍存在用电不足、给水管爆裂等现状问题。</w:t>
      </w:r>
    </w:p>
    <w:p>
      <w:pPr>
        <w:ind w:left="900"/>
        <w:rPr>
          <w:b/>
          <w:color w:val="000000" w:themeColor="text1"/>
          <w14:textFill>
            <w14:solidFill>
              <w14:schemeClr w14:val="tx1"/>
            </w14:solidFill>
          </w14:textFill>
        </w:rPr>
      </w:pPr>
      <w:r>
        <w:rPr>
          <w:rFonts w:hint="eastAsia"/>
          <w:b/>
          <w:color w:val="000000" w:themeColor="text1"/>
          <w14:textFill>
            <w14:solidFill>
              <w14:schemeClr w14:val="tx1"/>
            </w14:solidFill>
          </w14:textFill>
        </w:rPr>
        <w:t>（1）给</w:t>
      </w:r>
      <w:r>
        <w:rPr>
          <w:b/>
          <w:color w:val="000000" w:themeColor="text1"/>
          <w14:textFill>
            <w14:solidFill>
              <w14:schemeClr w14:val="tx1"/>
            </w14:solidFill>
          </w14:textFill>
        </w:rPr>
        <w:t>排水工程</w:t>
      </w:r>
    </w:p>
    <w:p>
      <w:pPr>
        <w:numPr>
          <w:ilvl w:val="0"/>
          <w:numId w:val="20"/>
        </w:numPr>
        <w:rPr>
          <w:color w:val="000000" w:themeColor="text1"/>
          <w14:textFill>
            <w14:solidFill>
              <w14:schemeClr w14:val="tx1"/>
            </w14:solidFill>
          </w14:textFill>
        </w:rPr>
      </w:pPr>
      <w:r>
        <w:rPr>
          <w:rFonts w:hint="eastAsia"/>
          <w:color w:val="000000" w:themeColor="text1"/>
          <w14:textFill>
            <w14:solidFill>
              <w14:schemeClr w14:val="tx1"/>
            </w14:solidFill>
          </w14:textFill>
        </w:rPr>
        <w:t>给水工程</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目前所城实现了城市集中供水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给水管网覆盖了所城内除东南区域以外的范围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基本满足城内生产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生活用水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但由于给水管材年久老化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近年来频繁出现爆管情况</w:t>
      </w:r>
      <w:r>
        <w:rPr>
          <w:rFonts w:hint="eastAsia"/>
          <w:color w:val="000000" w:themeColor="text1"/>
          <w14:textFill>
            <w14:solidFill>
              <w14:schemeClr w14:val="tx1"/>
            </w14:solidFill>
          </w14:textFill>
        </w:rPr>
        <w:t>。</w:t>
      </w:r>
    </w:p>
    <w:p>
      <w:pPr>
        <w:numPr>
          <w:ilvl w:val="0"/>
          <w:numId w:val="20"/>
        </w:numPr>
        <w:rPr>
          <w:color w:val="000000" w:themeColor="text1"/>
          <w14:textFill>
            <w14:solidFill>
              <w14:schemeClr w14:val="tx1"/>
            </w14:solidFill>
          </w14:textFill>
        </w:rPr>
      </w:pPr>
      <w:r>
        <w:rPr>
          <w:rFonts w:hint="eastAsia"/>
          <w:color w:val="000000" w:themeColor="text1"/>
          <w14:textFill>
            <w14:solidFill>
              <w14:schemeClr w14:val="tx1"/>
            </w14:solidFill>
          </w14:textFill>
        </w:rPr>
        <w:t>排水</w:t>
      </w:r>
      <w:r>
        <w:rPr>
          <w:color w:val="000000" w:themeColor="text1"/>
          <w14:textFill>
            <w14:solidFill>
              <w14:schemeClr w14:val="tx1"/>
            </w14:solidFill>
          </w14:textFill>
        </w:rPr>
        <w:t>工程</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目前所城内排水系统采用雨污分流制</w:t>
      </w:r>
      <w:r>
        <w:rPr>
          <w:rFonts w:hint="eastAsia"/>
          <w:color w:val="000000" w:themeColor="text1"/>
          <w14:textFill>
            <w14:solidFill>
              <w14:schemeClr w14:val="tx1"/>
            </w14:solidFill>
          </w14:textFill>
        </w:rPr>
        <w:t>，除所城内东南区域外以全部覆盖，采用地面明沟排雨水，排污暗管排污水，污水汇集后最终与城市污水管网相连，无内涝现象发生，基本能满足需求。</w:t>
      </w:r>
    </w:p>
    <w:p>
      <w:pPr>
        <w:ind w:left="900"/>
        <w:rPr>
          <w:b/>
          <w:color w:val="000000" w:themeColor="text1"/>
          <w14:textFill>
            <w14:solidFill>
              <w14:schemeClr w14:val="tx1"/>
            </w14:solidFill>
          </w14:textFill>
        </w:rPr>
      </w:pPr>
      <w:r>
        <w:rPr>
          <w:rFonts w:hint="eastAsia"/>
          <w:b/>
          <w:color w:val="000000" w:themeColor="text1"/>
          <w14:textFill>
            <w14:solidFill>
              <w14:schemeClr w14:val="tx1"/>
            </w14:solidFill>
          </w14:textFill>
        </w:rPr>
        <w:t>（2）电气工程</w:t>
      </w:r>
    </w:p>
    <w:p>
      <w:pPr>
        <w:numPr>
          <w:ilvl w:val="0"/>
          <w:numId w:val="20"/>
        </w:numPr>
        <w:rPr>
          <w:color w:val="000000" w:themeColor="text1"/>
          <w14:textFill>
            <w14:solidFill>
              <w14:schemeClr w14:val="tx1"/>
            </w14:solidFill>
          </w14:textFill>
        </w:rPr>
      </w:pPr>
      <w:r>
        <w:rPr>
          <w:rFonts w:hint="eastAsia"/>
          <w:color w:val="000000" w:themeColor="text1"/>
          <w14:textFill>
            <w14:solidFill>
              <w14:schemeClr w14:val="tx1"/>
            </w14:solidFill>
          </w14:textFill>
        </w:rPr>
        <w:t>电力工程</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目前所城内有变电房两座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其中</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630KVA变电房位于所城南部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南门楼附近</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800KVA变电房位于北门楼附近</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电力管网基本覆盖了除所城内东南区以外的范围，但目前所城内电力仍然不能满足用户的需要，时有停电现象发生，且城内线路私拉严重，部分线路老化。</w:t>
      </w:r>
    </w:p>
    <w:p>
      <w:pPr>
        <w:numPr>
          <w:ilvl w:val="0"/>
          <w:numId w:val="20"/>
        </w:numPr>
        <w:rPr>
          <w:color w:val="000000" w:themeColor="text1"/>
          <w14:textFill>
            <w14:solidFill>
              <w14:schemeClr w14:val="tx1"/>
            </w14:solidFill>
          </w14:textFill>
        </w:rPr>
      </w:pPr>
      <w:r>
        <w:rPr>
          <w:color w:val="000000" w:themeColor="text1"/>
          <w14:textFill>
            <w14:solidFill>
              <w14:schemeClr w14:val="tx1"/>
            </w14:solidFill>
          </w14:textFill>
        </w:rPr>
        <w:t>通信工程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所城内的通信线路分别从西、南两个方向与市政机箱连接，现状通讯设施所城东南区域尚未覆盖全面。</w:t>
      </w:r>
    </w:p>
    <w:p>
      <w:pPr>
        <w:ind w:left="900"/>
        <w:rPr>
          <w:b/>
          <w:color w:val="000000" w:themeColor="text1"/>
          <w14:textFill>
            <w14:solidFill>
              <w14:schemeClr w14:val="tx1"/>
            </w14:solidFill>
          </w14:textFill>
        </w:rPr>
      </w:pPr>
      <w:r>
        <w:rPr>
          <w:rFonts w:hint="eastAsia"/>
          <w:b/>
          <w:color w:val="000000" w:themeColor="text1"/>
          <w14:textFill>
            <w14:solidFill>
              <w14:schemeClr w14:val="tx1"/>
            </w14:solidFill>
          </w14:textFill>
        </w:rPr>
        <w:t>（3）有线电视工程</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所城内有线管网采用枝状布局方式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按照每隔光节点</w:t>
      </w:r>
      <w:r>
        <w:rPr>
          <w:rFonts w:hint="eastAsia"/>
          <w:color w:val="000000" w:themeColor="text1"/>
          <w14:textFill>
            <w14:solidFill>
              <w14:schemeClr w14:val="tx1"/>
            </w14:solidFill>
          </w14:textFill>
        </w:rPr>
        <w:t>200户终端的原则对有线电视网络进行布置，但所城内东南区尚未覆盖。</w:t>
      </w:r>
    </w:p>
    <w:p>
      <w:pPr>
        <w:pStyle w:val="5"/>
        <w:rPr>
          <w:color w:val="000000" w:themeColor="text1"/>
          <w14:textFill>
            <w14:solidFill>
              <w14:schemeClr w14:val="tx1"/>
            </w14:solidFill>
          </w14:textFill>
        </w:rPr>
      </w:pPr>
      <w:bookmarkStart w:id="96" w:name="_Toc373500798"/>
      <w:bookmarkStart w:id="97" w:name="_Toc75013285"/>
      <w:r>
        <w:rPr>
          <w:rFonts w:hint="eastAsia"/>
          <w:color w:val="000000" w:themeColor="text1"/>
          <w14:textFill>
            <w14:solidFill>
              <w14:schemeClr w14:val="tx1"/>
            </w14:solidFill>
          </w14:textFill>
        </w:rPr>
        <w:t>城内环卫</w:t>
      </w:r>
      <w:bookmarkEnd w:id="96"/>
      <w:r>
        <w:rPr>
          <w:rFonts w:hint="eastAsia"/>
          <w:color w:val="000000" w:themeColor="text1"/>
          <w14:textFill>
            <w14:solidFill>
              <w14:schemeClr w14:val="tx1"/>
            </w14:solidFill>
          </w14:textFill>
        </w:rPr>
        <w:t>现状评估</w:t>
      </w:r>
      <w:bookmarkEnd w:id="97"/>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城内环卫设施不足，缺少垃圾箱及公共厕所等环卫设施，未建立统一垃圾分类收集处理系统。</w:t>
      </w:r>
    </w:p>
    <w:p>
      <w:pPr>
        <w:pStyle w:val="5"/>
        <w:rPr>
          <w:color w:val="000000" w:themeColor="text1"/>
          <w14:textFill>
            <w14:solidFill>
              <w14:schemeClr w14:val="tx1"/>
            </w14:solidFill>
          </w14:textFill>
        </w:rPr>
      </w:pPr>
      <w:bookmarkStart w:id="98" w:name="_Toc75013286"/>
      <w:r>
        <w:rPr>
          <w:rFonts w:hint="eastAsia"/>
          <w:color w:val="000000" w:themeColor="text1"/>
          <w:lang w:eastAsia="zh-CN"/>
          <w14:textFill>
            <w14:solidFill>
              <w14:schemeClr w14:val="tx1"/>
            </w14:solidFill>
          </w14:textFill>
        </w:rPr>
        <w:t>城外</w:t>
      </w:r>
      <w:r>
        <w:rPr>
          <w:rFonts w:hint="eastAsia"/>
          <w:color w:val="000000" w:themeColor="text1"/>
          <w14:textFill>
            <w14:solidFill>
              <w14:schemeClr w14:val="tx1"/>
            </w14:solidFill>
          </w14:textFill>
        </w:rPr>
        <w:t>环境现状评估</w:t>
      </w:r>
      <w:bookmarkEnd w:id="94"/>
      <w:bookmarkEnd w:id="98"/>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（1）建筑现状评估：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大鹏所城因缺少有效的管理和引导措施，周边的住宅、商铺、餐饮店、手工业作坊等均为现代建筑，建筑的高度、体量、形式及色彩等方面，缺少与大鹏所城历史环境的协调。 </w:t>
      </w:r>
    </w:p>
    <w:p>
      <w:pPr>
        <w:pStyle w:val="118"/>
        <w:numPr>
          <w:ilvl w:val="0"/>
          <w:numId w:val="21"/>
        </w:numPr>
        <w:ind w:firstLineChars="0"/>
        <w:rPr>
          <w:color w:val="000000" w:themeColor="text1"/>
          <w14:textFill>
            <w14:solidFill>
              <w14:schemeClr w14:val="tx1"/>
            </w14:solidFill>
          </w14:textFill>
        </w:rPr>
      </w:pPr>
      <w:r>
        <w:rPr>
          <w:color w:val="000000" w:themeColor="text1"/>
          <w14:textFill>
            <w14:solidFill>
              <w14:schemeClr w14:val="tx1"/>
            </w14:solidFill>
          </w14:textFill>
        </w:rPr>
        <w:t>所城东门</w:t>
      </w:r>
      <w:r>
        <w:rPr>
          <w:rFonts w:hint="eastAsia"/>
          <w:color w:val="000000" w:themeColor="text1"/>
          <w14:textFill>
            <w14:solidFill>
              <w14:schemeClr w14:val="tx1"/>
            </w14:solidFill>
          </w14:textFill>
        </w:rPr>
        <w:t>外</w:t>
      </w:r>
      <w:r>
        <w:rPr>
          <w:color w:val="000000" w:themeColor="text1"/>
          <w14:textFill>
            <w14:solidFill>
              <w14:schemeClr w14:val="tx1"/>
            </w14:solidFill>
          </w14:textFill>
        </w:rPr>
        <w:t>建筑现状</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所城东门外建筑距城墙遗址较近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w:t>
      </w:r>
      <w:r>
        <w:rPr>
          <w:rFonts w:hint="eastAsia"/>
          <w:color w:val="000000" w:themeColor="text1"/>
          <w14:textFill>
            <w14:solidFill>
              <w14:schemeClr w14:val="tx1"/>
            </w14:solidFill>
          </w14:textFill>
        </w:rPr>
        <w:t>较高，与所城风貌冲突较大。</w:t>
      </w:r>
    </w:p>
    <w:p>
      <w:pPr>
        <w:pStyle w:val="118"/>
        <w:numPr>
          <w:ilvl w:val="0"/>
          <w:numId w:val="21"/>
        </w:numPr>
        <w:ind w:firstLineChars="0"/>
        <w:rPr>
          <w:color w:val="000000" w:themeColor="text1"/>
          <w14:textFill>
            <w14:solidFill>
              <w14:schemeClr w14:val="tx1"/>
            </w14:solidFill>
          </w14:textFill>
        </w:rPr>
      </w:pPr>
      <w:r>
        <w:rPr>
          <w:color w:val="000000" w:themeColor="text1"/>
          <w14:textFill>
            <w14:solidFill>
              <w14:schemeClr w14:val="tx1"/>
            </w14:solidFill>
          </w14:textFill>
        </w:rPr>
        <w:t>所城南门</w:t>
      </w:r>
      <w:r>
        <w:rPr>
          <w:rFonts w:hint="eastAsia"/>
          <w:color w:val="000000" w:themeColor="text1"/>
          <w14:textFill>
            <w14:solidFill>
              <w14:schemeClr w14:val="tx1"/>
            </w14:solidFill>
          </w14:textFill>
        </w:rPr>
        <w:t>外</w:t>
      </w:r>
      <w:r>
        <w:rPr>
          <w:color w:val="000000" w:themeColor="text1"/>
          <w14:textFill>
            <w14:solidFill>
              <w14:schemeClr w14:val="tx1"/>
            </w14:solidFill>
          </w14:textFill>
        </w:rPr>
        <w:t>建筑现状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所城南门外以3、4层现代建筑为主，建筑风貌较差，建筑总高度在9米以上，严重的阻挡了所城南北的视线通廊，也割裂了所城“山—城—海” 的关系。</w:t>
      </w:r>
    </w:p>
    <w:p>
      <w:pPr>
        <w:pStyle w:val="118"/>
        <w:numPr>
          <w:ilvl w:val="0"/>
          <w:numId w:val="2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所城西门外建筑现状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所城西门外建筑距城墙遗址较近，</w:t>
      </w:r>
      <w:r>
        <w:rPr>
          <w:color w:val="000000" w:themeColor="text1"/>
          <w14:textFill>
            <w14:solidFill>
              <w14:schemeClr w14:val="tx1"/>
            </w14:solidFill>
          </w14:textFill>
        </w:rPr>
        <w:t>建筑</w:t>
      </w:r>
      <w:r>
        <w:rPr>
          <w:rFonts w:hint="eastAsia"/>
          <w:color w:val="000000" w:themeColor="text1"/>
          <w14:textFill>
            <w14:solidFill>
              <w14:schemeClr w14:val="tx1"/>
            </w14:solidFill>
          </w14:textFill>
        </w:rPr>
        <w:t>较高，且质量较差，对所城的风貌有极大影响。</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（2）村镇建设现状评估：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随着城镇建设及旅游业的发展，大鹏所城周边的建设量不断增加。房屋的建设，已经侵占到西北、西南及东南区域的城墙遗址位置，对周边环境产生了一定程度的影响和破坏。 </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（3）城外景观环境现状评估：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目前大鹏所城外已经实施景观环境整治工程，并沿鹏城河修建了滨河的绿化带，整体景观环境较好。</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（4）</w:t>
      </w:r>
      <w:r>
        <w:rPr>
          <w:b/>
          <w:color w:val="000000" w:themeColor="text1"/>
          <w14:textFill>
            <w14:solidFill>
              <w14:schemeClr w14:val="tx1"/>
            </w14:solidFill>
          </w14:textFill>
        </w:rPr>
        <w:t>商业业态现状评估</w:t>
      </w:r>
      <w:r>
        <w:rPr>
          <w:rFonts w:hint="eastAsia"/>
          <w:b/>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大鹏所城城外商业主要集中在南门楼南侧和东门楼东侧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以餐饮和民宿为主</w:t>
      </w:r>
      <w:r>
        <w:rPr>
          <w:rFonts w:hint="eastAsia"/>
          <w:color w:val="000000" w:themeColor="text1"/>
          <w14:textFill>
            <w14:solidFill>
              <w14:schemeClr w14:val="tx1"/>
            </w14:solidFill>
          </w14:textFill>
        </w:rPr>
        <w:t>，但定位较为低端。</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）市政基础设施现状评估：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周边的架空电线及裸露的市政管线，影响周边环境的协调性，不利于历史风貌的展示。电线线路之间的摩擦，易出现线路短路、绝缘层烧毁等现象，从而引发火灾。特别是经日光暴晒、雨淋，极易老化。在用电高峰的夏季，冰箱、电风扇、空调等大功率电器使用频繁,更加大危险的发生率。</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6</w:t>
      </w:r>
      <w:r>
        <w:rPr>
          <w:rFonts w:hint="eastAsia"/>
          <w:b/>
          <w:color w:val="000000" w:themeColor="text1"/>
          <w14:textFill>
            <w14:solidFill>
              <w14:schemeClr w14:val="tx1"/>
            </w14:solidFill>
          </w14:textFill>
        </w:rPr>
        <w:t>）道路交通现状评估：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大鹏所城周边的主要道路为鹏飞路、鹏城路、西坑路、东山路及南门东路。基本已做硬化，道路两侧绿化有待加强。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大鹏所城周边建有专用停车场，但总体分布不均匀，主要集中在所城的南侧和东侧，且停车设施尚为简陋，利用率低，且缺乏专门管理。 </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7</w:t>
      </w:r>
      <w:r>
        <w:rPr>
          <w:rFonts w:hint="eastAsia"/>
          <w:b/>
          <w:color w:val="000000" w:themeColor="text1"/>
          <w14:textFill>
            <w14:solidFill>
              <w14:schemeClr w14:val="tx1"/>
            </w14:solidFill>
          </w14:textFill>
        </w:rPr>
        <w:t>）鹏城河现状评估</w:t>
      </w:r>
    </w:p>
    <w:p>
      <w:pPr>
        <w:ind w:firstLine="480" w:firstLineChars="200"/>
        <w:rPr>
          <w:color w:val="000000" w:themeColor="text1"/>
          <w:lang w:val="zh-CN"/>
          <w14:textFill>
            <w14:solidFill>
              <w14:schemeClr w14:val="tx1"/>
            </w14:solidFill>
          </w14:textFill>
        </w:rPr>
      </w:pPr>
      <w:r>
        <w:rPr>
          <w:color w:val="000000" w:themeColor="text1"/>
          <w:lang w:val="zh-CN" w:eastAsia="zh-CN"/>
          <w14:textFill>
            <w14:solidFill>
              <w14:schemeClr w14:val="tx1"/>
            </w14:solidFill>
          </w14:textFill>
        </w:rPr>
        <w:t>鹏城河起源于鹏城社区北侧的排牙山</w:t>
      </w:r>
      <w:r>
        <w:rPr>
          <w:rFonts w:hint="eastAsia"/>
          <w:color w:val="000000" w:themeColor="text1"/>
          <w:lang w:val="zh-CN"/>
          <w14:textFill>
            <w14:solidFill>
              <w14:schemeClr w14:val="tx1"/>
            </w14:solidFill>
          </w14:textFill>
        </w:rPr>
        <w:t>，</w:t>
      </w:r>
      <w:r>
        <w:rPr>
          <w:color w:val="000000" w:themeColor="text1"/>
          <w:lang w:val="zh-CN" w:eastAsia="zh-CN"/>
          <w14:textFill>
            <w14:solidFill>
              <w14:schemeClr w14:val="tx1"/>
            </w14:solidFill>
          </w14:textFill>
        </w:rPr>
        <w:t>聚集于西侧的打马坜水库后</w:t>
      </w:r>
      <w:r>
        <w:rPr>
          <w:rFonts w:hint="eastAsia"/>
          <w:color w:val="000000" w:themeColor="text1"/>
          <w:lang w:val="zh-CN"/>
          <w14:textFill>
            <w14:solidFill>
              <w14:schemeClr w14:val="tx1"/>
            </w14:solidFill>
          </w14:textFill>
        </w:rPr>
        <w:t>。</w:t>
      </w:r>
      <w:r>
        <w:rPr>
          <w:color w:val="000000" w:themeColor="text1"/>
          <w:lang w:val="zh-CN" w:eastAsia="zh-CN"/>
          <w14:textFill>
            <w14:solidFill>
              <w14:schemeClr w14:val="tx1"/>
            </w14:solidFill>
          </w14:textFill>
        </w:rPr>
        <w:t>在打马坜下游有一条长约</w:t>
      </w:r>
      <w:r>
        <w:rPr>
          <w:rFonts w:hint="eastAsia"/>
          <w:color w:val="000000" w:themeColor="text1"/>
          <w:lang w:val="zh-CN"/>
          <w14:textFill>
            <w14:solidFill>
              <w14:schemeClr w14:val="tx1"/>
            </w14:solidFill>
          </w14:textFill>
        </w:rPr>
        <w:t>3千米的小河为西北至东南流向，是鹏城河的主体部分，河水经较场尾流入龙岐湾入海。鹏城河原为大鹏所城护城河的补给水源，水量季节性较强，水质较差，局部存在垃圾倾倒的现象。</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（8）环境卫生现状评估：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大鹏所城现游客较多，周边垃圾收集点较少，且使用率不高，垃圾收集设施随意摆放，存在有较多杂物堆积现象，对环境造成较大影响。</w:t>
      </w:r>
    </w:p>
    <w:p>
      <w:pPr>
        <w:pStyle w:val="5"/>
        <w:rPr>
          <w:color w:val="000000" w:themeColor="text1"/>
          <w:lang w:eastAsia="zh-CN"/>
          <w14:textFill>
            <w14:solidFill>
              <w14:schemeClr w14:val="tx1"/>
            </w14:solidFill>
          </w14:textFill>
        </w:rPr>
      </w:pPr>
      <w:bookmarkStart w:id="99" w:name="_Toc75013287"/>
      <w:r>
        <w:rPr>
          <w:rFonts w:hint="eastAsia"/>
          <w:color w:val="000000" w:themeColor="text1"/>
          <w14:textFill>
            <w14:solidFill>
              <w14:schemeClr w14:val="tx1"/>
            </w14:solidFill>
          </w14:textFill>
        </w:rPr>
        <w:t>土地利用现状评估</w:t>
      </w:r>
      <w:bookmarkEnd w:id="99"/>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规划范围内用地包括二类居住用地</w:t>
      </w:r>
      <w:r>
        <w:rPr>
          <w:rFonts w:hint="eastAsia"/>
          <w:color w:val="000000" w:themeColor="text1"/>
          <w14:textFill>
            <w14:solidFill>
              <w14:schemeClr w14:val="tx1"/>
            </w14:solidFill>
          </w14:textFill>
        </w:rPr>
        <w:t>、四类居住用地、文体设施用地、教育科地、宗教用地、商业用地、工业用地、农林和其他用地等。所城范围内以四类居住用地为主，包含少量的公共绿地和商业用地，不利于所城的保护和管理工作。所城周边用地缺少规划引导，并存在私搭乱建等现象，导致区域内出现中心低外围高，东低西高的趋势，所城被隐于城市中。</w:t>
      </w:r>
    </w:p>
    <w:tbl>
      <w:tblPr>
        <w:tblStyle w:val="8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5"/>
        <w:gridCol w:w="2905"/>
        <w:gridCol w:w="2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D9D9D9"/>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用地分类</w:t>
            </w:r>
          </w:p>
        </w:tc>
        <w:tc>
          <w:tcPr>
            <w:tcW w:w="1407" w:type="pct"/>
            <w:shd w:val="clear" w:color="auto" w:fill="D9D9D9"/>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面积（</w:t>
            </w:r>
            <w:r>
              <w:rPr>
                <w:rFonts w:ascii="仿宋" w:hAnsi="仿宋" w:cs="宋体"/>
                <w:b/>
                <w:color w:val="000000" w:themeColor="text1"/>
                <w:kern w:val="0"/>
                <w:sz w:val="21"/>
                <w:szCs w:val="21"/>
                <w14:textFill>
                  <w14:solidFill>
                    <w14:schemeClr w14:val="tx1"/>
                  </w14:solidFill>
                </w14:textFill>
              </w:rPr>
              <w:t>ha</w:t>
            </w:r>
            <w:r>
              <w:rPr>
                <w:rFonts w:hint="eastAsia" w:ascii="仿宋" w:hAnsi="仿宋" w:cs="宋体"/>
                <w:b/>
                <w:color w:val="000000" w:themeColor="text1"/>
                <w:kern w:val="0"/>
                <w:sz w:val="21"/>
                <w:szCs w:val="21"/>
                <w14:textFill>
                  <w14:solidFill>
                    <w14:schemeClr w14:val="tx1"/>
                  </w14:solidFill>
                </w14:textFill>
              </w:rPr>
              <w:t>）</w:t>
            </w:r>
          </w:p>
        </w:tc>
        <w:tc>
          <w:tcPr>
            <w:tcW w:w="1406" w:type="pct"/>
            <w:shd w:val="clear" w:color="auto" w:fill="D9D9D9"/>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百分比（</w:t>
            </w:r>
            <w:r>
              <w:rPr>
                <w:rFonts w:ascii="仿宋" w:hAnsi="仿宋" w:cs="宋体"/>
                <w:b/>
                <w:color w:val="000000" w:themeColor="text1"/>
                <w:kern w:val="0"/>
                <w:sz w:val="21"/>
                <w:szCs w:val="21"/>
                <w14:textFill>
                  <w14:solidFill>
                    <w14:schemeClr w14:val="tx1"/>
                  </w14:solidFill>
                </w14:textFill>
              </w:rPr>
              <w:t>%</w:t>
            </w:r>
            <w:r>
              <w:rPr>
                <w:rFonts w:hint="eastAsia" w:ascii="仿宋" w:hAnsi="仿宋" w:cs="宋体"/>
                <w:b/>
                <w:color w:val="000000" w:themeColor="text1"/>
                <w:kern w:val="0"/>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二类居住用地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0.53</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四类居住用地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20.27</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文体设施用地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0.32</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0.32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教育科研用地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3.25</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宗教设施用地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0.54</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0.54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文化遗产用地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0.42</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0.42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商业用地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4.35</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交通设施用地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4.49</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道路用地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7.61</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普通工业用地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5.04</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公园绿地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3.62</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广场绿地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0.22</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水域用地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4.90</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林地和其他用地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43.35</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沙滩用地</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0.71</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总计</w:t>
            </w:r>
          </w:p>
        </w:tc>
        <w:tc>
          <w:tcPr>
            <w:tcW w:w="1407"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99.62</w:t>
            </w:r>
          </w:p>
        </w:tc>
        <w:tc>
          <w:tcPr>
            <w:tcW w:w="140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100.00 </w:t>
            </w:r>
          </w:p>
        </w:tc>
      </w:tr>
    </w:tbl>
    <w:p>
      <w:pPr>
        <w:pStyle w:val="5"/>
        <w:rPr>
          <w:color w:val="000000" w:themeColor="text1"/>
          <w14:textFill>
            <w14:solidFill>
              <w14:schemeClr w14:val="tx1"/>
            </w14:solidFill>
          </w14:textFill>
        </w:rPr>
      </w:pPr>
      <w:bookmarkStart w:id="100" w:name="_Toc75013288"/>
      <w:r>
        <w:rPr>
          <w:rFonts w:hint="eastAsia"/>
          <w:color w:val="000000" w:themeColor="text1"/>
          <w14:textFill>
            <w14:solidFill>
              <w14:schemeClr w14:val="tx1"/>
            </w14:solidFill>
          </w14:textFill>
        </w:rPr>
        <w:t>环境现状评估结论</w:t>
      </w:r>
      <w:bookmarkEnd w:id="95"/>
      <w:bookmarkEnd w:id="100"/>
    </w:p>
    <w:p>
      <w:pPr>
        <w:ind w:firstLine="480" w:firstLineChars="200"/>
        <w:rPr>
          <w:color w:val="000000" w:themeColor="text1"/>
          <w14:textFill>
            <w14:solidFill>
              <w14:schemeClr w14:val="tx1"/>
            </w14:solidFill>
          </w14:textFill>
        </w:rPr>
      </w:pPr>
      <w:bookmarkStart w:id="101" w:name="_Toc373500779"/>
      <w:r>
        <w:rPr>
          <w:rFonts w:hint="eastAsia"/>
          <w:color w:val="000000" w:themeColor="text1"/>
          <w14:textFill>
            <w14:solidFill>
              <w14:schemeClr w14:val="tx1"/>
            </w14:solidFill>
          </w14:textFill>
        </w:rPr>
        <w:t>（1）新中国成立后，城内历史格局和整体风貌破坏严重，新建筑建设导致城内竖向关系错乱；所城城墙西、南、东南、西北段均被建筑占压、破坏；建筑室外地坪逐渐提升；原有条石路面与台阶多数不存；新建筑的色彩、装饰、屋面做法在形态特征上造成风貌不协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（2）大鹏所城整体商业业态无法做到与同类型旅游景点差异化竞争、凸显所城特色，未能展现所城的核心历史文化价值。</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（3）大鹏所城城内架空电线、水管等均裸露在外，严重影响城内环境风貌。</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）由于大鹏所城内商业的快速发展，以南门商业街为主，出现了占道经营和随意设置摊位的情况，严重影响了城内历史建筑风貌。</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）由于大鹏所城内旅游业压力的增大及垃圾收集点的设置偏少，造成居民垃圾随意堆积在胡同内及空地内，影响了城内历史风貌，也增加了安全隐患。</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）大鹏所城因周边村庄建设，致使现状城墙边界不存、历史格局不明显，南侧面海的视线通廊整体割裂。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）所城周边环境形态紊乱，一些现代住宅与饭馆、市场等商业设施紧邻古城，破坏城门空间环境氛围。</w:t>
      </w:r>
    </w:p>
    <w:p>
      <w:pPr>
        <w:pStyle w:val="4"/>
        <w:numPr>
          <w:ilvl w:val="0"/>
          <w:numId w:val="17"/>
        </w:numPr>
        <w:spacing w:before="163" w:after="163"/>
        <w:rPr>
          <w:color w:val="000000" w:themeColor="text1"/>
          <w:lang w:eastAsia="zh-CN"/>
          <w14:textFill>
            <w14:solidFill>
              <w14:schemeClr w14:val="tx1"/>
            </w14:solidFill>
          </w14:textFill>
        </w:rPr>
      </w:pPr>
      <w:bookmarkStart w:id="102" w:name="_Toc75013289"/>
      <w:r>
        <w:rPr>
          <w:rFonts w:hint="eastAsia"/>
          <w:color w:val="000000" w:themeColor="text1"/>
          <w:lang w:eastAsia="zh-CN"/>
          <w14:textFill>
            <w14:solidFill>
              <w14:schemeClr w14:val="tx1"/>
            </w14:solidFill>
          </w14:textFill>
        </w:rPr>
        <w:t>大鹏所城展示利用现状评估</w:t>
      </w:r>
      <w:bookmarkEnd w:id="101"/>
      <w:bookmarkEnd w:id="102"/>
    </w:p>
    <w:p>
      <w:pPr>
        <w:pStyle w:val="5"/>
        <w:rPr>
          <w:color w:val="000000" w:themeColor="text1"/>
          <w:lang w:eastAsia="zh-CN"/>
          <w14:textFill>
            <w14:solidFill>
              <w14:schemeClr w14:val="tx1"/>
            </w14:solidFill>
          </w14:textFill>
        </w:rPr>
      </w:pPr>
      <w:bookmarkStart w:id="103" w:name="_Toc75013290"/>
      <w:bookmarkStart w:id="104" w:name="_Toc373500782"/>
      <w:r>
        <w:rPr>
          <w:rFonts w:hint="eastAsia"/>
          <w:color w:val="000000" w:themeColor="text1"/>
          <w:lang w:eastAsia="zh-CN"/>
          <w14:textFill>
            <w14:solidFill>
              <w14:schemeClr w14:val="tx1"/>
            </w14:solidFill>
          </w14:textFill>
        </w:rPr>
        <w:t>展示现状</w:t>
      </w:r>
      <w:bookmarkEnd w:id="103"/>
    </w:p>
    <w:p>
      <w:pPr>
        <w:numPr>
          <w:ilvl w:val="0"/>
          <w:numId w:val="22"/>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城内展示现状</w:t>
      </w:r>
    </w:p>
    <w:p>
      <w:pPr>
        <w:ind w:firstLine="480" w:firstLineChars="200"/>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大鹏所城展示利用集中在博物馆、将军府第、城隍庙遗址、协台衙门遗址等展示区，展示条件相对落后，对文物建筑及建筑遗址的展示不够充分，展示、旅游的配套服务设施缺乏。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1）21处全国重点文物建筑展示利用现状</w:t>
      </w:r>
    </w:p>
    <w:tbl>
      <w:tblPr>
        <w:tblStyle w:val="88"/>
        <w:tblW w:w="31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0"/>
        <w:gridCol w:w="2178"/>
        <w:gridCol w:w="3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5000" w:type="pct"/>
            <w:gridSpan w:val="3"/>
            <w:shd w:val="clear" w:color="auto" w:fill="BFBFBF"/>
          </w:tcPr>
          <w:p>
            <w:pPr>
              <w:spacing w:line="24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21处全国重点文物建筑建筑展示利用情况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编号</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名称</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展示利用情况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01</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天后宫</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02</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赖绍贤将军第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03</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赖恩爵振威将军第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大鹏古城博物馆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04</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赖恩锡将军第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05</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赖府书房——怡文楼</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大鹏古城博物馆展厅，暂未开放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06</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东门楼</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07</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赖英扬振威将军第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08</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西门赖氏将军第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09</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赵公祠</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10</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西门楼</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11</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南门楼</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大鹏古城博物馆展厅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12</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东北村戴氏大屋</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13</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赖世超将军第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大鹏古城博物馆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14</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赖信扬将军第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15</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何文朴故居</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咖啡馆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16</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梁氏大屋</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17</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侯王古庙</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18</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林仕英“大夫第”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19</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刘起龙将军第</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20</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东门李将军府</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70"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21</w:t>
            </w:r>
          </w:p>
        </w:tc>
        <w:tc>
          <w:tcPr>
            <w:tcW w:w="1676"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南门楼</w:t>
            </w:r>
          </w:p>
        </w:tc>
        <w:tc>
          <w:tcPr>
            <w:tcW w:w="2754" w:type="pct"/>
            <w:shd w:val="clear" w:color="auto" w:fill="auto"/>
          </w:tcPr>
          <w:p>
            <w:pPr>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大鹏古城博物馆展厅</w:t>
            </w:r>
          </w:p>
        </w:tc>
      </w:tr>
    </w:tbl>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2）重点</w:t>
      </w:r>
      <w:r>
        <w:rPr>
          <w:color w:val="000000" w:themeColor="text1"/>
          <w14:textFill>
            <w14:solidFill>
              <w14:schemeClr w14:val="tx1"/>
            </w14:solidFill>
          </w14:textFill>
        </w:rPr>
        <w:t>建筑遗址展示利用现状</w:t>
      </w:r>
    </w:p>
    <w:tbl>
      <w:tblPr>
        <w:tblStyle w:val="88"/>
        <w:tblW w:w="31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shd w:val="clear" w:color="auto" w:fill="BFBFBF"/>
          </w:tcPr>
          <w:p>
            <w:pPr>
              <w:spacing w:line="240" w:lineRule="auto"/>
              <w:jc w:val="center"/>
              <w:rPr>
                <w:rFonts w:ascii="宋体" w:hAnsi="宋体"/>
                <w:b/>
                <w:color w:val="000000" w:themeColor="text1"/>
                <w:sz w:val="21"/>
                <w:szCs w:val="18"/>
                <w14:textFill>
                  <w14:solidFill>
                    <w14:schemeClr w14:val="tx1"/>
                  </w14:solidFill>
                </w14:textFill>
              </w:rPr>
            </w:pPr>
            <w:r>
              <w:rPr>
                <w:rFonts w:hint="eastAsia" w:ascii="宋体" w:hAnsi="宋体"/>
                <w:b/>
                <w:color w:val="000000" w:themeColor="text1"/>
                <w:sz w:val="21"/>
                <w:szCs w:val="18"/>
                <w14:textFill>
                  <w14:solidFill>
                    <w14:schemeClr w14:val="tx1"/>
                  </w14:solidFill>
                </w14:textFill>
              </w:rPr>
              <w:t>重点建筑遗址展示利用情况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编号</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名称</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是否展示利用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01</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城隍庙遗址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大鹏新区非物质文化遗产传承基地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02</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守备署遗址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03</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都府署遗址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04</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左堂署遗址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公园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05</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协台衙门遗址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协台衙门历史展览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07</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华光庙遗址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08</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文庙遗址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09</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关帝庙遗址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ascii="宋体" w:hAnsi="宋体"/>
                <w:color w:val="000000" w:themeColor="text1"/>
                <w:sz w:val="21"/>
                <w:szCs w:val="18"/>
                <w14:textFill>
                  <w14:solidFill>
                    <w14:schemeClr w14:val="tx1"/>
                  </w14:solidFill>
                </w14:textFill>
              </w:rPr>
              <w:t>10</w:t>
            </w:r>
          </w:p>
        </w:tc>
        <w:tc>
          <w:tcPr>
            <w:tcW w:w="1639"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火药局遗址</w:t>
            </w:r>
          </w:p>
        </w:tc>
        <w:tc>
          <w:tcPr>
            <w:tcW w:w="2731" w:type="pct"/>
            <w:shd w:val="clear" w:color="auto" w:fill="auto"/>
          </w:tcPr>
          <w:p>
            <w:pPr>
              <w:spacing w:line="240" w:lineRule="auto"/>
              <w:jc w:val="center"/>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否</w:t>
            </w:r>
          </w:p>
        </w:tc>
      </w:tr>
    </w:tbl>
    <w:p>
      <w:pPr>
        <w:numPr>
          <w:ilvl w:val="0"/>
          <w:numId w:val="22"/>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城外展示现状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大鹏所城外基本无游人参观景点，商业、餐饮等设施品质较低，旅游开发处于初级阶段。</w:t>
      </w:r>
      <w:bookmarkEnd w:id="104"/>
    </w:p>
    <w:p>
      <w:pPr>
        <w:pStyle w:val="5"/>
        <w:rPr>
          <w:color w:val="000000" w:themeColor="text1"/>
          <w:lang w:eastAsia="zh-CN"/>
          <w14:textFill>
            <w14:solidFill>
              <w14:schemeClr w14:val="tx1"/>
            </w14:solidFill>
          </w14:textFill>
        </w:rPr>
      </w:pPr>
      <w:bookmarkStart w:id="105" w:name="_Toc75013291"/>
      <w:r>
        <w:rPr>
          <w:rFonts w:hint="eastAsia"/>
          <w:color w:val="000000" w:themeColor="text1"/>
          <w:lang w:eastAsia="zh-CN"/>
          <w14:textFill>
            <w14:solidFill>
              <w14:schemeClr w14:val="tx1"/>
            </w14:solidFill>
          </w14:textFill>
        </w:rPr>
        <w:t>旅游</w:t>
      </w:r>
      <w:r>
        <w:rPr>
          <w:rFonts w:hint="eastAsia"/>
          <w:color w:val="000000" w:themeColor="text1"/>
          <w14:textFill>
            <w14:solidFill>
              <w14:schemeClr w14:val="tx1"/>
            </w14:solidFill>
          </w14:textFill>
        </w:rPr>
        <w:t>现状</w:t>
      </w:r>
      <w:r>
        <w:rPr>
          <w:rFonts w:hint="eastAsia"/>
          <w:color w:val="000000" w:themeColor="text1"/>
          <w:lang w:eastAsia="zh-CN"/>
          <w14:textFill>
            <w14:solidFill>
              <w14:schemeClr w14:val="tx1"/>
            </w14:solidFill>
          </w14:textFill>
        </w:rPr>
        <w:t>评估</w:t>
      </w:r>
      <w:bookmarkEnd w:id="105"/>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（1）游客现状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目前大鹏所城游客主要集中在节假日，日高峰量达1万人，年游客总人数为200万。</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但游客逗留时间及在所城内游览路线偏短，无法带动更多的附加消费；付出的交通时间成本与收获的游览体验不成正比。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（2）旅游产品现状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目前所城内的旅游产品定位较低，同大多旅游区一样，以义乌小商品为主，未能体现所城的文化内涵。</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）对社区社会效益的影响</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游客人数的增加拉动周边区域的经济活动，推动当地居民的对外交流，同时也引导社区的产业结构转向以酒店、餐饮为主的服务业。但过多游客的涌入引起污染物的增多，物价上涨，造成当地贫富差距进一步扩大。</w:t>
      </w:r>
    </w:p>
    <w:p>
      <w:pPr>
        <w:pStyle w:val="5"/>
        <w:rPr>
          <w:color w:val="000000" w:themeColor="text1"/>
          <w14:textFill>
            <w14:solidFill>
              <w14:schemeClr w14:val="tx1"/>
            </w14:solidFill>
          </w14:textFill>
        </w:rPr>
      </w:pPr>
      <w:bookmarkStart w:id="106" w:name="_Toc75013292"/>
      <w:bookmarkStart w:id="107" w:name="_Toc373500783"/>
      <w:r>
        <w:rPr>
          <w:rFonts w:hint="eastAsia"/>
          <w:color w:val="000000" w:themeColor="text1"/>
          <w14:textFill>
            <w14:solidFill>
              <w14:schemeClr w14:val="tx1"/>
            </w14:solidFill>
          </w14:textFill>
        </w:rPr>
        <w:t>展示利用评估结论</w:t>
      </w:r>
      <w:bookmarkEnd w:id="106"/>
      <w:bookmarkEnd w:id="107"/>
    </w:p>
    <w:p>
      <w:pPr>
        <w:ind w:firstLine="480" w:firstLineChars="200"/>
        <w:rPr>
          <w:color w:val="000000" w:themeColor="text1"/>
          <w14:textFill>
            <w14:solidFill>
              <w14:schemeClr w14:val="tx1"/>
            </w14:solidFill>
          </w14:textFill>
        </w:rPr>
      </w:pPr>
      <w:bookmarkStart w:id="108" w:name="_Toc373500784"/>
      <w:r>
        <w:rPr>
          <w:rFonts w:hint="eastAsia"/>
          <w:color w:val="000000" w:themeColor="text1"/>
          <w14:textFill>
            <w14:solidFill>
              <w14:schemeClr w14:val="tx1"/>
            </w14:solidFill>
          </w14:textFill>
        </w:rPr>
        <w:t>目前大鹏所城总体展示情况较差。所城仅部分全国重点文物建筑及重点建筑遗址用于展示，并且展示内容、展示方式落后，不足以全面体现大鹏所城的文物价值，不能让人们充分了解大鹏所城的历史文化。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旅游产品大多不能体现大鹏所城的文化内涵，且商品品质低端，不足以满足游客文化消费的需求，展示利用的可持续性较低。</w:t>
      </w:r>
    </w:p>
    <w:p>
      <w:pPr>
        <w:pStyle w:val="4"/>
        <w:numPr>
          <w:ilvl w:val="0"/>
          <w:numId w:val="17"/>
        </w:numPr>
        <w:spacing w:before="163" w:after="163"/>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column"/>
      </w:r>
      <w:bookmarkStart w:id="109" w:name="_Toc75013293"/>
      <w:r>
        <w:rPr>
          <w:rFonts w:hint="eastAsia"/>
          <w:color w:val="000000" w:themeColor="text1"/>
          <w:lang w:eastAsia="zh-CN"/>
          <w14:textFill>
            <w14:solidFill>
              <w14:schemeClr w14:val="tx1"/>
            </w14:solidFill>
          </w14:textFill>
        </w:rPr>
        <w:t>管理现状评估</w:t>
      </w:r>
      <w:bookmarkEnd w:id="108"/>
      <w:bookmarkEnd w:id="109"/>
    </w:p>
    <w:p>
      <w:pPr>
        <w:pStyle w:val="5"/>
        <w:rPr>
          <w:color w:val="000000" w:themeColor="text1"/>
          <w14:textFill>
            <w14:solidFill>
              <w14:schemeClr w14:val="tx1"/>
            </w14:solidFill>
          </w14:textFill>
        </w:rPr>
      </w:pPr>
      <w:bookmarkStart w:id="110" w:name="_Toc75013294"/>
      <w:bookmarkStart w:id="111" w:name="_Toc373500774"/>
      <w:bookmarkStart w:id="112" w:name="_Toc373500785"/>
      <w:r>
        <w:rPr>
          <w:rFonts w:hint="eastAsia"/>
          <w:color w:val="000000" w:themeColor="text1"/>
          <w14:textFill>
            <w14:solidFill>
              <w14:schemeClr w14:val="tx1"/>
            </w14:solidFill>
          </w14:textFill>
        </w:rPr>
        <w:t>“四有”档案</w:t>
      </w:r>
      <w:bookmarkEnd w:id="110"/>
      <w:bookmarkEnd w:id="111"/>
    </w:p>
    <w:p>
      <w:pPr>
        <w:ind w:firstLine="480" w:firstLineChars="200"/>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大鹏所城的文物保护管理部门已开展“四有”（有保护管理机构、有保护区划、有保护标志、有保护档案）相关工作，但档案尚未实时更新，亟待完善。</w:t>
      </w:r>
    </w:p>
    <w:p>
      <w:pPr>
        <w:pStyle w:val="5"/>
        <w:rPr>
          <w:color w:val="000000" w:themeColor="text1"/>
          <w14:textFill>
            <w14:solidFill>
              <w14:schemeClr w14:val="tx1"/>
            </w14:solidFill>
          </w14:textFill>
        </w:rPr>
      </w:pPr>
      <w:bookmarkStart w:id="113" w:name="_Toc75013295"/>
      <w:r>
        <w:rPr>
          <w:rFonts w:hint="eastAsia"/>
          <w:color w:val="000000" w:themeColor="text1"/>
          <w14:textFill>
            <w14:solidFill>
              <w14:schemeClr w14:val="tx1"/>
            </w14:solidFill>
          </w14:textFill>
        </w:rPr>
        <w:t>管理机构</w:t>
      </w:r>
      <w:bookmarkEnd w:id="112"/>
      <w:bookmarkEnd w:id="113"/>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目前大鹏所城现文物保护与管理机构为深圳市大鹏新区大鹏古城博物馆。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大鹏所城的实际管理方有：大鹏古城博物馆、鹏城社区及其股份公司、深圳华侨城鹏城发展有限公司、私人等。</w:t>
      </w:r>
    </w:p>
    <w:p>
      <w:pPr>
        <w:pStyle w:val="5"/>
        <w:rPr>
          <w:color w:val="000000" w:themeColor="text1"/>
          <w:lang w:eastAsia="zh-CN"/>
          <w14:textFill>
            <w14:solidFill>
              <w14:schemeClr w14:val="tx1"/>
            </w14:solidFill>
          </w14:textFill>
        </w:rPr>
      </w:pPr>
      <w:bookmarkStart w:id="114" w:name="_Toc75013296"/>
      <w:r>
        <w:rPr>
          <w:color w:val="000000" w:themeColor="text1"/>
          <w:lang w:eastAsia="zh-CN"/>
          <w14:textFill>
            <w14:solidFill>
              <w14:schemeClr w14:val="tx1"/>
            </w14:solidFill>
          </w14:textFill>
        </w:rPr>
        <w:t>原规划实施情况评估</w:t>
      </w:r>
      <w:bookmarkEnd w:id="11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（1）《深圳市大鹏所城保护规划（2004-2020年）》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2004年中国城市规划设计研究院编制了</w:t>
      </w:r>
      <w:r>
        <w:rPr>
          <w:rFonts w:hint="eastAsia"/>
          <w:color w:val="000000" w:themeColor="text1"/>
          <w14:textFill>
            <w14:solidFill>
              <w14:schemeClr w14:val="tx1"/>
            </w14:solidFill>
          </w14:textFill>
        </w:rPr>
        <w:t>《深圳市大鹏所城保护规划（2004-2020年）》，该规划通过广东省人民政府的批复同意，并由深圳市人民政府公布实施。目前对大鹏所城的保护管理工作参照该规划执行。但规划实施效果不佳，未对所城周边的建设形成严格的管控和引导，导致所城被周边的建设所包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（2）《全国重点文物保护单位深圳大鹏所城保护规划（2005-2020年）》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200</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年东南大学建筑设计研究院编制了《全国重点文物保护单位深圳大鹏所城保护规划（2005-2020年）》，</w:t>
      </w:r>
      <w:r>
        <w:rPr>
          <w:color w:val="000000" w:themeColor="text1"/>
          <w14:textFill>
            <w14:solidFill>
              <w14:schemeClr w14:val="tx1"/>
            </w14:solidFill>
          </w14:textFill>
        </w:rPr>
        <w:t>该规划虽然通过国家文物局的批复同意</w:t>
      </w:r>
      <w:r>
        <w:rPr>
          <w:rFonts w:hint="eastAsia"/>
          <w:color w:val="000000" w:themeColor="text1"/>
          <w14:textFill>
            <w14:solidFill>
              <w14:schemeClr w14:val="tx1"/>
            </w14:solidFill>
          </w14:textFill>
        </w:rPr>
        <w:t>，但因报批程序不清晰，</w:t>
      </w:r>
      <w:r>
        <w:rPr>
          <w:color w:val="000000" w:themeColor="text1"/>
          <w14:textFill>
            <w14:solidFill>
              <w14:schemeClr w14:val="tx1"/>
            </w14:solidFill>
          </w14:textFill>
        </w:rPr>
        <w:t>保护区划过大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不具备可实施性和可操作性等原因</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未被广东省人民政府公布</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不具备法律效应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未对大鹏所城形成管控</w:t>
      </w:r>
      <w:r>
        <w:rPr>
          <w:rFonts w:hint="eastAsia"/>
          <w:color w:val="000000" w:themeColor="text1"/>
          <w14:textFill>
            <w14:solidFill>
              <w14:schemeClr w14:val="tx1"/>
            </w14:solidFill>
          </w14:textFill>
        </w:rPr>
        <w:t>。</w:t>
      </w:r>
    </w:p>
    <w:p>
      <w:pPr>
        <w:pStyle w:val="5"/>
        <w:rPr>
          <w:color w:val="000000" w:themeColor="text1"/>
          <w:lang w:eastAsia="zh-CN"/>
          <w14:textFill>
            <w14:solidFill>
              <w14:schemeClr w14:val="tx1"/>
            </w14:solidFill>
          </w14:textFill>
        </w:rPr>
      </w:pPr>
      <w:bookmarkStart w:id="115" w:name="_Toc75013297"/>
      <w:r>
        <w:rPr>
          <w:rFonts w:hint="eastAsia"/>
          <w:color w:val="000000" w:themeColor="text1"/>
          <w14:textFill>
            <w14:solidFill>
              <w14:schemeClr w14:val="tx1"/>
            </w14:solidFill>
          </w14:textFill>
        </w:rPr>
        <w:t>现行保护区划及管理规定评估</w:t>
      </w:r>
      <w:bookmarkEnd w:id="115"/>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1、现行区划(广东省文化厅、广东省住房行业城乡建设厅粤文物【2014】44号—已公布）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）保护区划及管理规定现状评估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现行保护保护范围面积较大，将所城外围现代建筑统一纳入，造成保护目的不清，且对周边的发展建设造成较大的限制。</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保护管理规定未对周边的建筑的体量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风貌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色彩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高度等形成具体的控制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未能较好的指导所城的保护管理工作</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）保护区划及管理规定衔接</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本规划保护区划以现行公布的保护区划为基础</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控制总体规模基本不变的基础上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通过对价值的评估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保护对象的确定合理的调整保护区划</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并将该管理规定的相关内容进行</w:t>
      </w:r>
      <w:r>
        <w:rPr>
          <w:rFonts w:hint="eastAsia"/>
          <w:color w:val="000000" w:themeColor="text1"/>
          <w14:textFill>
            <w14:solidFill>
              <w14:schemeClr w14:val="tx1"/>
            </w14:solidFill>
          </w14:textFill>
        </w:rPr>
        <w:t>采纳。</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2、《全国重点文物保护单位深圳大鹏所城保护规划（2005-2020年）》——国家文物局批复（未公布）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）保护区划与管理规定现状评估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保护区划：保护范围虽完整的保护了文物本体和历史格局的完整，但范围过大，四至以周边道路为划定边界，包含了古城南门及西门以外近10万平方米的村落范围，限制了周边区域发展。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管理规定：管理规定未对二类建设控制地点内的建筑高度、体量、色彩等作出要求，缺乏有效的管控。</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）保护区划及管理规定衔接</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本规划的保护区划建立在该区划的基础上</w:t>
      </w:r>
      <w:r>
        <w:rPr>
          <w:rFonts w:hint="eastAsia"/>
          <w:color w:val="000000" w:themeColor="text1"/>
          <w14:textFill>
            <w14:solidFill>
              <w14:schemeClr w14:val="tx1"/>
            </w14:solidFill>
          </w14:textFill>
        </w:rPr>
        <w:t>，在确保各要素获得整体保护的基础上，考虑区划的可落地性和可实施性，对保护范围进行精细化调整，</w:t>
      </w:r>
      <w:r>
        <w:rPr>
          <w:color w:val="000000" w:themeColor="text1"/>
          <w14:textFill>
            <w14:solidFill>
              <w14:schemeClr w14:val="tx1"/>
            </w14:solidFill>
          </w14:textFill>
        </w:rPr>
        <w:t>并将该一类管理规定中对于街巷两侧的建筑高度的控制要求进行</w:t>
      </w:r>
      <w:r>
        <w:rPr>
          <w:rFonts w:hint="eastAsia"/>
          <w:color w:val="000000" w:themeColor="text1"/>
          <w14:textFill>
            <w14:solidFill>
              <w14:schemeClr w14:val="tx1"/>
            </w14:solidFill>
          </w14:textFill>
        </w:rPr>
        <w:t>采纳和细化。</w:t>
      </w:r>
    </w:p>
    <w:p>
      <w:pPr>
        <w:pStyle w:val="5"/>
        <w:rPr>
          <w:color w:val="000000" w:themeColor="text1"/>
          <w14:textFill>
            <w14:solidFill>
              <w14:schemeClr w14:val="tx1"/>
            </w14:solidFill>
          </w14:textFill>
        </w:rPr>
      </w:pPr>
      <w:bookmarkStart w:id="116" w:name="_Toc75013298"/>
      <w:r>
        <w:rPr>
          <w:rFonts w:hint="eastAsia"/>
          <w:color w:val="000000" w:themeColor="text1"/>
          <w14:textFill>
            <w14:solidFill>
              <w14:schemeClr w14:val="tx1"/>
            </w14:solidFill>
          </w14:textFill>
        </w:rPr>
        <w:t>保护标志</w:t>
      </w:r>
      <w:bookmarkEnd w:id="11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在大鹏所城南门外，设置保护标志碑一座，黑色花岗岩碑身，灰色花岗岩碑基。</w:t>
      </w:r>
    </w:p>
    <w:p>
      <w:pPr>
        <w:pStyle w:val="5"/>
        <w:rPr>
          <w:color w:val="000000" w:themeColor="text1"/>
          <w14:textFill>
            <w14:solidFill>
              <w14:schemeClr w14:val="tx1"/>
            </w14:solidFill>
          </w14:textFill>
        </w:rPr>
      </w:pPr>
      <w:bookmarkStart w:id="117" w:name="_Toc373500786"/>
      <w:bookmarkStart w:id="118" w:name="_Toc75013299"/>
      <w:r>
        <w:rPr>
          <w:rFonts w:hint="eastAsia"/>
          <w:color w:val="000000" w:themeColor="text1"/>
          <w14:textFill>
            <w14:solidFill>
              <w14:schemeClr w14:val="tx1"/>
            </w14:solidFill>
          </w14:textFill>
        </w:rPr>
        <w:t>管理制度</w:t>
      </w:r>
      <w:bookmarkEnd w:id="117"/>
      <w:bookmarkEnd w:id="11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大鹏所城现有《不可移动文物巡查制度》及突发事件应急预案，缺少专门的保护、利用与管理制度。</w:t>
      </w:r>
    </w:p>
    <w:p>
      <w:pPr>
        <w:pStyle w:val="5"/>
        <w:rPr>
          <w:color w:val="000000" w:themeColor="text1"/>
          <w14:textFill>
            <w14:solidFill>
              <w14:schemeClr w14:val="tx1"/>
            </w14:solidFill>
          </w14:textFill>
        </w:rPr>
      </w:pPr>
      <w:bookmarkStart w:id="119" w:name="_Toc75013300"/>
      <w:bookmarkStart w:id="120" w:name="_Toc373500787"/>
      <w:r>
        <w:rPr>
          <w:rFonts w:hint="eastAsia"/>
          <w:color w:val="000000" w:themeColor="text1"/>
          <w14:textFill>
            <w14:solidFill>
              <w14:schemeClr w14:val="tx1"/>
            </w14:solidFill>
          </w14:textFill>
        </w:rPr>
        <w:t>管理用房</w:t>
      </w:r>
      <w:bookmarkEnd w:id="119"/>
      <w:bookmarkEnd w:id="12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大鹏所城现有管理用房主要集中在大鹏粮仓南部，包括办公、安保用房、文物库房等。</w:t>
      </w:r>
    </w:p>
    <w:p>
      <w:pPr>
        <w:pStyle w:val="5"/>
        <w:rPr>
          <w:color w:val="000000" w:themeColor="text1"/>
          <w14:textFill>
            <w14:solidFill>
              <w14:schemeClr w14:val="tx1"/>
            </w14:solidFill>
          </w14:textFill>
        </w:rPr>
      </w:pPr>
      <w:bookmarkStart w:id="121" w:name="_Toc75013301"/>
      <w:r>
        <w:rPr>
          <w:rFonts w:hint="eastAsia"/>
          <w:color w:val="000000" w:themeColor="text1"/>
          <w14:textFill>
            <w14:solidFill>
              <w14:schemeClr w14:val="tx1"/>
            </w14:solidFill>
          </w14:textFill>
        </w:rPr>
        <w:t>产权情况</w:t>
      </w:r>
      <w:bookmarkEnd w:id="121"/>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根据调研分析，所城内的房屋产权较为复杂、混乱，所城内多头管理的现状导致产权清单获取困难，不利于梳理整顿、开展后续工作。</w:t>
      </w:r>
    </w:p>
    <w:p>
      <w:pPr>
        <w:pStyle w:val="5"/>
        <w:rPr>
          <w:color w:val="000000" w:themeColor="text1"/>
          <w14:textFill>
            <w14:solidFill>
              <w14:schemeClr w14:val="tx1"/>
            </w14:solidFill>
          </w14:textFill>
        </w:rPr>
      </w:pPr>
      <w:bookmarkStart w:id="122" w:name="_Toc373500778"/>
      <w:bookmarkStart w:id="123" w:name="_Toc75013302"/>
      <w:bookmarkStart w:id="124" w:name="_Toc373500791"/>
      <w:r>
        <w:rPr>
          <w:rFonts w:hint="eastAsia"/>
          <w:color w:val="000000" w:themeColor="text1"/>
          <w14:textFill>
            <w14:solidFill>
              <w14:schemeClr w14:val="tx1"/>
            </w14:solidFill>
          </w14:textFill>
        </w:rPr>
        <w:t>管理现状评估</w:t>
      </w:r>
      <w:r>
        <w:rPr>
          <w:rFonts w:hint="eastAsia"/>
          <w:color w:val="000000" w:themeColor="text1"/>
          <w:lang w:eastAsia="zh-CN"/>
          <w14:textFill>
            <w14:solidFill>
              <w14:schemeClr w14:val="tx1"/>
            </w14:solidFill>
          </w14:textFill>
        </w:rPr>
        <w:t>结论</w:t>
      </w:r>
      <w:bookmarkEnd w:id="122"/>
      <w:bookmarkEnd w:id="123"/>
    </w:p>
    <w:p>
      <w:pPr>
        <w:numPr>
          <w:ilvl w:val="0"/>
          <w:numId w:val="23"/>
        </w:numPr>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大鹏所城现状管理工作取得了良好的效果，但“四有”档案工作滞后，没有及时更新，近年来的保护工作情况，没有纳入档案中。</w:t>
      </w:r>
    </w:p>
    <w:p>
      <w:pPr>
        <w:numPr>
          <w:ilvl w:val="0"/>
          <w:numId w:val="23"/>
        </w:numPr>
        <w:rPr>
          <w:color w:val="000000" w:themeColor="text1"/>
          <w14:textFill>
            <w14:solidFill>
              <w14:schemeClr w14:val="tx1"/>
            </w14:solidFill>
          </w14:textFill>
        </w:rPr>
      </w:pPr>
      <w:r>
        <w:rPr>
          <w:rFonts w:hint="eastAsia"/>
          <w:color w:val="000000" w:themeColor="text1"/>
          <w14:textFill>
            <w14:solidFill>
              <w14:schemeClr w14:val="tx1"/>
            </w14:solidFill>
          </w14:textFill>
        </w:rPr>
        <w:t>现针对大鹏所城的保护与利用方面存在不同管理机构，导致</w:t>
      </w:r>
      <w:r>
        <w:rPr>
          <w:color w:val="000000" w:themeColor="text1"/>
          <w14:textFill>
            <w14:solidFill>
              <w14:schemeClr w14:val="tx1"/>
            </w14:solidFill>
          </w14:textFill>
        </w:rPr>
        <w:t>管理职责部分重叠与交叉</w:t>
      </w:r>
      <w:r>
        <w:rPr>
          <w:rFonts w:hint="eastAsia"/>
          <w:color w:val="000000" w:themeColor="text1"/>
          <w14:textFill>
            <w14:solidFill>
              <w14:schemeClr w14:val="tx1"/>
            </w14:solidFill>
          </w14:textFill>
        </w:rPr>
        <w:t>，未来管理内容难以厘清，</w:t>
      </w:r>
      <w:r>
        <w:rPr>
          <w:color w:val="000000" w:themeColor="text1"/>
          <w14:textFill>
            <w14:solidFill>
              <w14:schemeClr w14:val="tx1"/>
            </w14:solidFill>
          </w14:textFill>
        </w:rPr>
        <w:t>出现</w:t>
      </w:r>
      <w:r>
        <w:rPr>
          <w:rFonts w:hint="eastAsia"/>
          <w:color w:val="000000" w:themeColor="text1"/>
          <w14:textFill>
            <w14:solidFill>
              <w14:schemeClr w14:val="tx1"/>
            </w14:solidFill>
          </w14:textFill>
        </w:rPr>
        <w:t>解决</w:t>
      </w:r>
      <w:r>
        <w:rPr>
          <w:color w:val="000000" w:themeColor="text1"/>
          <w14:textFill>
            <w14:solidFill>
              <w14:schemeClr w14:val="tx1"/>
            </w14:solidFill>
          </w14:textFill>
        </w:rPr>
        <w:t>问题</w:t>
      </w:r>
      <w:r>
        <w:rPr>
          <w:rFonts w:hint="eastAsia"/>
          <w:color w:val="000000" w:themeColor="text1"/>
          <w14:textFill>
            <w14:solidFill>
              <w14:schemeClr w14:val="tx1"/>
            </w14:solidFill>
          </w14:textFill>
        </w:rPr>
        <w:t>周期冗长、程序复杂、效率低下等问题，形成“有管理、管不好”的局面。</w:t>
      </w:r>
    </w:p>
    <w:p>
      <w:pPr>
        <w:pStyle w:val="4"/>
        <w:numPr>
          <w:ilvl w:val="0"/>
          <w:numId w:val="17"/>
        </w:numPr>
        <w:spacing w:before="163" w:after="163"/>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column"/>
      </w:r>
      <w:bookmarkStart w:id="125" w:name="_Toc75013303"/>
      <w:r>
        <w:rPr>
          <w:rFonts w:hint="eastAsia"/>
          <w:color w:val="000000" w:themeColor="text1"/>
          <w:lang w:eastAsia="zh-CN"/>
          <w14:textFill>
            <w14:solidFill>
              <w14:schemeClr w14:val="tx1"/>
            </w14:solidFill>
          </w14:textFill>
        </w:rPr>
        <w:t>考古研究现状评估</w:t>
      </w:r>
      <w:bookmarkEnd w:id="124"/>
      <w:bookmarkEnd w:id="125"/>
    </w:p>
    <w:p>
      <w:pPr>
        <w:pStyle w:val="5"/>
        <w:rPr>
          <w:color w:val="000000" w:themeColor="text1"/>
          <w:lang w:eastAsia="zh-CN"/>
          <w14:textFill>
            <w14:solidFill>
              <w14:schemeClr w14:val="tx1"/>
            </w14:solidFill>
          </w14:textFill>
        </w:rPr>
      </w:pPr>
      <w:bookmarkStart w:id="126" w:name="_Toc75013304"/>
      <w:bookmarkStart w:id="127" w:name="_Toc373500792"/>
      <w:r>
        <w:rPr>
          <w:rFonts w:hint="eastAsia"/>
          <w:color w:val="000000" w:themeColor="text1"/>
          <w:lang w:eastAsia="zh-CN"/>
          <w14:textFill>
            <w14:solidFill>
              <w14:schemeClr w14:val="tx1"/>
            </w14:solidFill>
          </w14:textFill>
        </w:rPr>
        <w:t>考古现状</w:t>
      </w:r>
      <w:bookmarkEnd w:id="12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大鹏所城的考古工作分为两期，三个阶段。</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第一期第一阶段</w:t>
      </w:r>
      <w:r>
        <w:rPr>
          <w:rFonts w:ascii="ZWAdobeF" w:hAnsi="ZWAdobeF" w:cs="ZWAdobeF"/>
          <w:color w:val="000000" w:themeColor="text1"/>
          <w:sz w:val="2"/>
          <w:szCs w:val="2"/>
          <w14:textFill>
            <w14:solidFill>
              <w14:schemeClr w14:val="tx1"/>
            </w14:solidFill>
          </w14:textFill>
        </w:rPr>
        <w:t>0F</w:t>
      </w:r>
      <w:r>
        <w:rPr>
          <w:rStyle w:val="100"/>
          <w:color w:val="000000" w:themeColor="text1"/>
          <w14:textFill>
            <w14:solidFill>
              <w14:schemeClr w14:val="tx1"/>
            </w14:solidFill>
          </w14:textFill>
        </w:rPr>
        <w:footnoteReference w:id="0"/>
      </w:r>
      <w:r>
        <w:rPr>
          <w:rFonts w:hint="eastAsia"/>
          <w:color w:val="000000" w:themeColor="text1"/>
          <w14:textFill>
            <w14:solidFill>
              <w14:schemeClr w14:val="tx1"/>
            </w14:solidFill>
          </w14:textFill>
        </w:rPr>
        <w:t>，2006年，对东门、南门、西门、北门广场、西城墙北部进行了部分发掘。</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一期第二阶段，2008-2009年，考古钻探：主要在四面城墙体、两侧及全城中轴线所在的刘屋巷两个区域展开，实际总钻探面积17184.8㎡；考古发掘：城隍庙、西城墙外博物馆宿舍至纸箱厂之间的巷道以及原鹏城学校外平台三个区域，总发掘面积556㎡。</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第二期第一阶段，2010-2011年在城隍庙和城墙东北角楼区域展开，总揭露面积约675㎡。</w:t>
      </w:r>
    </w:p>
    <w:p>
      <w:pPr>
        <w:pStyle w:val="5"/>
        <w:rPr>
          <w:color w:val="000000" w:themeColor="text1"/>
          <w:lang w:eastAsia="zh-CN"/>
          <w14:textFill>
            <w14:solidFill>
              <w14:schemeClr w14:val="tx1"/>
            </w14:solidFill>
          </w14:textFill>
        </w:rPr>
      </w:pPr>
      <w:bookmarkStart w:id="128" w:name="_Toc75013305"/>
      <w:r>
        <w:rPr>
          <w:rFonts w:hint="eastAsia"/>
          <w:color w:val="000000" w:themeColor="text1"/>
          <w:lang w:eastAsia="zh-CN"/>
          <w14:textFill>
            <w14:solidFill>
              <w14:schemeClr w14:val="tx1"/>
            </w14:solidFill>
          </w14:textFill>
        </w:rPr>
        <w:t>考古成果</w:t>
      </w:r>
      <w:bookmarkEnd w:id="12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第一期第二阶段及第二期第一阶段完成了考古简报，并得出一下结论：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大鹏所城唯一保存下来的城墙拐角为直角；</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发现了一些北门城门楼的遗迹现象，确定北城门的存在；</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在驳岸的南侧发现有护城壕沟，但城护濠的外界依然不清楚；</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证明史料记载大鹏所城始建于明初是真实可靠的；</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大鹏所城的城墙(甚至个别建筑)并非一次修建而成，可能存在至少二至三次大规模重修；</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确定大鹏所城可能以郑氏司马第、赖英扬将军第及刘起龙将军第为南北中轴线进行整体布局，基本沿用了隋唐以来都城建筑以“中轴线”为中心的城市功能划分模式。</w:t>
      </w:r>
    </w:p>
    <w:bookmarkEnd w:id="127"/>
    <w:p>
      <w:pPr>
        <w:pStyle w:val="5"/>
        <w:rPr>
          <w:color w:val="000000" w:themeColor="text1"/>
          <w:lang w:eastAsia="zh-CN"/>
          <w14:textFill>
            <w14:solidFill>
              <w14:schemeClr w14:val="tx1"/>
            </w14:solidFill>
          </w14:textFill>
        </w:rPr>
      </w:pPr>
      <w:bookmarkStart w:id="129" w:name="_Toc75013306"/>
      <w:r>
        <w:rPr>
          <w:rFonts w:hint="eastAsia"/>
          <w:color w:val="000000" w:themeColor="text1"/>
          <w:lang w:eastAsia="zh-CN"/>
          <w14:textFill>
            <w14:solidFill>
              <w14:schemeClr w14:val="tx1"/>
            </w14:solidFill>
          </w14:textFill>
        </w:rPr>
        <w:t>其他相关研究</w:t>
      </w:r>
      <w:bookmarkEnd w:id="129"/>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关于大鹏所城的研究主要涉及所城历史、九龙海战等方面，研究视角较为单一，研究成果专著、期刊论文等较少。</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大鹏所城研讨会</w:t>
      </w:r>
      <w:r>
        <w:rPr>
          <w:rFonts w:hint="eastAsia"/>
          <w:color w:val="000000" w:themeColor="text1"/>
          <w14:textFill>
            <w14:solidFill>
              <w14:schemeClr w14:val="tx1"/>
            </w14:solidFill>
          </w14:textFill>
        </w:rPr>
        <w:t>及明清海防研讨会等研究活动组织较少</w:t>
      </w:r>
      <w:r>
        <w:rPr>
          <w:color w:val="000000" w:themeColor="text1"/>
          <w14:textFill>
            <w14:solidFill>
              <w14:schemeClr w14:val="tx1"/>
            </w14:solidFill>
          </w14:textFill>
        </w:rPr>
        <w:t>。</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文物建筑现状测绘研究已经全面展开。</w:t>
      </w:r>
    </w:p>
    <w:p>
      <w:pPr>
        <w:pStyle w:val="5"/>
        <w:rPr>
          <w:color w:val="000000" w:themeColor="text1"/>
          <w14:textFill>
            <w14:solidFill>
              <w14:schemeClr w14:val="tx1"/>
            </w14:solidFill>
          </w14:textFill>
        </w:rPr>
      </w:pPr>
      <w:bookmarkStart w:id="130" w:name="_Toc75013307"/>
      <w:bookmarkStart w:id="131" w:name="_Toc373500793"/>
      <w:r>
        <w:rPr>
          <w:rFonts w:hint="eastAsia"/>
          <w:color w:val="000000" w:themeColor="text1"/>
          <w14:textFill>
            <w14:solidFill>
              <w14:schemeClr w14:val="tx1"/>
            </w14:solidFill>
          </w14:textFill>
        </w:rPr>
        <w:t>评估结论</w:t>
      </w:r>
      <w:bookmarkEnd w:id="130"/>
      <w:bookmarkEnd w:id="131"/>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大鹏所城的历史格局有待进一步考古确定，周边相关文物资源的研究有待进一步加强；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对大鹏所城及明清海防的相关的基础研究尚有较大的发展空间，对大鹏所城的研究广度不足；</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大鹏所城相关的出版物较少，包括历次考古报告并没有出版；</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各项研讨活动开展较少，研究内容有待丰富。</w:t>
      </w:r>
    </w:p>
    <w:p>
      <w:pPr>
        <w:pStyle w:val="4"/>
        <w:numPr>
          <w:ilvl w:val="0"/>
          <w:numId w:val="17"/>
        </w:numPr>
        <w:spacing w:before="163" w:after="163"/>
        <w:rPr>
          <w:color w:val="000000" w:themeColor="text1"/>
          <w:lang w:eastAsia="zh-CN"/>
          <w14:textFill>
            <w14:solidFill>
              <w14:schemeClr w14:val="tx1"/>
            </w14:solidFill>
          </w14:textFill>
        </w:rPr>
      </w:pPr>
      <w:bookmarkStart w:id="132" w:name="_Toc75013308"/>
      <w:bookmarkStart w:id="133" w:name="_Toc373500800"/>
      <w:r>
        <w:rPr>
          <w:rFonts w:hint="eastAsia"/>
          <w:color w:val="000000" w:themeColor="text1"/>
          <w:lang w:eastAsia="zh-CN"/>
          <w14:textFill>
            <w14:solidFill>
              <w14:schemeClr w14:val="tx1"/>
            </w14:solidFill>
          </w14:textFill>
        </w:rPr>
        <w:t>小结</w:t>
      </w:r>
      <w:bookmarkEnd w:id="132"/>
    </w:p>
    <w:p>
      <w:pPr>
        <w:pStyle w:val="5"/>
        <w:rPr>
          <w:color w:val="000000" w:themeColor="text1"/>
          <w14:textFill>
            <w14:solidFill>
              <w14:schemeClr w14:val="tx1"/>
            </w14:solidFill>
          </w14:textFill>
        </w:rPr>
      </w:pPr>
      <w:bookmarkStart w:id="134" w:name="_Toc75013309"/>
      <w:r>
        <w:rPr>
          <w:rFonts w:hint="eastAsia"/>
          <w:color w:val="000000" w:themeColor="text1"/>
          <w14:textFill>
            <w14:solidFill>
              <w14:schemeClr w14:val="tx1"/>
            </w14:solidFill>
          </w14:textFill>
        </w:rPr>
        <w:t>现状主要问题</w:t>
      </w:r>
      <w:bookmarkEnd w:id="133"/>
      <w:bookmarkEnd w:id="13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现行保护区划无法达到文物保护的要求，不能满足对大鹏所城及周边进行有效管控。</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大鹏所城周边环境缺乏有效的建设控制措施，居民新建、搭建房屋及不当利用，对于所城传统风貌的威胁较大，破坏了传统的街巷肌理和景观界面。</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大鹏所城被后期新建建筑包围，“背山面海”的历史环境被割裂。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大鹏所城城墙为新建建筑占压，仅余东北段城墙残垣，其余均被破坏殆尽。</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大鹏所城周边环境的现状较差，周边建筑质量与风貌整体较差，严重影响所城整体风貌。</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基础设施建设较为落后，垃圾堆放、配套服务设施缺乏的情况对于大鹏所城的展示利用产生不利影响。</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大鹏所城现状展示方式较为单一，缺乏合理有效的区域展示利用规划和游线组织。</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大鹏所城现有管理方式为多头管理</w:t>
      </w:r>
      <w:r>
        <w:rPr>
          <w:rFonts w:hint="eastAsia"/>
          <w:color w:val="000000" w:themeColor="text1"/>
          <w14:textFill>
            <w14:solidFill>
              <w14:schemeClr w14:val="tx1"/>
            </w14:solidFill>
          </w14:textFill>
        </w:rPr>
        <w:t>，存在管理</w:t>
      </w:r>
      <w:r>
        <w:rPr>
          <w:color w:val="000000" w:themeColor="text1"/>
          <w14:textFill>
            <w14:solidFill>
              <w14:schemeClr w14:val="tx1"/>
            </w14:solidFill>
          </w14:textFill>
        </w:rPr>
        <w:t>职责交叉</w:t>
      </w:r>
      <w:r>
        <w:rPr>
          <w:rFonts w:hint="eastAsia"/>
          <w:color w:val="000000" w:themeColor="text1"/>
          <w14:textFill>
            <w14:solidFill>
              <w14:schemeClr w14:val="tx1"/>
            </w14:solidFill>
          </w14:textFill>
        </w:rPr>
        <w:t>，多头管、管不好的问题。</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大鹏所城考古工作尚未全面开展，城内重要建筑遗址格局及城外护城河等布局尚未明确。</w:t>
      </w:r>
    </w:p>
    <w:p>
      <w:pPr>
        <w:pStyle w:val="3"/>
        <w:spacing w:before="163" w:after="163"/>
        <w:ind w:left="630" w:hanging="630"/>
        <w:rPr>
          <w:color w:val="000000" w:themeColor="text1"/>
          <w14:textFill>
            <w14:solidFill>
              <w14:schemeClr w14:val="tx1"/>
            </w14:solidFill>
          </w14:textFill>
        </w:rPr>
      </w:pPr>
      <w:bookmarkStart w:id="135" w:name="_Toc373500801"/>
      <w:r>
        <w:rPr>
          <w:color w:val="000000" w:themeColor="text1"/>
          <w14:textFill>
            <w14:solidFill>
              <w14:schemeClr w14:val="tx1"/>
            </w14:solidFill>
          </w14:textFill>
        </w:rPr>
        <w:br w:type="column"/>
      </w:r>
      <w:bookmarkStart w:id="136" w:name="_Toc75013310"/>
      <w:r>
        <w:rPr>
          <w:rFonts w:hint="eastAsia"/>
          <w:color w:val="000000" w:themeColor="text1"/>
          <w14:textFill>
            <w14:solidFill>
              <w14:schemeClr w14:val="tx1"/>
            </w14:solidFill>
          </w14:textFill>
        </w:rPr>
        <w:t>规划原则、目标与基本策略</w:t>
      </w:r>
      <w:bookmarkEnd w:id="135"/>
      <w:bookmarkEnd w:id="136"/>
    </w:p>
    <w:p>
      <w:pPr>
        <w:pStyle w:val="5"/>
        <w:rPr>
          <w:color w:val="000000" w:themeColor="text1"/>
          <w14:textFill>
            <w14:solidFill>
              <w14:schemeClr w14:val="tx1"/>
            </w14:solidFill>
          </w14:textFill>
        </w:rPr>
      </w:pPr>
      <w:bookmarkStart w:id="137" w:name="_Toc75013311"/>
      <w:bookmarkStart w:id="138" w:name="_Toc373500802"/>
      <w:r>
        <w:rPr>
          <w:rFonts w:hint="eastAsia"/>
          <w:color w:val="000000" w:themeColor="text1"/>
          <w14:textFill>
            <w14:solidFill>
              <w14:schemeClr w14:val="tx1"/>
            </w14:solidFill>
          </w14:textFill>
        </w:rPr>
        <w:t>规划原则</w:t>
      </w:r>
      <w:bookmarkEnd w:id="137"/>
      <w:bookmarkEnd w:id="138"/>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坚持不改变文物原状的原则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保存与遗产相关的全部历史信息的真实性与完整性。</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坚持整体保护与可持续发展的原则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保护文物建筑及相关遗存所处的历史环境，保护和延续地方传统的生产、生活方式。</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坚持文物保护与社会效益统筹兼顾的原则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对于文物古迹的利用坚持文物保护、居民权益、社会效益统筹兼顾，在不损害文物古迹的基础上充分展示文物价值。</w:t>
      </w:r>
    </w:p>
    <w:p>
      <w:pPr>
        <w:pStyle w:val="5"/>
        <w:rPr>
          <w:color w:val="000000" w:themeColor="text1"/>
          <w14:textFill>
            <w14:solidFill>
              <w14:schemeClr w14:val="tx1"/>
            </w14:solidFill>
          </w14:textFill>
        </w:rPr>
      </w:pPr>
      <w:bookmarkStart w:id="139" w:name="_Toc373500803"/>
      <w:bookmarkStart w:id="140" w:name="_Toc75013312"/>
      <w:r>
        <w:rPr>
          <w:rFonts w:hint="eastAsia"/>
          <w:color w:val="000000" w:themeColor="text1"/>
          <w14:textFill>
            <w14:solidFill>
              <w14:schemeClr w14:val="tx1"/>
            </w14:solidFill>
          </w14:textFill>
        </w:rPr>
        <w:t>规划目标</w:t>
      </w:r>
      <w:bookmarkEnd w:id="139"/>
      <w:bookmarkEnd w:id="14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于大鹏所城及相关遗存、历史环境提出切实可行的保护措施，建立完善的管理和展示利用体系，保护大鹏所城全部价值载体的真实性、完整性，保障文物保护工作长期科学、合理的进行，将大鹏所城建设成为符合国际遗产保护及国内文物古迹保护规范的文物保护单位。</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结合片区整体规划，保护和保持当地传统风貌，改善居民生活环境。通过对文物价值的合理利用在推动地方经济、文化发展等方面发挥积极作用。</w:t>
      </w:r>
    </w:p>
    <w:p>
      <w:pPr>
        <w:pStyle w:val="5"/>
        <w:rPr>
          <w:color w:val="000000" w:themeColor="text1"/>
          <w14:textFill>
            <w14:solidFill>
              <w14:schemeClr w14:val="tx1"/>
            </w14:solidFill>
          </w14:textFill>
        </w:rPr>
      </w:pPr>
      <w:bookmarkStart w:id="141" w:name="_Toc75013313"/>
      <w:bookmarkStart w:id="142" w:name="_Toc373500804"/>
      <w:r>
        <w:rPr>
          <w:rFonts w:hint="eastAsia"/>
          <w:color w:val="000000" w:themeColor="text1"/>
          <w14:textFill>
            <w14:solidFill>
              <w14:schemeClr w14:val="tx1"/>
            </w14:solidFill>
          </w14:textFill>
        </w:rPr>
        <w:t>规划基本策略</w:t>
      </w:r>
      <w:bookmarkEnd w:id="141"/>
      <w:bookmarkEnd w:id="14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加强考古研究，科学支撑，推进文化遗产与古城格局的整体保护。</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保护规划引领，协调冲突，推动区域相关专项规划实施顺畅开展。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加强综合管理，融合发展，广泛开展“文化遗产＋”跨行业合作。</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结合城镇改造，统一协作，提升古城及周边文物环境的全面和谐。</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改善基础设施，完善硬件，保障古城正常运行及承载力有效控制。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引入高端业态，活化古城，促进文化遗产保护与利用的协调发展。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打造优质品牌，提升影响，树立行业遗产保护与活化的成功典范。</w:t>
      </w:r>
    </w:p>
    <w:p>
      <w:pPr>
        <w:ind w:firstLine="48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传承文化记忆，重塑生活，加强民族凝聚力提升民族文化自信。</w:t>
      </w:r>
    </w:p>
    <w:p>
      <w:pPr>
        <w:pStyle w:val="3"/>
        <w:spacing w:before="163" w:after="163"/>
        <w:ind w:left="630" w:hanging="630"/>
        <w:rPr>
          <w:color w:val="000000" w:themeColor="text1"/>
          <w14:textFill>
            <w14:solidFill>
              <w14:schemeClr w14:val="tx1"/>
            </w14:solidFill>
          </w14:textFill>
        </w:rPr>
      </w:pPr>
      <w:bookmarkStart w:id="143" w:name="_Toc373500805"/>
      <w:r>
        <w:rPr>
          <w:color w:val="000000" w:themeColor="text1"/>
          <w14:textFill>
            <w14:solidFill>
              <w14:schemeClr w14:val="tx1"/>
            </w14:solidFill>
          </w14:textFill>
        </w:rPr>
        <w:br w:type="column"/>
      </w:r>
      <w:bookmarkStart w:id="144" w:name="_Toc75013314"/>
      <w:r>
        <w:rPr>
          <w:rFonts w:hint="eastAsia"/>
          <w:color w:val="000000" w:themeColor="text1"/>
          <w14:textFill>
            <w14:solidFill>
              <w14:schemeClr w14:val="tx1"/>
            </w14:solidFill>
          </w14:textFill>
        </w:rPr>
        <w:t>保护区划</w:t>
      </w:r>
      <w:bookmarkEnd w:id="143"/>
      <w:bookmarkEnd w:id="144"/>
    </w:p>
    <w:p>
      <w:pPr>
        <w:pStyle w:val="4"/>
        <w:numPr>
          <w:ilvl w:val="0"/>
          <w:numId w:val="24"/>
        </w:numPr>
        <w:spacing w:before="163" w:after="163"/>
        <w:rPr>
          <w:color w:val="000000" w:themeColor="text1"/>
          <w:lang w:eastAsia="zh-CN"/>
          <w14:textFill>
            <w14:solidFill>
              <w14:schemeClr w14:val="tx1"/>
            </w14:solidFill>
          </w14:textFill>
        </w:rPr>
      </w:pPr>
      <w:bookmarkStart w:id="145" w:name="_Toc75013315"/>
      <w:r>
        <w:rPr>
          <w:rFonts w:hint="eastAsia"/>
          <w:color w:val="000000" w:themeColor="text1"/>
          <w:lang w:eastAsia="zh-CN"/>
          <w14:textFill>
            <w14:solidFill>
              <w14:schemeClr w14:val="tx1"/>
            </w14:solidFill>
          </w14:textFill>
        </w:rPr>
        <w:t>保护区划</w:t>
      </w:r>
      <w:bookmarkEnd w:id="145"/>
    </w:p>
    <w:p>
      <w:pPr>
        <w:pStyle w:val="5"/>
        <w:rPr>
          <w:color w:val="000000" w:themeColor="text1"/>
          <w:lang w:eastAsia="zh-CN"/>
          <w14:textFill>
            <w14:solidFill>
              <w14:schemeClr w14:val="tx1"/>
            </w14:solidFill>
          </w14:textFill>
        </w:rPr>
      </w:pPr>
      <w:bookmarkStart w:id="146" w:name="_Toc75013316"/>
      <w:r>
        <w:rPr>
          <w:rFonts w:hint="eastAsia"/>
          <w:color w:val="000000" w:themeColor="text1"/>
          <w:lang w:eastAsia="zh-CN"/>
          <w14:textFill>
            <w14:solidFill>
              <w14:schemeClr w14:val="tx1"/>
            </w14:solidFill>
          </w14:textFill>
        </w:rPr>
        <w:t>保护区划调整背景</w:t>
      </w:r>
      <w:bookmarkEnd w:id="14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）大鹏所城内、外建设现状、需求与趋势</w:t>
      </w:r>
    </w:p>
    <w:p>
      <w:pPr>
        <w:ind w:firstLine="480" w:firstLineChars="200"/>
        <w:rPr>
          <w:color w:val="000000" w:themeColor="text1"/>
          <w14:textFill>
            <w14:solidFill>
              <w14:schemeClr w14:val="tx1"/>
            </w14:solidFill>
          </w14:textFill>
        </w:rPr>
      </w:pPr>
      <w:bookmarkStart w:id="147" w:name="_Hlk10552596"/>
      <w:r>
        <w:rPr>
          <w:rFonts w:hint="eastAsia"/>
          <w:color w:val="000000" w:themeColor="text1"/>
          <w14:textFill>
            <w14:solidFill>
              <w14:schemeClr w14:val="tx1"/>
            </w14:solidFill>
          </w14:textFill>
        </w:rPr>
        <w:t>根据现场调研情况，大鹏所城内建筑空间狭小，</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以上为私有产权，且多已出租或空置，城内无新建需求，目前建筑的利用方式为对建筑进行修缮、局部改造后利用；</w:t>
      </w:r>
      <w:bookmarkEnd w:id="147"/>
      <w:r>
        <w:rPr>
          <w:rFonts w:hint="eastAsia"/>
          <w:color w:val="000000" w:themeColor="text1"/>
          <w14:textFill>
            <w14:solidFill>
              <w14:schemeClr w14:val="tx1"/>
            </w14:solidFill>
          </w14:textFill>
        </w:rPr>
        <w:t>所城外为原住民主要生活区，有新建、扩建需求，建筑功能为住宅及为所城提供配套服务。</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）现行保护规划，未形成科学有效的管控和引导</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2004年中国城市规划设计研究院编制了</w:t>
      </w:r>
      <w:r>
        <w:rPr>
          <w:rFonts w:hint="eastAsia"/>
          <w:color w:val="000000" w:themeColor="text1"/>
          <w14:textFill>
            <w14:solidFill>
              <w14:schemeClr w14:val="tx1"/>
            </w14:solidFill>
          </w14:textFill>
        </w:rPr>
        <w:t>《深圳市大鹏所城保护规划（2004-2020年）》，该规划通过广东省人民政府的批复同意，并由深圳市人民政府公布实施。但该规划编制时间尚早，在保护区划管理规定、保护措施、展示利用等方面，未达到相应的管控和引导的要求。</w:t>
      </w:r>
    </w:p>
    <w:p>
      <w:pPr>
        <w:pStyle w:val="5"/>
        <w:rPr>
          <w:color w:val="000000" w:themeColor="text1"/>
          <w:lang w:eastAsia="zh-CN"/>
          <w14:textFill>
            <w14:solidFill>
              <w14:schemeClr w14:val="tx1"/>
            </w14:solidFill>
          </w14:textFill>
        </w:rPr>
      </w:pPr>
      <w:bookmarkStart w:id="148" w:name="_Toc75013317"/>
      <w:r>
        <w:rPr>
          <w:rFonts w:hint="eastAsia"/>
          <w:color w:val="000000" w:themeColor="text1"/>
          <w:lang w:eastAsia="zh-CN"/>
          <w14:textFill>
            <w14:solidFill>
              <w14:schemeClr w14:val="tx1"/>
            </w14:solidFill>
          </w14:textFill>
        </w:rPr>
        <w:t>区划调整的必要性</w:t>
      </w:r>
      <w:bookmarkEnd w:id="14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（1）规划临期，需要修编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东南大学建筑设计研究院编制的《全国重点文物保护单位深圳大鹏所城保护规划》（2005-2020），规划期限至2020年，规划到期，需要修编。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（2）保护范围过大，无可操作性</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原保护范围将与大鹏所城本体无关的内容一并纳入，涵盖所城外近10万平方米的村落建筑，保护范围的管控要求与区域发展矛盾较大，阻碍周边村镇的发展。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（3）价值研究方面的支撑不够充分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现行保护区划对于文物本体的认定缺乏说服力，应当加强价值研究，建立筛选、评估标准，对现有文保单位、文物点、历史格局、相关历史要素等进行分类型、分层次的筛选，并明确文物保护规划和历史文化名村规划的不同侧重，来界定文物的保护区划。</w:t>
      </w:r>
    </w:p>
    <w:p>
      <w:pPr>
        <w:pStyle w:val="5"/>
        <w:rPr>
          <w:color w:val="000000" w:themeColor="text1"/>
          <w:lang w:eastAsia="zh-CN"/>
          <w14:textFill>
            <w14:solidFill>
              <w14:schemeClr w14:val="tx1"/>
            </w14:solidFill>
          </w14:textFill>
        </w:rPr>
      </w:pPr>
      <w:bookmarkStart w:id="149" w:name="_Toc75013318"/>
      <w:r>
        <w:rPr>
          <w:rFonts w:hint="eastAsia"/>
          <w:color w:val="000000" w:themeColor="text1"/>
          <w:lang w:eastAsia="zh-CN"/>
          <w14:textFill>
            <w14:solidFill>
              <w14:schemeClr w14:val="tx1"/>
            </w14:solidFill>
          </w14:textFill>
        </w:rPr>
        <w:t>区划调整策略</w:t>
      </w:r>
      <w:bookmarkEnd w:id="149"/>
    </w:p>
    <w:p>
      <w:pPr>
        <w:ind w:firstLine="480" w:firstLineChars="200"/>
        <w:rPr>
          <w:color w:val="000000" w:themeColor="text1"/>
          <w14:textFill>
            <w14:solidFill>
              <w14:schemeClr w14:val="tx1"/>
            </w14:solidFill>
          </w14:textFill>
        </w:rPr>
      </w:pPr>
      <w:bookmarkStart w:id="150" w:name="_Hlk6844977"/>
      <w:r>
        <w:rPr>
          <w:rFonts w:hint="eastAsia"/>
          <w:color w:val="000000" w:themeColor="text1"/>
          <w14:textFill>
            <w14:solidFill>
              <w14:schemeClr w14:val="tx1"/>
            </w14:solidFill>
          </w14:textFill>
        </w:rPr>
        <w:t>（1）总体形成更具有可操作性、更符合文物保护和展示利用要求，协调区域保护和发展之间关系的保护区划。</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（2）保持区划总体规模基本不变，确保大鹏所城文物本体及其环境、重要视廊的完整性保护。</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（3）根据价值评估和保护对象的认定，兼顾居民生活和古城管理的实际需求，合理调整区划边界，使其更具有可操作性。</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（3）将21处文物本体、73处一般不可移动文物、所城内重要的遗址、历史街巷、古树、古井等所在区域纳入保护范围，实施严格保护管控。</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（4）根据所城周边的建设情况、山海视廊关系、对建设控制地带进行分级管控、分类施策。</w:t>
      </w:r>
    </w:p>
    <w:p>
      <w:pPr>
        <w:tabs>
          <w:tab w:val="left" w:pos="720"/>
        </w:tabs>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）加强与历史文化名村规划的协同，形成双重保护管控体系，保护范围保护好文物、历史文化名村规划保护好其他要素和环境，各司其职，相互配合。</w:t>
      </w:r>
    </w:p>
    <w:bookmarkEnd w:id="150"/>
    <w:p>
      <w:pPr>
        <w:pStyle w:val="5"/>
        <w:rPr>
          <w:color w:val="000000" w:themeColor="text1"/>
          <w14:textFill>
            <w14:solidFill>
              <w14:schemeClr w14:val="tx1"/>
            </w14:solidFill>
          </w14:textFill>
        </w:rPr>
      </w:pPr>
      <w:bookmarkStart w:id="151" w:name="_Toc75013319"/>
      <w:r>
        <w:rPr>
          <w:rFonts w:hint="eastAsia"/>
          <w:color w:val="000000" w:themeColor="text1"/>
          <w14:textFill>
            <w14:solidFill>
              <w14:schemeClr w14:val="tx1"/>
            </w14:solidFill>
          </w14:textFill>
        </w:rPr>
        <w:t>保护区划调整</w:t>
      </w:r>
      <w:bookmarkEnd w:id="151"/>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1、区划划分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依据《中华人民共和国文物保护法》，本规划保护区划分为保护范围和建设控制地带，其中建设控制地带又分为：一类建设控制地带、二类建设控制地带、三类建设控制地带。</w:t>
      </w:r>
    </w:p>
    <w:tbl>
      <w:tblPr>
        <w:tblStyle w:val="88"/>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8"/>
        <w:gridCol w:w="2316"/>
        <w:gridCol w:w="1483"/>
        <w:gridCol w:w="1610"/>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4" w:type="dxa"/>
            <w:gridSpan w:val="2"/>
            <w:shd w:val="clear" w:color="auto" w:fill="D9D9D9"/>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保护区划分级</w:t>
            </w:r>
          </w:p>
        </w:tc>
        <w:tc>
          <w:tcPr>
            <w:tcW w:w="3093" w:type="dxa"/>
            <w:gridSpan w:val="2"/>
            <w:shd w:val="clear" w:color="auto" w:fill="D9D9D9"/>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面积（ha）</w:t>
            </w:r>
          </w:p>
        </w:tc>
        <w:tc>
          <w:tcPr>
            <w:tcW w:w="2552" w:type="dxa"/>
            <w:shd w:val="clear" w:color="auto" w:fill="D9D9D9"/>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3904" w:type="dxa"/>
            <w:gridSpan w:val="2"/>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保护范围</w:t>
            </w:r>
          </w:p>
        </w:tc>
        <w:tc>
          <w:tcPr>
            <w:tcW w:w="3093" w:type="dxa"/>
            <w:gridSpan w:val="2"/>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7.21</w:t>
            </w:r>
          </w:p>
        </w:tc>
        <w:tc>
          <w:tcPr>
            <w:tcW w:w="2552" w:type="dxa"/>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8" w:type="dxa"/>
            <w:vMerge w:val="restart"/>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建设控制</w:t>
            </w:r>
          </w:p>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地带</w:t>
            </w:r>
          </w:p>
        </w:tc>
        <w:tc>
          <w:tcPr>
            <w:tcW w:w="2316"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一类建控地带</w:t>
            </w:r>
          </w:p>
        </w:tc>
        <w:tc>
          <w:tcPr>
            <w:tcW w:w="1483"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9.33</w:t>
            </w:r>
          </w:p>
        </w:tc>
        <w:tc>
          <w:tcPr>
            <w:tcW w:w="1610" w:type="dxa"/>
            <w:vMerge w:val="restart"/>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92.41</w:t>
            </w:r>
          </w:p>
        </w:tc>
        <w:tc>
          <w:tcPr>
            <w:tcW w:w="2552" w:type="dxa"/>
            <w:vMerge w:val="restart"/>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92.76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8" w:type="dxa"/>
            <w:vMerge w:val="continue"/>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p>
        </w:tc>
        <w:tc>
          <w:tcPr>
            <w:tcW w:w="2316"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二</w:t>
            </w:r>
            <w:r>
              <w:rPr>
                <w:rFonts w:ascii="仿宋" w:hAnsi="仿宋" w:cs="宋体"/>
                <w:color w:val="000000" w:themeColor="text1"/>
                <w:kern w:val="0"/>
                <w:sz w:val="21"/>
                <w:szCs w:val="21"/>
                <w14:textFill>
                  <w14:solidFill>
                    <w14:schemeClr w14:val="tx1"/>
                  </w14:solidFill>
                </w14:textFill>
              </w:rPr>
              <w:t>类建控地带</w:t>
            </w:r>
          </w:p>
        </w:tc>
        <w:tc>
          <w:tcPr>
            <w:tcW w:w="1483"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64.60</w:t>
            </w:r>
          </w:p>
        </w:tc>
        <w:tc>
          <w:tcPr>
            <w:tcW w:w="1610" w:type="dxa"/>
            <w:vMerge w:val="continue"/>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p>
        </w:tc>
        <w:tc>
          <w:tcPr>
            <w:tcW w:w="2552" w:type="dxa"/>
            <w:vMerge w:val="continue"/>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8" w:type="dxa"/>
            <w:vMerge w:val="continue"/>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p>
        </w:tc>
        <w:tc>
          <w:tcPr>
            <w:tcW w:w="2316"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三</w:t>
            </w:r>
            <w:r>
              <w:rPr>
                <w:rFonts w:ascii="仿宋" w:hAnsi="仿宋" w:cs="宋体"/>
                <w:color w:val="000000" w:themeColor="text1"/>
                <w:kern w:val="0"/>
                <w:sz w:val="21"/>
                <w:szCs w:val="21"/>
                <w14:textFill>
                  <w14:solidFill>
                    <w14:schemeClr w14:val="tx1"/>
                  </w14:solidFill>
                </w14:textFill>
              </w:rPr>
              <w:t>类建控地带</w:t>
            </w:r>
          </w:p>
        </w:tc>
        <w:tc>
          <w:tcPr>
            <w:tcW w:w="1483"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18.48</w:t>
            </w:r>
          </w:p>
        </w:tc>
        <w:tc>
          <w:tcPr>
            <w:tcW w:w="1610" w:type="dxa"/>
            <w:vMerge w:val="continue"/>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p>
        </w:tc>
        <w:tc>
          <w:tcPr>
            <w:tcW w:w="2552" w:type="dxa"/>
            <w:vMerge w:val="continue"/>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4" w:type="dxa"/>
            <w:gridSpan w:val="2"/>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总计</w:t>
            </w:r>
          </w:p>
        </w:tc>
        <w:tc>
          <w:tcPr>
            <w:tcW w:w="3093" w:type="dxa"/>
            <w:gridSpan w:val="2"/>
          </w:tcPr>
          <w:p>
            <w:pPr>
              <w:widowControl/>
              <w:spacing w:line="240" w:lineRule="auto"/>
              <w:ind w:right="960"/>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 xml:space="preserve">   99.62</w:t>
            </w:r>
          </w:p>
        </w:tc>
        <w:tc>
          <w:tcPr>
            <w:tcW w:w="2552" w:type="dxa"/>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100</w:t>
            </w:r>
            <w:r>
              <w:rPr>
                <w:rFonts w:ascii="仿宋" w:hAnsi="仿宋" w:cs="宋体"/>
                <w:color w:val="000000" w:themeColor="text1"/>
                <w:kern w:val="0"/>
                <w:sz w:val="21"/>
                <w:szCs w:val="21"/>
                <w14:textFill>
                  <w14:solidFill>
                    <w14:schemeClr w14:val="tx1"/>
                  </w14:solidFill>
                </w14:textFill>
              </w:rPr>
              <w:t>.00</w:t>
            </w:r>
          </w:p>
        </w:tc>
      </w:tr>
    </w:tbl>
    <w:p>
      <w:pPr>
        <w:ind w:firstLine="482" w:firstLineChars="200"/>
        <w:rPr>
          <w:b/>
          <w:color w:val="000000" w:themeColor="text1"/>
          <w14:textFill>
            <w14:solidFill>
              <w14:schemeClr w14:val="tx1"/>
            </w14:solidFill>
          </w14:textFill>
        </w:rPr>
      </w:pP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2、保护范围</w:t>
      </w:r>
    </w:p>
    <w:p>
      <w:pPr>
        <w:numPr>
          <w:ilvl w:val="0"/>
          <w:numId w:val="25"/>
        </w:numPr>
        <w:rPr>
          <w:b/>
          <w:color w:val="000000" w:themeColor="text1"/>
          <w14:textFill>
            <w14:solidFill>
              <w14:schemeClr w14:val="tx1"/>
            </w14:solidFill>
          </w14:textFill>
        </w:rPr>
      </w:pPr>
      <w:r>
        <w:rPr>
          <w:b/>
          <w:color w:val="000000" w:themeColor="text1"/>
          <w14:textFill>
            <w14:solidFill>
              <w14:schemeClr w14:val="tx1"/>
            </w14:solidFill>
          </w14:textFill>
        </w:rPr>
        <w:t>调整内容</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保护范围面积由原来的35.88公顷缩小至</w:t>
      </w:r>
      <w:r>
        <w:rPr>
          <w:color w:val="000000" w:themeColor="text1"/>
          <w14:textFill>
            <w14:solidFill>
              <w14:schemeClr w14:val="tx1"/>
            </w14:solidFill>
          </w14:textFill>
        </w:rPr>
        <w:t>7.21</w:t>
      </w:r>
      <w:r>
        <w:rPr>
          <w:rFonts w:hint="eastAsia"/>
          <w:color w:val="000000" w:themeColor="text1"/>
          <w14:textFill>
            <w14:solidFill>
              <w14:schemeClr w14:val="tx1"/>
            </w14:solidFill>
          </w14:textFill>
        </w:rPr>
        <w:t>公顷，其范围从原先的涵盖所城范围、城外相关遗存、周边村镇调整至包含21处全国重点文物建筑、7</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处未定级不可移动文物建筑、城墙遗址和城壕遗址、重点建筑遗址、历史街巷等。</w:t>
      </w:r>
    </w:p>
    <w:p>
      <w:pPr>
        <w:numPr>
          <w:ilvl w:val="0"/>
          <w:numId w:val="25"/>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21处全国重点文物建筑保护范围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21处全国重点文物建筑本体范围为的保护范围。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面积为</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.70公顷</w:t>
      </w:r>
      <w:r>
        <w:rPr>
          <w:rFonts w:hint="eastAsia"/>
          <w:color w:val="000000" w:themeColor="text1"/>
          <w14:textFill>
            <w14:solidFill>
              <w14:schemeClr w14:val="tx1"/>
            </w14:solidFill>
          </w14:textFill>
        </w:rPr>
        <w:t>。</w:t>
      </w:r>
    </w:p>
    <w:p>
      <w:pPr>
        <w:numPr>
          <w:ilvl w:val="0"/>
          <w:numId w:val="25"/>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7</w:t>
      </w:r>
      <w:r>
        <w:rPr>
          <w:b/>
          <w:color w:val="000000" w:themeColor="text1"/>
          <w14:textFill>
            <w14:solidFill>
              <w14:schemeClr w14:val="tx1"/>
            </w14:solidFill>
          </w14:textFill>
        </w:rPr>
        <w:t>3处未定级不可移动文物建筑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3处未定级不可移动文物建筑范围为保护范围</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公顷。</w:t>
      </w:r>
    </w:p>
    <w:p>
      <w:pPr>
        <w:numPr>
          <w:ilvl w:val="0"/>
          <w:numId w:val="25"/>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城墙和城壕遗址保护范围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沿城墙墙基向外扩</w:t>
      </w:r>
      <w:r>
        <w:rPr>
          <w:rFonts w:hint="eastAsia"/>
          <w:color w:val="000000" w:themeColor="text1"/>
          <w14:textFill>
            <w14:solidFill>
              <w14:schemeClr w14:val="tx1"/>
            </w14:solidFill>
          </w14:textFill>
        </w:rPr>
        <w:t>20米（其中南边界和西边界以规划环形路道路内侧路缘线为边界，东边界和北边界局部根据建筑建筑调整），向内扩</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米（局部根据建筑边界调整），所形成的的区域为保护范围。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面积约为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4.53</w:t>
      </w:r>
      <w:r>
        <w:rPr>
          <w:rFonts w:hint="eastAsia"/>
          <w:color w:val="000000" w:themeColor="text1"/>
          <w14:textFill>
            <w14:solidFill>
              <w14:schemeClr w14:val="tx1"/>
            </w14:solidFill>
          </w14:textFill>
        </w:rPr>
        <w:t>公顷。</w:t>
      </w:r>
    </w:p>
    <w:p>
      <w:pPr>
        <w:spacing w:line="240" w:lineRule="auto"/>
        <w:ind w:firstLine="420" w:firstLineChars="200"/>
        <w:rPr>
          <w:i/>
          <w:color w:val="000000" w:themeColor="text1"/>
          <w:sz w:val="21"/>
          <w14:textFill>
            <w14:solidFill>
              <w14:schemeClr w14:val="tx1"/>
            </w14:solidFill>
          </w14:textFill>
        </w:rPr>
      </w:pPr>
      <w:r>
        <w:rPr>
          <w:i/>
          <w:color w:val="000000" w:themeColor="text1"/>
          <w:sz w:val="21"/>
          <w14:textFill>
            <w14:solidFill>
              <w14:schemeClr w14:val="tx1"/>
            </w14:solidFill>
          </w14:textFill>
        </w:rPr>
        <w:t>备注</w:t>
      </w:r>
      <w:r>
        <w:rPr>
          <w:rFonts w:hint="eastAsia"/>
          <w:i/>
          <w:color w:val="000000" w:themeColor="text1"/>
          <w:sz w:val="21"/>
          <w14:textFill>
            <w14:solidFill>
              <w14:schemeClr w14:val="tx1"/>
            </w14:solidFill>
          </w14:textFill>
        </w:rPr>
        <w:t>：根据《大鹏所城第一期第二阶段考古工作》中北城墙东段探孔平剖面图，城墙外约5米处为环壕，环壕宽度约1</w:t>
      </w:r>
      <w:r>
        <w:rPr>
          <w:i/>
          <w:color w:val="000000" w:themeColor="text1"/>
          <w:sz w:val="21"/>
          <w14:textFill>
            <w14:solidFill>
              <w14:schemeClr w14:val="tx1"/>
            </w14:solidFill>
          </w14:textFill>
        </w:rPr>
        <w:t>0米左右</w:t>
      </w:r>
      <w:r>
        <w:rPr>
          <w:rFonts w:hint="eastAsia"/>
          <w:i/>
          <w:color w:val="000000" w:themeColor="text1"/>
          <w:sz w:val="21"/>
          <w14:textFill>
            <w14:solidFill>
              <w14:schemeClr w14:val="tx1"/>
            </w14:solidFill>
          </w14:textFill>
        </w:rPr>
        <w:t>，</w:t>
      </w:r>
      <w:r>
        <w:rPr>
          <w:i/>
          <w:color w:val="000000" w:themeColor="text1"/>
          <w:sz w:val="21"/>
          <w14:textFill>
            <w14:solidFill>
              <w14:schemeClr w14:val="tx1"/>
            </w14:solidFill>
          </w14:textFill>
        </w:rPr>
        <w:t>考虑遗址安全性和完整性</w:t>
      </w:r>
      <w:r>
        <w:rPr>
          <w:rFonts w:hint="eastAsia"/>
          <w:i/>
          <w:color w:val="000000" w:themeColor="text1"/>
          <w:sz w:val="21"/>
          <w14:textFill>
            <w14:solidFill>
              <w14:schemeClr w14:val="tx1"/>
            </w14:solidFill>
          </w14:textFill>
        </w:rPr>
        <w:t>，</w:t>
      </w:r>
      <w:r>
        <w:rPr>
          <w:i/>
          <w:color w:val="000000" w:themeColor="text1"/>
          <w:sz w:val="21"/>
          <w14:textFill>
            <w14:solidFill>
              <w14:schemeClr w14:val="tx1"/>
            </w14:solidFill>
          </w14:textFill>
        </w:rPr>
        <w:t>规划沿城墙墙基外扩</w:t>
      </w:r>
      <w:r>
        <w:rPr>
          <w:rFonts w:hint="eastAsia"/>
          <w:i/>
          <w:color w:val="000000" w:themeColor="text1"/>
          <w:sz w:val="21"/>
          <w14:textFill>
            <w14:solidFill>
              <w14:schemeClr w14:val="tx1"/>
            </w14:solidFill>
          </w14:textFill>
        </w:rPr>
        <w:t>2</w:t>
      </w:r>
      <w:r>
        <w:rPr>
          <w:i/>
          <w:color w:val="000000" w:themeColor="text1"/>
          <w:sz w:val="21"/>
          <w14:textFill>
            <w14:solidFill>
              <w14:schemeClr w14:val="tx1"/>
            </w14:solidFill>
          </w14:textFill>
        </w:rPr>
        <w:t>0米</w:t>
      </w:r>
      <w:r>
        <w:rPr>
          <w:rFonts w:hint="eastAsia"/>
          <w:i/>
          <w:color w:val="000000" w:themeColor="text1"/>
          <w:sz w:val="21"/>
          <w14:textFill>
            <w14:solidFill>
              <w14:schemeClr w14:val="tx1"/>
            </w14:solidFill>
          </w14:textFill>
        </w:rPr>
        <w:t>作为保护范围的外边界，基本涵盖环壕遗存。</w:t>
      </w:r>
    </w:p>
    <w:p>
      <w:pPr>
        <w:numPr>
          <w:ilvl w:val="0"/>
          <w:numId w:val="25"/>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重要</w:t>
      </w:r>
      <w:r>
        <w:rPr>
          <w:b/>
          <w:color w:val="000000" w:themeColor="text1"/>
          <w14:textFill>
            <w14:solidFill>
              <w14:schemeClr w14:val="tx1"/>
            </w14:solidFill>
          </w14:textFill>
        </w:rPr>
        <w:t>建筑遗址保护范围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处建筑遗址范围为保护范围。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w:t>
      </w:r>
      <w:r>
        <w:rPr>
          <w:rFonts w:hint="eastAsia"/>
          <w:color w:val="000000" w:themeColor="text1"/>
          <w14:textFill>
            <w14:solidFill>
              <w14:schemeClr w14:val="tx1"/>
            </w14:solidFill>
          </w14:textFill>
        </w:rPr>
        <w:t>：0.36公顷。</w:t>
      </w:r>
    </w:p>
    <w:p>
      <w:pPr>
        <w:numPr>
          <w:ilvl w:val="0"/>
          <w:numId w:val="25"/>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历史街巷</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南门街、赖府巷、十字街、东城巷、东门街、长巷、戴屋巷、烟食巷、刘屋巷、李屋巷、将军第巷、红花巷、正街、西城巷、西城一巷、西城二巷、西城三巷、西城四巷、西城五巷的街巷范围为保护范围。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0.97</w:t>
      </w:r>
      <w:r>
        <w:rPr>
          <w:rFonts w:hint="eastAsia"/>
          <w:color w:val="000000" w:themeColor="text1"/>
          <w14:textFill>
            <w14:solidFill>
              <w14:schemeClr w14:val="tx1"/>
            </w14:solidFill>
          </w14:textFill>
        </w:rPr>
        <w:t>公顷。</w:t>
      </w:r>
    </w:p>
    <w:p>
      <w:pPr>
        <w:numPr>
          <w:ilvl w:val="0"/>
          <w:numId w:val="25"/>
        </w:numPr>
        <w:rPr>
          <w:b/>
          <w:color w:val="000000" w:themeColor="text1"/>
          <w14:textFill>
            <w14:solidFill>
              <w14:schemeClr w14:val="tx1"/>
            </w14:solidFill>
          </w14:textFill>
        </w:rPr>
      </w:pPr>
      <w:r>
        <w:rPr>
          <w:b/>
          <w:color w:val="000000" w:themeColor="text1"/>
          <w14:textFill>
            <w14:solidFill>
              <w14:schemeClr w14:val="tx1"/>
            </w14:solidFill>
          </w14:textFill>
        </w:rPr>
        <w:t>保护范围面积</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面积：7.2</w:t>
      </w:r>
      <w:r>
        <w:rPr>
          <w:rFonts w:hint="eastAsia"/>
          <w:color w:val="000000" w:themeColor="text1"/>
          <w14:textFill>
            <w14:solidFill>
              <w14:schemeClr w14:val="tx1"/>
            </w14:solidFill>
          </w14:textFill>
        </w:rPr>
        <w:t>1公顷。</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3、建设控制地带</w:t>
      </w:r>
    </w:p>
    <w:p>
      <w:pPr>
        <w:numPr>
          <w:ilvl w:val="0"/>
          <w:numId w:val="26"/>
        </w:numPr>
        <w:rPr>
          <w:b/>
          <w:color w:val="000000" w:themeColor="text1"/>
          <w14:textFill>
            <w14:solidFill>
              <w14:schemeClr w14:val="tx1"/>
            </w14:solidFill>
          </w14:textFill>
        </w:rPr>
      </w:pPr>
      <w:r>
        <w:rPr>
          <w:b/>
          <w:color w:val="000000" w:themeColor="text1"/>
          <w14:textFill>
            <w14:solidFill>
              <w14:schemeClr w14:val="tx1"/>
            </w14:solidFill>
          </w14:textFill>
        </w:rPr>
        <w:t>调整内容</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建设控制地带面积由原来的59.13公顷扩大至</w:t>
      </w:r>
      <w:r>
        <w:rPr>
          <w:color w:val="000000" w:themeColor="text1"/>
          <w14:textFill>
            <w14:solidFill>
              <w14:schemeClr w14:val="tx1"/>
            </w14:solidFill>
          </w14:textFill>
        </w:rPr>
        <w:t>92.41</w:t>
      </w:r>
      <w:r>
        <w:rPr>
          <w:rFonts w:hint="eastAsia"/>
          <w:color w:val="000000" w:themeColor="text1"/>
          <w14:textFill>
            <w14:solidFill>
              <w14:schemeClr w14:val="tx1"/>
            </w14:solidFill>
          </w14:textFill>
        </w:rPr>
        <w:t>公顷，其东边界、南边界和北边界基本与原建控边界基本相同，根据山石地形、2018海岸线以及规划道路划定，西边界根据鹏飞路和鹏坝路最新道路红线划定；</w:t>
      </w:r>
    </w:p>
    <w:p>
      <w:pPr>
        <w:numPr>
          <w:ilvl w:val="0"/>
          <w:numId w:val="2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一类建设控制地带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1）城内一类建设控制地带</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除所城内保护范围以</w:t>
      </w:r>
      <w:r>
        <w:rPr>
          <w:rFonts w:hint="eastAsia"/>
          <w:color w:val="000000" w:themeColor="text1"/>
          <w14:textFill>
            <w14:solidFill>
              <w14:schemeClr w14:val="tx1"/>
            </w14:solidFill>
          </w14:textFill>
        </w:rPr>
        <w:t>外</w:t>
      </w:r>
      <w:r>
        <w:rPr>
          <w:color w:val="000000" w:themeColor="text1"/>
          <w14:textFill>
            <w14:solidFill>
              <w14:schemeClr w14:val="tx1"/>
            </w14:solidFill>
          </w14:textFill>
        </w:rPr>
        <w:t>所有区域</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4.03</w:t>
      </w:r>
      <w:r>
        <w:rPr>
          <w:rFonts w:hint="eastAsia"/>
          <w:color w:val="000000" w:themeColor="text1"/>
          <w14:textFill>
            <w14:solidFill>
              <w14:schemeClr w14:val="tx1"/>
            </w14:solidFill>
          </w14:textFill>
        </w:rPr>
        <w:t>公顷。</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2）城外一类建设控制地带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——东至：所城南北轴线向东</w:t>
      </w:r>
      <w:r>
        <w:rPr>
          <w:color w:val="000000" w:themeColor="text1"/>
          <w14:textFill>
            <w14:solidFill>
              <w14:schemeClr w14:val="tx1"/>
            </w14:solidFill>
          </w14:textFill>
        </w:rPr>
        <w:t>100米处</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——南至：2018海岸线；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——西至：所城南北轴线向西8</w:t>
      </w:r>
      <w:r>
        <w:rPr>
          <w:color w:val="000000" w:themeColor="text1"/>
          <w14:textFill>
            <w14:solidFill>
              <w14:schemeClr w14:val="tx1"/>
            </w14:solidFill>
          </w14:textFill>
        </w:rPr>
        <w:t>0米处</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——北至：规划环路道路路缘线；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5.30</w:t>
      </w:r>
      <w:r>
        <w:rPr>
          <w:rFonts w:hint="eastAsia"/>
          <w:color w:val="000000" w:themeColor="text1"/>
          <w14:textFill>
            <w14:solidFill>
              <w14:schemeClr w14:val="tx1"/>
            </w14:solidFill>
          </w14:textFill>
        </w:rPr>
        <w:t>公顷。</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3）面积：</w:t>
      </w:r>
      <w:r>
        <w:rPr>
          <w:color w:val="000000" w:themeColor="text1"/>
          <w14:textFill>
            <w14:solidFill>
              <w14:schemeClr w14:val="tx1"/>
            </w14:solidFill>
          </w14:textFill>
        </w:rPr>
        <w:t>9.33公顷</w:t>
      </w:r>
      <w:r>
        <w:rPr>
          <w:rFonts w:hint="eastAsia"/>
          <w:color w:val="000000" w:themeColor="text1"/>
          <w14:textFill>
            <w14:solidFill>
              <w14:schemeClr w14:val="tx1"/>
            </w14:solidFill>
          </w14:textFill>
        </w:rPr>
        <w:t>。</w:t>
      </w:r>
    </w:p>
    <w:p>
      <w:pPr>
        <w:numPr>
          <w:ilvl w:val="0"/>
          <w:numId w:val="2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二类建设控制地带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——东至：东至东山山脊线与规划道路的连接线，即东门楼外约60</w:t>
      </w:r>
      <w:r>
        <w:rPr>
          <w:color w:val="000000" w:themeColor="text1"/>
          <w14:textFill>
            <w14:solidFill>
              <w14:schemeClr w14:val="tx1"/>
            </w14:solidFill>
          </w14:textFill>
        </w:rPr>
        <w:t>0米处</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——南至：2018海岸线；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——西至：规划一号路路道路红线；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——北至：规划城北路十号路道路红线；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64.60</w:t>
      </w:r>
      <w:r>
        <w:rPr>
          <w:rFonts w:hint="eastAsia"/>
          <w:color w:val="000000" w:themeColor="text1"/>
          <w14:textFill>
            <w14:solidFill>
              <w14:schemeClr w14:val="tx1"/>
            </w14:solidFill>
          </w14:textFill>
        </w:rPr>
        <w:t>公顷。</w:t>
      </w:r>
      <w:r>
        <w:rPr>
          <w:color w:val="000000" w:themeColor="text1"/>
          <w14:textFill>
            <w14:solidFill>
              <w14:schemeClr w14:val="tx1"/>
            </w14:solidFill>
          </w14:textFill>
        </w:rPr>
        <w:t xml:space="preserve"> </w:t>
      </w:r>
    </w:p>
    <w:p>
      <w:pPr>
        <w:numPr>
          <w:ilvl w:val="0"/>
          <w:numId w:val="2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三类建设控制地带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——东至：规划一号楼道路红线；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——南至：2018海岸线；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——西至：鹏飞路道路红线；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——北至：规划 城北路十号路红线；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18.48</w:t>
      </w:r>
      <w:r>
        <w:rPr>
          <w:rFonts w:hint="eastAsia"/>
          <w:color w:val="000000" w:themeColor="text1"/>
          <w14:textFill>
            <w14:solidFill>
              <w14:schemeClr w14:val="tx1"/>
            </w14:solidFill>
          </w14:textFill>
        </w:rPr>
        <w:t>公顷。</w:t>
      </w:r>
    </w:p>
    <w:p>
      <w:pPr>
        <w:numPr>
          <w:ilvl w:val="0"/>
          <w:numId w:val="2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建设控制地带面积共计：</w:t>
      </w:r>
      <w:r>
        <w:rPr>
          <w:b/>
          <w:color w:val="000000" w:themeColor="text1"/>
          <w14:textFill>
            <w14:solidFill>
              <w14:schemeClr w14:val="tx1"/>
            </w14:solidFill>
          </w14:textFill>
        </w:rPr>
        <w:t>92.41</w:t>
      </w:r>
      <w:r>
        <w:rPr>
          <w:rFonts w:hint="eastAsia"/>
          <w:b/>
          <w:color w:val="000000" w:themeColor="text1"/>
          <w14:textFill>
            <w14:solidFill>
              <w14:schemeClr w14:val="tx1"/>
            </w14:solidFill>
          </w14:textFill>
        </w:rPr>
        <w:t>公顷。</w:t>
      </w:r>
    </w:p>
    <w:p>
      <w:pPr>
        <w:rPr>
          <w:b/>
          <w:color w:val="000000" w:themeColor="text1"/>
          <w14:textFill>
            <w14:solidFill>
              <w14:schemeClr w14:val="tx1"/>
            </w14:solidFill>
          </w14:textFill>
        </w:rPr>
      </w:pPr>
    </w:p>
    <w:p>
      <w:pPr>
        <w:rPr>
          <w:b/>
          <w:color w:val="000000" w:themeColor="text1"/>
          <w14:textFill>
            <w14:solidFill>
              <w14:schemeClr w14:val="tx1"/>
            </w14:solidFill>
          </w14:textFill>
        </w:rPr>
      </w:pPr>
    </w:p>
    <w:p>
      <w:pPr>
        <w:rPr>
          <w:b/>
          <w:color w:val="000000" w:themeColor="text1"/>
          <w14:textFill>
            <w14:solidFill>
              <w14:schemeClr w14:val="tx1"/>
            </w14:solidFill>
          </w14:textFill>
        </w:rPr>
      </w:pPr>
    </w:p>
    <w:p>
      <w:pPr>
        <w:rPr>
          <w:b/>
          <w:color w:val="000000" w:themeColor="text1"/>
          <w14:textFill>
            <w14:solidFill>
              <w14:schemeClr w14:val="tx1"/>
            </w14:solidFill>
          </w14:textFill>
        </w:rPr>
      </w:pPr>
    </w:p>
    <w:p>
      <w:pPr>
        <w:pStyle w:val="4"/>
        <w:numPr>
          <w:ilvl w:val="0"/>
          <w:numId w:val="24"/>
        </w:numPr>
        <w:spacing w:before="163" w:after="163"/>
        <w:rPr>
          <w:color w:val="000000" w:themeColor="text1"/>
          <w:lang w:eastAsia="zh-CN"/>
          <w14:textFill>
            <w14:solidFill>
              <w14:schemeClr w14:val="tx1"/>
            </w14:solidFill>
          </w14:textFill>
        </w:rPr>
      </w:pPr>
      <w:bookmarkStart w:id="152" w:name="_Toc394066613"/>
      <w:bookmarkEnd w:id="152"/>
      <w:bookmarkStart w:id="153" w:name="_Toc75013320"/>
      <w:bookmarkStart w:id="154" w:name="_Toc373500810"/>
      <w:bookmarkStart w:id="155" w:name="_Hlk10540512"/>
      <w:r>
        <w:rPr>
          <w:rFonts w:hint="eastAsia"/>
          <w:color w:val="000000" w:themeColor="text1"/>
          <w:lang w:eastAsia="zh-CN"/>
          <w14:textFill>
            <w14:solidFill>
              <w14:schemeClr w14:val="tx1"/>
            </w14:solidFill>
          </w14:textFill>
        </w:rPr>
        <w:t>管理规定</w:t>
      </w:r>
      <w:bookmarkEnd w:id="153"/>
      <w:bookmarkEnd w:id="154"/>
    </w:p>
    <w:p>
      <w:pPr>
        <w:pStyle w:val="5"/>
        <w:rPr>
          <w:color w:val="000000" w:themeColor="text1"/>
          <w14:textFill>
            <w14:solidFill>
              <w14:schemeClr w14:val="tx1"/>
            </w14:solidFill>
          </w14:textFill>
        </w:rPr>
      </w:pPr>
      <w:bookmarkStart w:id="156" w:name="_Toc75013321"/>
      <w:r>
        <w:rPr>
          <w:rFonts w:hint="eastAsia"/>
          <w:color w:val="000000" w:themeColor="text1"/>
          <w14:textFill>
            <w14:solidFill>
              <w14:schemeClr w14:val="tx1"/>
            </w14:solidFill>
          </w14:textFill>
        </w:rPr>
        <w:t>保护区划统一管理规定</w:t>
      </w:r>
      <w:bookmarkEnd w:id="156"/>
    </w:p>
    <w:p>
      <w:pPr>
        <w:numPr>
          <w:ilvl w:val="0"/>
          <w:numId w:val="27"/>
        </w:numPr>
        <w:rPr>
          <w:color w:val="000000" w:themeColor="text1"/>
          <w14:textFill>
            <w14:solidFill>
              <w14:schemeClr w14:val="tx1"/>
            </w14:solidFill>
          </w14:textFill>
        </w:rPr>
      </w:pPr>
      <w:r>
        <w:rPr>
          <w:rFonts w:hint="eastAsia"/>
          <w:color w:val="000000" w:themeColor="text1"/>
          <w14:textFill>
            <w14:solidFill>
              <w14:schemeClr w14:val="tx1"/>
            </w14:solidFill>
          </w14:textFill>
        </w:rPr>
        <w:t>本规划划定的保护范围与建设控制地带按照《中华人民共和国文物保护法》及相关法律、法规、文件执行管理，具体要求须结合遗址的实际保存情况和保护管理要求制定。</w:t>
      </w:r>
    </w:p>
    <w:p>
      <w:pPr>
        <w:numPr>
          <w:ilvl w:val="0"/>
          <w:numId w:val="27"/>
        </w:numPr>
        <w:rPr>
          <w:color w:val="000000" w:themeColor="text1"/>
          <w14:textFill>
            <w14:solidFill>
              <w14:schemeClr w14:val="tx1"/>
            </w14:solidFill>
          </w14:textFill>
        </w:rPr>
      </w:pPr>
      <w:r>
        <w:rPr>
          <w:rFonts w:hint="eastAsia"/>
          <w:color w:val="000000" w:themeColor="text1"/>
          <w14:textFill>
            <w14:solidFill>
              <w14:schemeClr w14:val="tx1"/>
            </w14:solidFill>
          </w14:textFill>
        </w:rPr>
        <w:t>本规划经批准后，有关保护区划、管理规定和主要保护措施应作为强制性内容纳入《深圳市城市总体规划》和其他相关规划中。</w:t>
      </w:r>
    </w:p>
    <w:p>
      <w:pPr>
        <w:numPr>
          <w:ilvl w:val="0"/>
          <w:numId w:val="27"/>
        </w:numPr>
        <w:rPr>
          <w:color w:val="000000" w:themeColor="text1"/>
          <w14:textFill>
            <w14:solidFill>
              <w14:schemeClr w14:val="tx1"/>
            </w14:solidFill>
          </w14:textFill>
        </w:rPr>
      </w:pPr>
      <w:r>
        <w:rPr>
          <w:color w:val="000000" w:themeColor="text1"/>
          <w14:textFill>
            <w14:solidFill>
              <w14:schemeClr w14:val="tx1"/>
            </w14:solidFill>
          </w14:textFill>
        </w:rPr>
        <w:t>本规划经批准后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有关保护区划</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管理规定等强制性内容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如需变更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必须按照</w:t>
      </w:r>
      <w:r>
        <w:rPr>
          <w:rFonts w:hint="eastAsia"/>
          <w:color w:val="000000" w:themeColor="text1"/>
          <w14:textFill>
            <w14:solidFill>
              <w14:schemeClr w14:val="tx1"/>
            </w14:solidFill>
          </w14:textFill>
        </w:rPr>
        <w:t>《全国重点文物保护单位保护编制审批办法》的规定程序办理。</w:t>
      </w:r>
    </w:p>
    <w:p>
      <w:pPr>
        <w:numPr>
          <w:ilvl w:val="0"/>
          <w:numId w:val="27"/>
        </w:numPr>
        <w:rPr>
          <w:color w:val="000000" w:themeColor="text1"/>
          <w14:textFill>
            <w14:solidFill>
              <w14:schemeClr w14:val="tx1"/>
            </w14:solidFill>
          </w14:textFill>
        </w:rPr>
      </w:pPr>
      <w:r>
        <w:rPr>
          <w:rFonts w:hint="eastAsia"/>
          <w:color w:val="000000" w:themeColor="text1"/>
          <w14:textFill>
            <w14:solidFill>
              <w14:schemeClr w14:val="tx1"/>
            </w14:solidFill>
          </w14:textFill>
        </w:rPr>
        <w:t>保护范围和建设控制地带内的考古发掘、保护工程、建设工程等项目必须遵守《中华人民共和国文物保护法》等有关法规的规定，并按法定程序办理报批审定手续。</w:t>
      </w:r>
    </w:p>
    <w:p>
      <w:pPr>
        <w:numPr>
          <w:ilvl w:val="0"/>
          <w:numId w:val="27"/>
        </w:numPr>
        <w:rPr>
          <w:color w:val="000000" w:themeColor="text1"/>
          <w14:textFill>
            <w14:solidFill>
              <w14:schemeClr w14:val="tx1"/>
            </w14:solidFill>
          </w14:textFill>
        </w:rPr>
      </w:pPr>
      <w:r>
        <w:rPr>
          <w:rFonts w:hint="eastAsia"/>
          <w:color w:val="000000" w:themeColor="text1"/>
          <w14:textFill>
            <w14:solidFill>
              <w14:schemeClr w14:val="tx1"/>
            </w14:solidFill>
          </w14:textFill>
        </w:rPr>
        <w:t>在文物保护单位的保护范围和建设控制地带内，不得建设污染文物保护单位及其环境的设施，不得进行可能影响文物保护单位安全及其环境的活动。对已有的污染文物保护单位及其环境的设施，应当限期治理。</w:t>
      </w:r>
    </w:p>
    <w:p>
      <w:pPr>
        <w:numPr>
          <w:ilvl w:val="0"/>
          <w:numId w:val="27"/>
        </w:numPr>
        <w:rPr>
          <w:color w:val="000000" w:themeColor="text1"/>
          <w14:textFill>
            <w14:solidFill>
              <w14:schemeClr w14:val="tx1"/>
            </w14:solidFill>
          </w14:textFill>
        </w:rPr>
      </w:pPr>
      <w:r>
        <w:rPr>
          <w:rFonts w:hint="eastAsia"/>
          <w:color w:val="000000" w:themeColor="text1"/>
          <w14:textFill>
            <w14:solidFill>
              <w14:schemeClr w14:val="tx1"/>
            </w14:solidFill>
          </w14:textFill>
        </w:rPr>
        <w:t>本区划内涉及的展示利用应以宣传大鹏所城文化以及明清海防文化为主，不宜过度商业化，并鼓励原住民参与。</w:t>
      </w:r>
    </w:p>
    <w:p>
      <w:pPr>
        <w:numPr>
          <w:ilvl w:val="0"/>
          <w:numId w:val="27"/>
        </w:numPr>
        <w:rPr>
          <w:color w:val="000000" w:themeColor="text1"/>
          <w14:textFill>
            <w14:solidFill>
              <w14:schemeClr w14:val="tx1"/>
            </w14:solidFill>
          </w14:textFill>
        </w:rPr>
      </w:pPr>
      <w:r>
        <w:rPr>
          <w:color w:val="000000" w:themeColor="text1"/>
          <w14:textFill>
            <w14:solidFill>
              <w14:schemeClr w14:val="tx1"/>
            </w14:solidFill>
          </w14:textFill>
        </w:rPr>
        <w:t>本区划内涉及的河道要遵循</w:t>
      </w:r>
      <w:r>
        <w:rPr>
          <w:rFonts w:hint="eastAsia"/>
          <w:color w:val="000000" w:themeColor="text1"/>
          <w14:textFill>
            <w14:solidFill>
              <w14:schemeClr w14:val="tx1"/>
            </w14:solidFill>
          </w14:textFill>
        </w:rPr>
        <w:t>《中华人民共和国河道管理条例》的相关规定和要求，禁止改变河道的总体走向、宽度，尽可能维护河道的形态，以及与所城的位置关系；保证水体水质，禁止向河道内直接排污，应对污水进行处理净化，达标后，再进行排放。</w:t>
      </w:r>
    </w:p>
    <w:p>
      <w:pPr>
        <w:numPr>
          <w:ilvl w:val="0"/>
          <w:numId w:val="27"/>
        </w:numPr>
        <w:rPr>
          <w:color w:val="000000" w:themeColor="text1"/>
          <w14:textFill>
            <w14:solidFill>
              <w14:schemeClr w14:val="tx1"/>
            </w14:solidFill>
          </w14:textFill>
        </w:rPr>
      </w:pPr>
      <w:r>
        <w:rPr>
          <w:color w:val="000000" w:themeColor="text1"/>
          <w14:textFill>
            <w14:solidFill>
              <w14:schemeClr w14:val="tx1"/>
            </w14:solidFill>
          </w14:textFill>
        </w:rPr>
        <w:t>本区域内</w:t>
      </w:r>
      <w:r>
        <w:rPr>
          <w:rFonts w:hint="eastAsia"/>
          <w:color w:val="000000" w:themeColor="text1"/>
          <w14:textFill>
            <w14:solidFill>
              <w14:schemeClr w14:val="tx1"/>
            </w14:solidFill>
          </w14:textFill>
        </w:rPr>
        <w:t>涉及</w:t>
      </w:r>
      <w:r>
        <w:rPr>
          <w:color w:val="000000" w:themeColor="text1"/>
          <w14:textFill>
            <w14:solidFill>
              <w14:schemeClr w14:val="tx1"/>
            </w14:solidFill>
          </w14:textFill>
        </w:rPr>
        <w:t>市政工程管线的建设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工程施工前应先进行考古勘探</w:t>
      </w:r>
      <w:r>
        <w:rPr>
          <w:rFonts w:hint="eastAsia"/>
          <w:color w:val="000000" w:themeColor="text1"/>
          <w14:textFill>
            <w14:solidFill>
              <w14:schemeClr w14:val="tx1"/>
            </w14:solidFill>
          </w14:textFill>
        </w:rPr>
        <w:t>，对于发现遗存，工程管线要进行有效的避让和保护，禁止破坏文化层。</w:t>
      </w:r>
    </w:p>
    <w:p>
      <w:pPr>
        <w:numPr>
          <w:ilvl w:val="0"/>
          <w:numId w:val="27"/>
        </w:numPr>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区划</w:t>
      </w:r>
      <w:r>
        <w:rPr>
          <w:color w:val="000000" w:themeColor="text1"/>
          <w14:textFill>
            <w14:solidFill>
              <w14:schemeClr w14:val="tx1"/>
            </w14:solidFill>
          </w14:textFill>
        </w:rPr>
        <w:t>内的</w:t>
      </w:r>
      <w:r>
        <w:rPr>
          <w:rFonts w:hint="eastAsia"/>
          <w:color w:val="000000" w:themeColor="text1"/>
          <w14:textFill>
            <w14:solidFill>
              <w14:schemeClr w14:val="tx1"/>
            </w14:solidFill>
          </w14:textFill>
        </w:rPr>
        <w:t>建设活动，</w:t>
      </w:r>
      <w:r>
        <w:rPr>
          <w:color w:val="000000" w:themeColor="text1"/>
          <w14:textFill>
            <w14:solidFill>
              <w14:schemeClr w14:val="tx1"/>
            </w14:solidFill>
          </w14:textFill>
        </w:rPr>
        <w:t>除遵守本规划管理规定的要求外</w:t>
      </w:r>
      <w:r>
        <w:rPr>
          <w:rFonts w:hint="eastAsia"/>
          <w:color w:val="000000" w:themeColor="text1"/>
          <w14:textFill>
            <w14:solidFill>
              <w14:schemeClr w14:val="tx1"/>
            </w14:solidFill>
          </w14:textFill>
        </w:rPr>
        <w:t>，还应</w:t>
      </w:r>
      <w:r>
        <w:rPr>
          <w:color w:val="000000" w:themeColor="text1"/>
          <w14:textFill>
            <w14:solidFill>
              <w14:schemeClr w14:val="tx1"/>
            </w14:solidFill>
          </w14:textFill>
        </w:rPr>
        <w:t>遵守</w:t>
      </w:r>
      <w:r>
        <w:rPr>
          <w:rFonts w:hint="eastAsia"/>
          <w:color w:val="000000" w:themeColor="text1"/>
          <w14:textFill>
            <w14:solidFill>
              <w14:schemeClr w14:val="tx1"/>
            </w14:solidFill>
          </w14:textFill>
        </w:rPr>
        <w:t>《历史文化名城名镇名村的保护管理条例》的相关要求，并以较严格的为准执行。</w:t>
      </w:r>
    </w:p>
    <w:p>
      <w:pPr>
        <w:pStyle w:val="5"/>
        <w:rPr>
          <w:color w:val="000000" w:themeColor="text1"/>
          <w14:textFill>
            <w14:solidFill>
              <w14:schemeClr w14:val="tx1"/>
            </w14:solidFill>
          </w14:textFill>
        </w:rPr>
      </w:pPr>
      <w:bookmarkStart w:id="157" w:name="_Toc75013322"/>
      <w:r>
        <w:rPr>
          <w:color w:val="000000" w:themeColor="text1"/>
          <w14:textFill>
            <w14:solidFill>
              <w14:schemeClr w14:val="tx1"/>
            </w14:solidFill>
          </w14:textFill>
        </w:rPr>
        <w:t>保护范围管理规定</w:t>
      </w:r>
      <w:bookmarkEnd w:id="157"/>
    </w:p>
    <w:p>
      <w:pPr>
        <w:numPr>
          <w:ilvl w:val="0"/>
          <w:numId w:val="28"/>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保护范围内为禁止建设区，禁止进行地下室的开挖，不得进行与文物保护无关的建设工程或者爆破、钻探、挖掘等作业。因特殊情况需要进行其他建设工程或者爆破、钻探、发掘等作业的，必须在充分保障全国重点文物建筑安全的前提下，按法定程序报批。 </w:t>
      </w:r>
    </w:p>
    <w:p>
      <w:pPr>
        <w:numPr>
          <w:ilvl w:val="0"/>
          <w:numId w:val="28"/>
        </w:numPr>
        <w:rPr>
          <w:color w:val="000000" w:themeColor="text1"/>
          <w14:textFill>
            <w14:solidFill>
              <w14:schemeClr w14:val="tx1"/>
            </w14:solidFill>
          </w14:textFill>
        </w:rPr>
      </w:pPr>
      <w:r>
        <w:rPr>
          <w:color w:val="000000" w:themeColor="text1"/>
          <w14:textFill>
            <w14:solidFill>
              <w14:schemeClr w14:val="tx1"/>
            </w14:solidFill>
          </w14:textFill>
        </w:rPr>
        <w:t>对于本范围内的非文物建筑在保障原住民居住使用的前提下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鼓励活化利用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可以根据所城整体展示的需要进行合理的功能调整</w:t>
      </w:r>
      <w:r>
        <w:rPr>
          <w:rFonts w:hint="eastAsia"/>
          <w:color w:val="000000" w:themeColor="text1"/>
          <w14:textFill>
            <w14:solidFill>
              <w14:schemeClr w14:val="tx1"/>
            </w14:solidFill>
          </w14:textFill>
        </w:rPr>
        <w:t>。</w:t>
      </w:r>
    </w:p>
    <w:p>
      <w:pPr>
        <w:numPr>
          <w:ilvl w:val="0"/>
          <w:numId w:val="28"/>
        </w:numPr>
        <w:rPr>
          <w:color w:val="000000" w:themeColor="text1"/>
          <w14:textFill>
            <w14:solidFill>
              <w14:schemeClr w14:val="tx1"/>
            </w14:solidFill>
          </w14:textFill>
        </w:rPr>
      </w:pPr>
      <w:r>
        <w:rPr>
          <w:rFonts w:hint="eastAsia"/>
          <w:color w:val="000000" w:themeColor="text1"/>
          <w14:textFill>
            <w14:solidFill>
              <w14:schemeClr w14:val="tx1"/>
            </w14:solidFill>
          </w14:textFill>
        </w:rPr>
        <w:t>保护范围内的21处全国重点文物建筑，禁止改建和扩建；在修缮和整治时，应采用原材料、原工艺，严禁改变建筑外观、形制、内部主要结构和装饰；严格保护文物建筑所在院落，原则上不得对院落的边界、出入口、院墙形式进行更改。</w:t>
      </w:r>
    </w:p>
    <w:p>
      <w:pPr>
        <w:numPr>
          <w:ilvl w:val="0"/>
          <w:numId w:val="28"/>
        </w:numPr>
        <w:rPr>
          <w:color w:val="000000" w:themeColor="text1"/>
          <w14:textFill>
            <w14:solidFill>
              <w14:schemeClr w14:val="tx1"/>
            </w14:solidFill>
          </w14:textFill>
        </w:rPr>
      </w:pPr>
      <w:r>
        <w:rPr>
          <w:rFonts w:hint="eastAsia"/>
          <w:color w:val="000000" w:themeColor="text1"/>
          <w14:textFill>
            <w14:solidFill>
              <w14:schemeClr w14:val="tx1"/>
            </w14:solidFill>
          </w14:textFill>
        </w:rPr>
        <w:t>城墙和城壕的展示应以原状展示、模拟展示、标识展示为主，禁止对城墙遗址进行大规模复建，仅允许在有充分考古依据的前提下，进行局部复原展示工程，控制保护、展示性建构筑物总高度不得超过6米。占压城墙的非文物建筑应逐步拆除。</w:t>
      </w:r>
    </w:p>
    <w:p>
      <w:pPr>
        <w:numPr>
          <w:ilvl w:val="0"/>
          <w:numId w:val="28"/>
        </w:numPr>
        <w:rPr>
          <w:color w:val="000000" w:themeColor="text1"/>
          <w14:textFill>
            <w14:solidFill>
              <w14:schemeClr w14:val="tx1"/>
            </w14:solidFill>
          </w14:textFill>
        </w:rPr>
      </w:pPr>
      <w:r>
        <w:rPr>
          <w:rFonts w:hint="eastAsia"/>
          <w:color w:val="000000" w:themeColor="text1"/>
          <w14:textFill>
            <w14:solidFill>
              <w14:schemeClr w14:val="tx1"/>
            </w14:solidFill>
          </w14:textFill>
        </w:rPr>
        <w:t>对于保护范围内的7</w:t>
      </w:r>
      <w:r>
        <w:rPr>
          <w:color w:val="000000" w:themeColor="text1"/>
          <w14:textFill>
            <w14:solidFill>
              <w14:schemeClr w14:val="tx1"/>
            </w14:solidFill>
          </w14:textFill>
        </w:rPr>
        <w:t>3处未定级不可移动文物建筑和非文物建筑</w:t>
      </w:r>
      <w:r>
        <w:rPr>
          <w:rFonts w:hint="eastAsia"/>
          <w:color w:val="000000" w:themeColor="text1"/>
          <w14:textFill>
            <w14:solidFill>
              <w14:schemeClr w14:val="tx1"/>
            </w14:solidFill>
          </w14:textFill>
        </w:rPr>
        <w:t>，禁止进行加建和扩建，应通过制定保护导则指导其修缮整治与适应性改造，满足导则要求的改造工程方可报批；改造应尽量采用原材料、原工艺，与建筑原外观、色彩、形制保持和谐，可进行合理的功能调整，但禁止用于工业生产等用途。</w:t>
      </w:r>
    </w:p>
    <w:p>
      <w:pPr>
        <w:pStyle w:val="118"/>
        <w:numPr>
          <w:ilvl w:val="0"/>
          <w:numId w:val="28"/>
        </w:numPr>
        <w:ind w:firstLineChars="0"/>
        <w:rPr>
          <w:color w:val="000000" w:themeColor="text1"/>
          <w14:textFill>
            <w14:solidFill>
              <w14:schemeClr w14:val="tx1"/>
            </w14:solidFill>
          </w14:textFill>
        </w:rPr>
      </w:pPr>
      <w:r>
        <w:rPr>
          <w:color w:val="000000" w:themeColor="text1"/>
          <w14:textFill>
            <w14:solidFill>
              <w14:schemeClr w14:val="tx1"/>
            </w14:solidFill>
          </w14:textFill>
        </w:rPr>
        <w:t>严格保护</w:t>
      </w:r>
      <w:r>
        <w:rPr>
          <w:rFonts w:hint="eastAsia"/>
          <w:color w:val="000000" w:themeColor="text1"/>
          <w14:textFill>
            <w14:solidFill>
              <w14:schemeClr w14:val="tx1"/>
            </w14:solidFill>
          </w14:textFill>
        </w:rPr>
        <w:t>所城内历史街巷，包括其走向、尺度、材质、视线通廊等，禁止在道路上搭建构筑物和扩建道路，恢复历史街巷天际轮廓；</w:t>
      </w:r>
      <w:r>
        <w:rPr>
          <w:rFonts w:hint="eastAsia" w:cs="宋体" w:asciiTheme="minorEastAsia" w:hAnsiTheme="minorEastAsia"/>
          <w:color w:val="000000" w:themeColor="text1"/>
          <w:kern w:val="0"/>
          <w:szCs w:val="21"/>
          <w14:textFill>
            <w14:solidFill>
              <w14:schemeClr w14:val="tx1"/>
            </w14:solidFill>
          </w14:textFill>
        </w:rPr>
        <w:t>整治街巷两旁建筑的沿街立面，凸显街巷原状和传统附属功能</w:t>
      </w:r>
      <w:r>
        <w:rPr>
          <w:rFonts w:hint="eastAsia"/>
          <w:color w:val="000000" w:themeColor="text1"/>
          <w14:textFill>
            <w14:solidFill>
              <w14:schemeClr w14:val="tx1"/>
            </w14:solidFill>
          </w14:textFill>
        </w:rPr>
        <w:t>。</w:t>
      </w:r>
    </w:p>
    <w:p>
      <w:pPr>
        <w:pStyle w:val="5"/>
        <w:rPr>
          <w:color w:val="000000" w:themeColor="text1"/>
          <w14:textFill>
            <w14:solidFill>
              <w14:schemeClr w14:val="tx1"/>
            </w14:solidFill>
          </w14:textFill>
        </w:rPr>
      </w:pPr>
      <w:bookmarkStart w:id="158" w:name="_Toc75013323"/>
      <w:r>
        <w:rPr>
          <w:rFonts w:hint="eastAsia"/>
          <w:color w:val="000000" w:themeColor="text1"/>
          <w14:textFill>
            <w14:solidFill>
              <w14:schemeClr w14:val="tx1"/>
            </w14:solidFill>
          </w14:textFill>
        </w:rPr>
        <w:t>建设控制地带管理规定</w:t>
      </w:r>
      <w:bookmarkEnd w:id="158"/>
    </w:p>
    <w:p>
      <w:pPr>
        <w:numPr>
          <w:ilvl w:val="0"/>
          <w:numId w:val="29"/>
        </w:numPr>
        <w:rPr>
          <w:b/>
          <w:color w:val="000000" w:themeColor="text1"/>
          <w14:textFill>
            <w14:solidFill>
              <w14:schemeClr w14:val="tx1"/>
            </w14:solidFill>
          </w14:textFill>
        </w:rPr>
      </w:pPr>
      <w:r>
        <w:rPr>
          <w:b/>
          <w:color w:val="000000" w:themeColor="text1"/>
          <w14:textFill>
            <w14:solidFill>
              <w14:schemeClr w14:val="tx1"/>
            </w14:solidFill>
          </w14:textFill>
        </w:rPr>
        <w:t>建设控制地带管理通则</w:t>
      </w:r>
    </w:p>
    <w:p>
      <w:pPr>
        <w:numPr>
          <w:ilvl w:val="0"/>
          <w:numId w:val="30"/>
        </w:numPr>
        <w:rPr>
          <w:color w:val="000000" w:themeColor="text1"/>
          <w14:textFill>
            <w14:solidFill>
              <w14:schemeClr w14:val="tx1"/>
            </w14:solidFill>
          </w14:textFill>
        </w:rPr>
      </w:pPr>
      <w:r>
        <w:rPr>
          <w:color w:val="000000" w:themeColor="text1"/>
          <w14:textFill>
            <w14:solidFill>
              <w14:schemeClr w14:val="tx1"/>
            </w14:solidFill>
          </w14:textFill>
        </w:rPr>
        <w:t>本区域内不得建设污染所城及其环境的设施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对已造成危及文物安全及影响环境的设施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应当限期治理</w:t>
      </w:r>
      <w:r>
        <w:rPr>
          <w:rFonts w:hint="eastAsia"/>
          <w:color w:val="000000" w:themeColor="text1"/>
          <w14:textFill>
            <w14:solidFill>
              <w14:schemeClr w14:val="tx1"/>
            </w14:solidFill>
          </w14:textFill>
        </w:rPr>
        <w:t>。</w:t>
      </w:r>
    </w:p>
    <w:p>
      <w:pPr>
        <w:numPr>
          <w:ilvl w:val="0"/>
          <w:numId w:val="30"/>
        </w:numPr>
        <w:rPr>
          <w:color w:val="000000" w:themeColor="text1"/>
          <w14:textFill>
            <w14:solidFill>
              <w14:schemeClr w14:val="tx1"/>
            </w14:solidFill>
          </w14:textFill>
        </w:rPr>
      </w:pPr>
      <w:r>
        <w:rPr>
          <w:color w:val="000000" w:themeColor="text1"/>
          <w14:textFill>
            <w14:solidFill>
              <w14:schemeClr w14:val="tx1"/>
            </w14:solidFill>
          </w14:textFill>
        </w:rPr>
        <w:t>本区域内不得进行任何有损大鹏所城景观</w:t>
      </w:r>
      <w:r>
        <w:rPr>
          <w:rFonts w:hint="eastAsia"/>
          <w:color w:val="000000" w:themeColor="text1"/>
          <w14:textFill>
            <w14:solidFill>
              <w14:schemeClr w14:val="tx1"/>
            </w14:solidFill>
          </w14:textFill>
        </w:rPr>
        <w:t>协调</w:t>
      </w:r>
      <w:r>
        <w:rPr>
          <w:color w:val="000000" w:themeColor="text1"/>
          <w14:textFill>
            <w14:solidFill>
              <w14:schemeClr w14:val="tx1"/>
            </w14:solidFill>
          </w14:textFill>
        </w:rPr>
        <w:t>性的建设活动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不得建设大型旅游和娱乐设施</w:t>
      </w:r>
      <w:r>
        <w:rPr>
          <w:rFonts w:hint="eastAsia"/>
          <w:color w:val="000000" w:themeColor="text1"/>
          <w14:textFill>
            <w14:solidFill>
              <w14:schemeClr w14:val="tx1"/>
            </w14:solidFill>
          </w14:textFill>
        </w:rPr>
        <w:t>。</w:t>
      </w:r>
    </w:p>
    <w:p>
      <w:pPr>
        <w:numPr>
          <w:ilvl w:val="0"/>
          <w:numId w:val="30"/>
        </w:numPr>
        <w:rPr>
          <w:color w:val="000000" w:themeColor="text1"/>
          <w14:textFill>
            <w14:solidFill>
              <w14:schemeClr w14:val="tx1"/>
            </w14:solidFill>
          </w14:textFill>
        </w:rPr>
      </w:pPr>
      <w:r>
        <w:rPr>
          <w:color w:val="000000" w:themeColor="text1"/>
          <w14:textFill>
            <w14:solidFill>
              <w14:schemeClr w14:val="tx1"/>
            </w14:solidFill>
          </w14:textFill>
        </w:rPr>
        <w:t>本区域内涉及建构筑物的新建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扩建及必要性基础设施的建设工程</w:t>
      </w:r>
      <w:r>
        <w:rPr>
          <w:rFonts w:hint="eastAsia"/>
          <w:color w:val="000000" w:themeColor="text1"/>
          <w14:textFill>
            <w14:solidFill>
              <w14:schemeClr w14:val="tx1"/>
            </w14:solidFill>
          </w14:textFill>
        </w:rPr>
        <w:t>，不得破坏大鹏所城历史环境的整体性与和谐性；</w:t>
      </w:r>
      <w:r>
        <w:rPr>
          <w:color w:val="000000" w:themeColor="text1"/>
          <w14:textFill>
            <w14:solidFill>
              <w14:schemeClr w14:val="tx1"/>
            </w14:solidFill>
          </w14:textFill>
        </w:rPr>
        <w:t>工程设计方案需征得国家文物局同意后</w:t>
      </w:r>
      <w:r>
        <w:rPr>
          <w:rFonts w:hint="eastAsia"/>
          <w:color w:val="000000" w:themeColor="text1"/>
          <w14:textFill>
            <w14:solidFill>
              <w14:schemeClr w14:val="tx1"/>
            </w14:solidFill>
          </w14:textFill>
        </w:rPr>
        <w:t>，报</w:t>
      </w:r>
      <w:r>
        <w:rPr>
          <w:color w:val="000000" w:themeColor="text1"/>
          <w14:textFill>
            <w14:solidFill>
              <w14:schemeClr w14:val="tx1"/>
            </w14:solidFill>
          </w14:textFill>
        </w:rPr>
        <w:t>当地城乡建设部门批准</w:t>
      </w:r>
      <w:r>
        <w:rPr>
          <w:rFonts w:hint="eastAsia"/>
          <w:color w:val="000000" w:themeColor="text1"/>
          <w14:textFill>
            <w14:solidFill>
              <w14:schemeClr w14:val="tx1"/>
            </w14:solidFill>
          </w14:textFill>
        </w:rPr>
        <w:t>。</w:t>
      </w:r>
    </w:p>
    <w:p>
      <w:pPr>
        <w:numPr>
          <w:ilvl w:val="0"/>
          <w:numId w:val="30"/>
        </w:numPr>
        <w:rPr>
          <w:color w:val="000000" w:themeColor="text1"/>
          <w14:textFill>
            <w14:solidFill>
              <w14:schemeClr w14:val="tx1"/>
            </w14:solidFill>
          </w14:textFill>
        </w:rPr>
      </w:pPr>
      <w:r>
        <w:rPr>
          <w:rFonts w:hint="eastAsia"/>
          <w:color w:val="000000" w:themeColor="text1"/>
          <w14:textFill>
            <w14:solidFill>
              <w14:schemeClr w14:val="tx1"/>
            </w14:solidFill>
          </w14:textFill>
        </w:rPr>
        <w:t>本区域内涉及的新建和扩建活动（含居民自住房的建设活动），应控制以坡屋顶为主，建筑材料需选用青砖、灰瓦、木材等传统材料，不宜使用瓷砖、铝合金等现代材料。建筑颜色应以大鹏所城传统的灰、白色调为主，应尽量避免使用跳出所城传统色调的色彩。</w:t>
      </w:r>
    </w:p>
    <w:p>
      <w:pPr>
        <w:numPr>
          <w:ilvl w:val="0"/>
          <w:numId w:val="30"/>
        </w:numPr>
        <w:rPr>
          <w:color w:val="000000" w:themeColor="text1"/>
          <w14:textFill>
            <w14:solidFill>
              <w14:schemeClr w14:val="tx1"/>
            </w14:solidFill>
          </w14:textFill>
        </w:rPr>
      </w:pPr>
      <w:bookmarkStart w:id="159" w:name="_Hlk39740734"/>
      <w:r>
        <w:rPr>
          <w:color w:val="000000" w:themeColor="text1"/>
          <w14:textFill>
            <w14:solidFill>
              <w14:schemeClr w14:val="tx1"/>
            </w14:solidFill>
          </w14:textFill>
        </w:rPr>
        <w:t>本区划内</w:t>
      </w:r>
      <w:r>
        <w:rPr>
          <w:rFonts w:hint="eastAsia"/>
          <w:color w:val="000000" w:themeColor="text1"/>
          <w14:textFill>
            <w14:solidFill>
              <w14:schemeClr w14:val="tx1"/>
            </w14:solidFill>
          </w14:textFill>
        </w:rPr>
        <w:t>涉及的海岸</w:t>
      </w:r>
      <w:r>
        <w:rPr>
          <w:color w:val="000000" w:themeColor="text1"/>
          <w14:textFill>
            <w14:solidFill>
              <w14:schemeClr w14:val="tx1"/>
            </w14:solidFill>
          </w14:textFill>
        </w:rPr>
        <w:t>建设活动除遵守本规划管理规定的要求外</w:t>
      </w:r>
      <w:r>
        <w:rPr>
          <w:rFonts w:hint="eastAsia"/>
          <w:color w:val="000000" w:themeColor="text1"/>
          <w14:textFill>
            <w14:solidFill>
              <w14:schemeClr w14:val="tx1"/>
            </w14:solidFill>
          </w14:textFill>
        </w:rPr>
        <w:t>，还应遵守《深圳市海岸带综合保护与利用规划》（</w:t>
      </w:r>
      <w:r>
        <w:rPr>
          <w:color w:val="000000" w:themeColor="text1"/>
          <w14:textFill>
            <w14:solidFill>
              <w14:schemeClr w14:val="tx1"/>
            </w14:solidFill>
          </w14:textFill>
        </w:rPr>
        <w:t>2018-2035</w:t>
      </w:r>
      <w:r>
        <w:rPr>
          <w:rFonts w:hint="eastAsia"/>
          <w:color w:val="000000" w:themeColor="text1"/>
          <w14:textFill>
            <w14:solidFill>
              <w14:schemeClr w14:val="tx1"/>
            </w14:solidFill>
          </w14:textFill>
        </w:rPr>
        <w:t>）的相关管控要求，并以较严格的为准执行。其中，2018海岸线向陆延伸3</w:t>
      </w:r>
      <w:r>
        <w:rPr>
          <w:color w:val="000000" w:themeColor="text1"/>
          <w14:textFill>
            <w14:solidFill>
              <w14:schemeClr w14:val="tx1"/>
            </w14:solidFill>
          </w14:textFill>
        </w:rPr>
        <w:t>5米形成的区域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应以规划及建设公共绿地</w:t>
      </w:r>
      <w:r>
        <w:rPr>
          <w:rFonts w:hint="eastAsia"/>
          <w:color w:val="000000" w:themeColor="text1"/>
          <w14:textFill>
            <w14:solidFill>
              <w14:schemeClr w14:val="tx1"/>
            </w14:solidFill>
          </w14:textFill>
        </w:rPr>
        <w:t>、公共开放空间为主，除必要市政基础设施、公共服务设施、海岸防护工程及其他涉及公共安全的项目外，原则上禁止规划及开展各类建设活动。2018海岸线向陆延伸1</w:t>
      </w:r>
      <w:r>
        <w:rPr>
          <w:color w:val="000000" w:themeColor="text1"/>
          <w14:textFill>
            <w14:solidFill>
              <w14:schemeClr w14:val="tx1"/>
            </w14:solidFill>
          </w14:textFill>
        </w:rPr>
        <w:t>00米形成的区域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应加强海洋生态安全保护和陆海功能协调</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强化滨海公共开放性</w:t>
      </w:r>
      <w:r>
        <w:rPr>
          <w:rFonts w:hint="eastAsia"/>
          <w:color w:val="000000" w:themeColor="text1"/>
          <w14:textFill>
            <w14:solidFill>
              <w14:schemeClr w14:val="tx1"/>
            </w14:solidFill>
          </w14:textFill>
        </w:rPr>
        <w:t>。</w:t>
      </w:r>
    </w:p>
    <w:p>
      <w:pPr>
        <w:numPr>
          <w:ilvl w:val="0"/>
          <w:numId w:val="30"/>
        </w:numPr>
        <w:rPr>
          <w:color w:val="000000" w:themeColor="text1"/>
          <w14:textFill>
            <w14:solidFill>
              <w14:schemeClr w14:val="tx1"/>
            </w14:solidFill>
          </w14:textFill>
        </w:rPr>
      </w:pPr>
      <w:r>
        <w:rPr>
          <w:rFonts w:hint="eastAsia"/>
          <w:color w:val="000000" w:themeColor="text1"/>
          <w14:textFill>
            <w14:solidFill>
              <w14:schemeClr w14:val="tx1"/>
            </w14:solidFill>
          </w14:textFill>
        </w:rPr>
        <w:t>本区域设计基本生态控制线范围内的建设活动，应同时满足《深圳市基本生态管理规定》（深圳市人民</w:t>
      </w:r>
      <w:bookmarkStart w:id="346" w:name="_GoBack"/>
      <w:bookmarkEnd w:id="346"/>
      <w:r>
        <w:rPr>
          <w:rFonts w:hint="eastAsia"/>
          <w:color w:val="000000" w:themeColor="text1"/>
          <w14:textFill>
            <w14:solidFill>
              <w14:schemeClr w14:val="tx1"/>
            </w14:solidFill>
          </w14:textFill>
        </w:rPr>
        <w:t>政府第254令）的管控要求，并以较严格的为准执行。其中，涉及基本控制线范围内的已建合法建筑物、构筑物，不得擅自改建和扩建，原农村居民点应根据有关规定制定搬迁方案，逐步实施。确定需在原址改造的，应制定改造专项规划。</w:t>
      </w:r>
    </w:p>
    <w:bookmarkEnd w:id="159"/>
    <w:p>
      <w:pPr>
        <w:numPr>
          <w:ilvl w:val="0"/>
          <w:numId w:val="29"/>
        </w:numPr>
        <w:rPr>
          <w:b/>
          <w:color w:val="000000" w:themeColor="text1"/>
          <w14:textFill>
            <w14:solidFill>
              <w14:schemeClr w14:val="tx1"/>
            </w14:solidFill>
          </w14:textFill>
        </w:rPr>
      </w:pPr>
      <w:r>
        <w:rPr>
          <w:b/>
          <w:color w:val="000000" w:themeColor="text1"/>
          <w14:textFill>
            <w14:solidFill>
              <w14:schemeClr w14:val="tx1"/>
            </w14:solidFill>
          </w14:textFill>
        </w:rPr>
        <w:t>一类建设控制地带管理规定</w:t>
      </w:r>
    </w:p>
    <w:p>
      <w:pPr>
        <w:numPr>
          <w:ilvl w:val="0"/>
          <w:numId w:val="31"/>
        </w:numPr>
        <w:rPr>
          <w:color w:val="000000" w:themeColor="text1"/>
          <w14:textFill>
            <w14:solidFill>
              <w14:schemeClr w14:val="tx1"/>
            </w14:solidFill>
          </w14:textFill>
        </w:rPr>
      </w:pPr>
      <w:r>
        <w:rPr>
          <w:color w:val="000000" w:themeColor="text1"/>
          <w14:textFill>
            <w14:solidFill>
              <w14:schemeClr w14:val="tx1"/>
            </w14:solidFill>
          </w14:textFill>
        </w:rPr>
        <w:t>城内一类建设控制地带管理规定</w:t>
      </w:r>
    </w:p>
    <w:p>
      <w:pPr>
        <w:tabs>
          <w:tab w:val="left" w:pos="1380"/>
        </w:tabs>
        <w:ind w:left="902" w:firstLine="480" w:firstLineChars="200"/>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本范围为严格限制建设区，本区域内不得新建、扩建建构筑物，基础设施和公共服务设施应利用城内现有建筑和设施进行改造，禁止进行地下室的开挖。</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建筑修缮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整治管理规定</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① 改善类建筑（价值一般的建筑）</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——对建筑整体进行保留，不得进行扩建，对不协调的现代因素进行改善，延续传统建筑的建筑形制与建筑风貌。</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——可适当调整使用功能。</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② 改造类建筑（价值较低的建筑）</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对建筑本身与古城整体风貌造成较大冲突的部分进行整治改造，使之与传统风貌协调；外立面禁止大面积使用瓷砖、彩钢板、混凝土等与传统风貌不协调的材料，尽量避免使用跳出传统色调的色彩；可适当运用新材料、新工艺，可对内部格局进行改造调整，改造建筑面积不得超过原有建筑面积的</w:t>
      </w:r>
      <w:r>
        <w:rPr>
          <w:color w:val="000000" w:themeColor="text1"/>
          <w14:textFill>
            <w14:solidFill>
              <w14:schemeClr w14:val="tx1"/>
            </w14:solidFill>
          </w14:textFill>
        </w:rPr>
        <w:t>120%</w:t>
      </w:r>
      <w:r>
        <w:rPr>
          <w:rFonts w:hint="eastAsia"/>
          <w:color w:val="000000" w:themeColor="text1"/>
          <w14:textFill>
            <w14:solidFill>
              <w14:schemeClr w14:val="tx1"/>
            </w14:solidFill>
          </w14:textFill>
        </w:rPr>
        <w:t>。</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——在保证建筑结构安全性的前提下，可根据具体的利用方式对室内地面、墙体、梁柱等部位进行合理改造。</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——可适当调整使用功能。</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③ 拆除类建筑（破坏性建筑）</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对破坏性建筑进行拆除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对有条件恢复历史格局的进行复建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或开辟为绿化及开敞空间</w:t>
      </w:r>
      <w:r>
        <w:rPr>
          <w:rFonts w:hint="eastAsia"/>
          <w:color w:val="000000" w:themeColor="text1"/>
          <w14:textFill>
            <w14:solidFill>
              <w14:schemeClr w14:val="tx1"/>
            </w14:solidFill>
          </w14:textFill>
        </w:rPr>
        <w:t>。</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2）建筑高度管理规定</w:t>
      </w:r>
    </w:p>
    <w:p>
      <w:pPr>
        <w:ind w:left="1620"/>
        <w:rPr>
          <w:color w:val="000000" w:themeColor="text1"/>
          <w14:textFill>
            <w14:solidFill>
              <w14:schemeClr w14:val="tx1"/>
            </w14:solidFill>
          </w14:textFill>
        </w:rPr>
      </w:pPr>
      <w:r>
        <w:rPr>
          <w:color w:val="000000" w:themeColor="text1"/>
          <w14:textFill>
            <w14:solidFill>
              <w14:schemeClr w14:val="tx1"/>
            </w14:solidFill>
          </w14:textFill>
        </w:rPr>
        <w:t>为了维持古城现有街巷空间尺度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恢复古城历史天际线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本范围内高度根据不同地段作出不同限定</w:t>
      </w:r>
      <w:r>
        <w:rPr>
          <w:rFonts w:hint="eastAsia"/>
          <w:color w:val="000000" w:themeColor="text1"/>
          <w14:textFill>
            <w14:solidFill>
              <w14:schemeClr w14:val="tx1"/>
            </w14:solidFill>
          </w14:textFill>
        </w:rPr>
        <w:t>。</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——南门街通过街道剖面视线分析得出，两侧改造或改善类建筑主要控制在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层以内，</w:t>
      </w:r>
      <w:r>
        <w:rPr>
          <w:color w:val="000000" w:themeColor="text1"/>
          <w14:textFill>
            <w14:solidFill>
              <w14:schemeClr w14:val="tx1"/>
            </w14:solidFill>
          </w14:textFill>
        </w:rPr>
        <w:t>控制一层建筑屋脊高度不得超过6.5米</w:t>
      </w:r>
      <w:r>
        <w:rPr>
          <w:rFonts w:hint="eastAsia"/>
          <w:color w:val="000000" w:themeColor="text1"/>
          <w14:textFill>
            <w14:solidFill>
              <w14:schemeClr w14:val="tx1"/>
            </w14:solidFill>
          </w14:textFill>
        </w:rPr>
        <w:t>，建筑檐口高度不得超过4.5米；</w:t>
      </w:r>
      <w:r>
        <w:rPr>
          <w:color w:val="000000" w:themeColor="text1"/>
          <w14:textFill>
            <w14:solidFill>
              <w14:schemeClr w14:val="tx1"/>
            </w14:solidFill>
          </w14:textFill>
        </w:rPr>
        <w:t>控制二层建筑屋脊高度不得超过8.5米</w:t>
      </w:r>
      <w:r>
        <w:rPr>
          <w:rFonts w:hint="eastAsia"/>
          <w:color w:val="000000" w:themeColor="text1"/>
          <w14:textFill>
            <w14:solidFill>
              <w14:schemeClr w14:val="tx1"/>
            </w14:solidFill>
          </w14:textFill>
        </w:rPr>
        <w:t>，控制建筑檐口高度不得超过6.5米；零星三层</w:t>
      </w:r>
      <w:r>
        <w:rPr>
          <w:color w:val="000000" w:themeColor="text1"/>
          <w14:textFill>
            <w14:solidFill>
              <w14:schemeClr w14:val="tx1"/>
            </w14:solidFill>
          </w14:textFill>
        </w:rPr>
        <w:t>控制</w:t>
      </w:r>
      <w:r>
        <w:rPr>
          <w:rFonts w:hint="eastAsia"/>
          <w:color w:val="000000" w:themeColor="text1"/>
          <w14:textFill>
            <w14:solidFill>
              <w14:schemeClr w14:val="tx1"/>
            </w14:solidFill>
          </w14:textFill>
        </w:rPr>
        <w:t>建筑屋脊高度不得超过10米，建筑檐口高度不得超过8</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十字街通过街道剖面视线分析得出</w:t>
      </w:r>
      <w:r>
        <w:rPr>
          <w:rFonts w:hint="eastAsia"/>
          <w:color w:val="000000" w:themeColor="text1"/>
          <w14:textFill>
            <w14:solidFill>
              <w14:schemeClr w14:val="tx1"/>
            </w14:solidFill>
          </w14:textFill>
        </w:rPr>
        <w:t>，两侧改造或改善类建筑主要控制在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层以内，控制一层建筑屋脊高度不得超过</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米，建筑檐口高度不得超过4.5米；控制二层建筑屋脊高度不得超过</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米，建筑檐口高度不得超过6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正街通过街道剖面视线分析得出</w:t>
      </w:r>
      <w:r>
        <w:rPr>
          <w:rFonts w:hint="eastAsia"/>
          <w:color w:val="000000" w:themeColor="text1"/>
          <w14:textFill>
            <w14:solidFill>
              <w14:schemeClr w14:val="tx1"/>
            </w14:solidFill>
          </w14:textFill>
        </w:rPr>
        <w:t>，两侧改造或改善类建筑控制在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层以内，控制一层建筑屋脊高度不得超过</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米，建筑檐口高度不得超过4.5米；控制二层建筑屋脊高度不得超过</w:t>
      </w:r>
      <w:r>
        <w:rPr>
          <w:color w:val="000000" w:themeColor="text1"/>
          <w14:textFill>
            <w14:solidFill>
              <w14:schemeClr w14:val="tx1"/>
            </w14:solidFill>
          </w14:textFill>
        </w:rPr>
        <w:t>8.5</w:t>
      </w:r>
      <w:r>
        <w:rPr>
          <w:rFonts w:hint="eastAsia"/>
          <w:color w:val="000000" w:themeColor="text1"/>
          <w14:textFill>
            <w14:solidFill>
              <w14:schemeClr w14:val="tx1"/>
            </w14:solidFill>
          </w14:textFill>
        </w:rPr>
        <w:t>米，建筑高度不得超过6.5米。</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东门街通过街道剖面视线分析得出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两侧改造或改善类建筑控制在</w:t>
      </w:r>
      <w:r>
        <w:rPr>
          <w:rFonts w:hint="eastAsia"/>
          <w:color w:val="000000" w:themeColor="text1"/>
          <w14:textFill>
            <w14:solidFill>
              <w14:schemeClr w14:val="tx1"/>
            </w14:solidFill>
          </w14:textFill>
        </w:rPr>
        <w:t>2层以内，控制一层建筑屋脊高度不得超过</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米，建筑檐口高度不得超过4.5米；控制二层建筑屋脊高度不得超过</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米，建筑檐口高度不得超过6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——其他区域分别通过街道剖面视线分析得出，改造或改善类建筑控制在2层以内，建筑屋脊高度不得超过</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米，建筑檐口高度不得超过6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米。（具体详见建筑高度控制图一、二）</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道路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铺装管理规定</w:t>
      </w:r>
    </w:p>
    <w:p>
      <w:pPr>
        <w:ind w:left="1620"/>
        <w:rPr>
          <w:color w:val="000000" w:themeColor="text1"/>
          <w14:textFill>
            <w14:solidFill>
              <w14:schemeClr w14:val="tx1"/>
            </w14:solidFill>
          </w14:textFill>
        </w:rPr>
      </w:pPr>
      <w:r>
        <w:rPr>
          <w:color w:val="000000" w:themeColor="text1"/>
          <w14:textFill>
            <w14:solidFill>
              <w14:schemeClr w14:val="tx1"/>
            </w14:solidFill>
          </w14:textFill>
        </w:rPr>
        <w:t>严格</w:t>
      </w:r>
      <w:r>
        <w:rPr>
          <w:rFonts w:hint="eastAsia"/>
          <w:color w:val="000000" w:themeColor="text1"/>
          <w14:textFill>
            <w14:solidFill>
              <w14:schemeClr w14:val="tx1"/>
            </w14:solidFill>
          </w14:textFill>
        </w:rPr>
        <w:t>控制范围内街巷</w:t>
      </w:r>
      <w:r>
        <w:rPr>
          <w:color w:val="000000" w:themeColor="text1"/>
          <w14:textFill>
            <w14:solidFill>
              <w14:schemeClr w14:val="tx1"/>
            </w14:solidFill>
          </w14:textFill>
        </w:rPr>
        <w:t>尺度</w:t>
      </w:r>
      <w:r>
        <w:rPr>
          <w:rFonts w:hint="eastAsia"/>
          <w:color w:val="000000" w:themeColor="text1"/>
          <w14:textFill>
            <w14:solidFill>
              <w14:schemeClr w14:val="tx1"/>
            </w14:solidFill>
          </w14:textFill>
        </w:rPr>
        <w:t>、采用传统</w:t>
      </w:r>
      <w:r>
        <w:rPr>
          <w:color w:val="000000" w:themeColor="text1"/>
          <w14:textFill>
            <w14:solidFill>
              <w14:schemeClr w14:val="tx1"/>
            </w14:solidFill>
          </w14:textFill>
        </w:rPr>
        <w:t>街巷的铺装形式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保持所城的地方特色</w:t>
      </w:r>
      <w:r>
        <w:rPr>
          <w:rFonts w:hint="eastAsia"/>
          <w:color w:val="000000" w:themeColor="text1"/>
          <w14:textFill>
            <w14:solidFill>
              <w14:schemeClr w14:val="tx1"/>
            </w14:solidFill>
          </w14:textFill>
        </w:rPr>
        <w:t>。</w:t>
      </w:r>
    </w:p>
    <w:p>
      <w:pPr>
        <w:numPr>
          <w:ilvl w:val="0"/>
          <w:numId w:val="31"/>
        </w:numPr>
        <w:rPr>
          <w:color w:val="000000" w:themeColor="text1"/>
          <w14:textFill>
            <w14:solidFill>
              <w14:schemeClr w14:val="tx1"/>
            </w14:solidFill>
          </w14:textFill>
        </w:rPr>
      </w:pPr>
      <w:r>
        <w:rPr>
          <w:rFonts w:hint="eastAsia"/>
          <w:color w:val="000000" w:themeColor="text1"/>
          <w14:textFill>
            <w14:solidFill>
              <w14:schemeClr w14:val="tx1"/>
            </w14:solidFill>
          </w14:textFill>
        </w:rPr>
        <w:t>城外一类建设控制地带管理规定</w:t>
      </w:r>
    </w:p>
    <w:p>
      <w:pPr>
        <w:tabs>
          <w:tab w:val="left" w:pos="1380"/>
        </w:tabs>
        <w:ind w:left="902" w:firstLine="48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本范围为严格限制建设区，区域内只允许必要的市政基础设施和景观性建筑物、雕塑小品的建设，控制建筑物总高度不得超过3</w:t>
      </w:r>
      <w:r>
        <w:rPr>
          <w:rFonts w:ascii="宋体" w:hAnsi="宋体"/>
          <w:color w:val="000000" w:themeColor="text1"/>
          <w:kern w:val="0"/>
          <w14:textFill>
            <w14:solidFill>
              <w14:schemeClr w14:val="tx1"/>
            </w14:solidFill>
          </w14:textFill>
        </w:rPr>
        <w:t>.5米</w:t>
      </w:r>
      <w:r>
        <w:rPr>
          <w:rFonts w:hint="eastAsia" w:ascii="宋体" w:hAnsi="宋体"/>
          <w:color w:val="000000" w:themeColor="text1"/>
          <w:kern w:val="0"/>
          <w14:textFill>
            <w14:solidFill>
              <w14:schemeClr w14:val="tx1"/>
            </w14:solidFill>
          </w14:textFill>
        </w:rPr>
        <w:t>。</w:t>
      </w:r>
    </w:p>
    <w:p>
      <w:pPr>
        <w:numPr>
          <w:ilvl w:val="0"/>
          <w:numId w:val="2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二</w:t>
      </w:r>
      <w:r>
        <w:rPr>
          <w:b/>
          <w:color w:val="000000" w:themeColor="text1"/>
          <w14:textFill>
            <w14:solidFill>
              <w14:schemeClr w14:val="tx1"/>
            </w14:solidFill>
          </w14:textFill>
        </w:rPr>
        <w:t>类建设控制地带管理规定</w:t>
      </w:r>
    </w:p>
    <w:p>
      <w:pPr>
        <w:tabs>
          <w:tab w:val="left" w:pos="1380"/>
        </w:tabs>
        <w:ind w:left="9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二</w:t>
      </w:r>
      <w:r>
        <w:rPr>
          <w:rFonts w:ascii="宋体" w:hAnsi="宋体"/>
          <w:color w:val="000000" w:themeColor="text1"/>
          <w:kern w:val="0"/>
          <w14:textFill>
            <w14:solidFill>
              <w14:schemeClr w14:val="tx1"/>
            </w14:solidFill>
          </w14:textFill>
        </w:rPr>
        <w:t>类建设控制地带为限制建设区</w:t>
      </w:r>
      <w:r>
        <w:rPr>
          <w:rFonts w:hint="eastAsia" w:ascii="宋体" w:hAnsi="宋体"/>
          <w:color w:val="000000" w:themeColor="text1"/>
          <w:kern w:val="0"/>
          <w14:textFill>
            <w14:solidFill>
              <w14:schemeClr w14:val="tx1"/>
            </w14:solidFill>
          </w14:textFill>
        </w:rPr>
        <w:t>，本区域在充分考古依据的前提下允许地下公共设施、地下停车场等地下工程的建设。</w:t>
      </w:r>
    </w:p>
    <w:p>
      <w:pPr>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城外</w:t>
      </w:r>
      <w:r>
        <w:rPr>
          <w:color w:val="000000" w:themeColor="text1"/>
          <w14:textFill>
            <w14:solidFill>
              <w14:schemeClr w14:val="tx1"/>
            </w14:solidFill>
          </w14:textFill>
        </w:rPr>
        <w:t>相关遗存修缮及整治管理规定</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——允许根据实际情况对城外的相关遗存进行修缮及整治。禁止改变建筑的外观、高度、色彩、材质，保护相关遗存的完整性和真实性。</w:t>
      </w:r>
    </w:p>
    <w:p>
      <w:pPr>
        <w:numPr>
          <w:ilvl w:val="0"/>
          <w:numId w:val="32"/>
        </w:numPr>
        <w:rPr>
          <w:color w:val="000000" w:themeColor="text1"/>
          <w14:textFill>
            <w14:solidFill>
              <w14:schemeClr w14:val="tx1"/>
            </w14:solidFill>
          </w14:textFill>
        </w:rPr>
      </w:pPr>
      <w:r>
        <w:rPr>
          <w:color w:val="000000" w:themeColor="text1"/>
          <w14:textFill>
            <w14:solidFill>
              <w14:schemeClr w14:val="tx1"/>
            </w14:solidFill>
          </w14:textFill>
        </w:rPr>
        <w:t>建筑整治管理规定</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——对影响风貌的建筑进行整治改造、降层或拆除再建，建筑的风格与样式应与所城历史环境相协调，以外观古朴素雅、融于传统风貌为宜，应尽量避免使用跳出传统色调的色彩。</w:t>
      </w:r>
    </w:p>
    <w:p>
      <w:pPr>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建筑高度管理规定</w:t>
      </w:r>
    </w:p>
    <w:p>
      <w:pPr>
        <w:pStyle w:val="118"/>
        <w:ind w:left="1620" w:firstLine="0" w:firstLineChars="0"/>
        <w:rPr>
          <w:color w:val="000000" w:themeColor="text1"/>
          <w14:textFill>
            <w14:solidFill>
              <w14:schemeClr w14:val="tx1"/>
            </w14:solidFill>
          </w14:textFill>
        </w:rPr>
      </w:pPr>
      <w:r>
        <w:rPr>
          <w:color w:val="000000" w:themeColor="text1"/>
          <w14:textFill>
            <w14:solidFill>
              <w14:schemeClr w14:val="tx1"/>
            </w14:solidFill>
          </w14:textFill>
        </w:rPr>
        <w:t>为了维护所城的完整性和整体的可辨识性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避免周边建筑高度城断崖式增长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本范围内高度根据不同地段作出不同的限定</w:t>
      </w:r>
      <w:r>
        <w:rPr>
          <w:rFonts w:hint="eastAsia"/>
          <w:color w:val="000000" w:themeColor="text1"/>
          <w14:textFill>
            <w14:solidFill>
              <w14:schemeClr w14:val="tx1"/>
            </w14:solidFill>
          </w14:textFill>
        </w:rPr>
        <w:t>。</w:t>
      </w:r>
    </w:p>
    <w:p>
      <w:pPr>
        <w:pStyle w:val="118"/>
        <w:ind w:left="162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——规划一号路、城北路十号路、北门楼、</w:t>
      </w:r>
      <w:r>
        <w:rPr>
          <w:color w:val="000000" w:themeColor="text1"/>
          <w14:textFill>
            <w14:solidFill>
              <w14:schemeClr w14:val="tx1"/>
            </w14:solidFill>
          </w14:textFill>
        </w:rPr>
        <w:t>城外一类建设控制地带西边界所围合的区域控制建筑屋脊高度不得超过9.0</w:t>
      </w:r>
      <w:r>
        <w:rPr>
          <w:rFonts w:hint="eastAsia"/>
          <w:color w:val="000000" w:themeColor="text1"/>
          <w14:textFill>
            <w14:solidFill>
              <w14:schemeClr w14:val="tx1"/>
            </w14:solidFill>
          </w14:textFill>
        </w:rPr>
        <w:t>米，建筑檐口高度不得超过7</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pStyle w:val="118"/>
        <w:ind w:left="162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——规划环城路、规划一号路、城外一类建设控制地带东边界所围合的区域控制建筑屋脊高度不得超过</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米，建筑檐口高度不得超过7</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规划一号路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核电应急通道和鹏飞路</w:t>
      </w:r>
      <w:r>
        <w:rPr>
          <w:rFonts w:hint="eastAsia"/>
          <w:color w:val="000000" w:themeColor="text1"/>
          <w14:textFill>
            <w14:solidFill>
              <w14:schemeClr w14:val="tx1"/>
            </w14:solidFill>
          </w14:textFill>
        </w:rPr>
        <w:t>之间</w:t>
      </w:r>
      <w:r>
        <w:rPr>
          <w:color w:val="000000" w:themeColor="text1"/>
          <w14:textFill>
            <w14:solidFill>
              <w14:schemeClr w14:val="tx1"/>
            </w14:solidFill>
          </w14:textFill>
        </w:rPr>
        <w:t>围合的区域控制建筑屋脊高度不得超过10.0</w:t>
      </w:r>
      <w:r>
        <w:rPr>
          <w:rFonts w:hint="eastAsia"/>
          <w:color w:val="000000" w:themeColor="text1"/>
          <w14:textFill>
            <w14:solidFill>
              <w14:schemeClr w14:val="tx1"/>
            </w14:solidFill>
          </w14:textFill>
        </w:rPr>
        <w:t>米，建筑檐口高度不得超过8米；</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其他区域控制建筑屋脊高度不得超过6.5</w:t>
      </w:r>
      <w:r>
        <w:rPr>
          <w:rFonts w:hint="eastAsia"/>
          <w:color w:val="000000" w:themeColor="text1"/>
          <w14:textFill>
            <w14:solidFill>
              <w14:schemeClr w14:val="tx1"/>
            </w14:solidFill>
          </w14:textFill>
        </w:rPr>
        <w:t>米，建筑檐口高度不得超过4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米，建筑连续界面不得超过20米。（具体详见建筑高度控制图二）</w:t>
      </w:r>
    </w:p>
    <w:p>
      <w:pPr>
        <w:numPr>
          <w:ilvl w:val="0"/>
          <w:numId w:val="32"/>
        </w:numPr>
        <w:rPr>
          <w:color w:val="000000" w:themeColor="text1"/>
          <w14:textFill>
            <w14:solidFill>
              <w14:schemeClr w14:val="tx1"/>
            </w14:solidFill>
          </w14:textFill>
        </w:rPr>
      </w:pPr>
      <w:r>
        <w:rPr>
          <w:color w:val="000000" w:themeColor="text1"/>
          <w14:textFill>
            <w14:solidFill>
              <w14:schemeClr w14:val="tx1"/>
            </w14:solidFill>
          </w14:textFill>
        </w:rPr>
        <w:t>山体</w:t>
      </w:r>
      <w:r>
        <w:rPr>
          <w:rFonts w:hint="eastAsia"/>
          <w:color w:val="000000" w:themeColor="text1"/>
          <w14:textFill>
            <w14:solidFill>
              <w14:schemeClr w14:val="tx1"/>
            </w14:solidFill>
          </w14:textFill>
        </w:rPr>
        <w:t>管理规定</w:t>
      </w:r>
    </w:p>
    <w:p>
      <w:pPr>
        <w:ind w:left="1620"/>
        <w:rPr>
          <w:color w:val="000000" w:themeColor="text1"/>
          <w14:textFill>
            <w14:solidFill>
              <w14:schemeClr w14:val="tx1"/>
            </w14:solidFill>
          </w14:textFill>
        </w:rPr>
      </w:pPr>
      <w:r>
        <w:rPr>
          <w:color w:val="000000" w:themeColor="text1"/>
          <w14:textFill>
            <w14:solidFill>
              <w14:schemeClr w14:val="tx1"/>
            </w14:solidFill>
          </w14:textFill>
        </w:rPr>
        <w:t>严格保护大鹏所城周边山体轮廓的完整性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禁止开山挖土及其他破坏山体界面连续性及完整性的生产生活行为</w:t>
      </w:r>
      <w:r>
        <w:rPr>
          <w:rFonts w:hint="eastAsia"/>
          <w:color w:val="000000" w:themeColor="text1"/>
          <w14:textFill>
            <w14:solidFill>
              <w14:schemeClr w14:val="tx1"/>
            </w14:solidFill>
          </w14:textFill>
        </w:rPr>
        <w:t>。</w:t>
      </w:r>
    </w:p>
    <w:p>
      <w:pPr>
        <w:numPr>
          <w:ilvl w:val="0"/>
          <w:numId w:val="32"/>
        </w:numPr>
        <w:rPr>
          <w:color w:val="000000" w:themeColor="text1"/>
          <w14:textFill>
            <w14:solidFill>
              <w14:schemeClr w14:val="tx1"/>
            </w14:solidFill>
          </w14:textFill>
        </w:rPr>
      </w:pPr>
      <w:r>
        <w:rPr>
          <w:color w:val="000000" w:themeColor="text1"/>
          <w14:textFill>
            <w14:solidFill>
              <w14:schemeClr w14:val="tx1"/>
            </w14:solidFill>
          </w14:textFill>
        </w:rPr>
        <w:t>林地管理规定</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严格保护与大鹏所城紧密联系的林地，禁止滥砍滥伐、毁林开垦，注重山林防火工作的常态化管理，相关的要求符合《中华人民共和国森林保护法》的相关要求。</w:t>
      </w:r>
    </w:p>
    <w:p>
      <w:pPr>
        <w:numPr>
          <w:ilvl w:val="0"/>
          <w:numId w:val="32"/>
        </w:numPr>
        <w:rPr>
          <w:color w:val="000000" w:themeColor="text1"/>
          <w14:textFill>
            <w14:solidFill>
              <w14:schemeClr w14:val="tx1"/>
            </w14:solidFill>
          </w14:textFill>
        </w:rPr>
      </w:pPr>
      <w:r>
        <w:rPr>
          <w:color w:val="000000" w:themeColor="text1"/>
          <w14:textFill>
            <w14:solidFill>
              <w14:schemeClr w14:val="tx1"/>
            </w14:solidFill>
          </w14:textFill>
        </w:rPr>
        <w:t>农田管理规定</w:t>
      </w:r>
    </w:p>
    <w:p>
      <w:pPr>
        <w:ind w:left="1620"/>
        <w:rPr>
          <w:color w:val="000000" w:themeColor="text1"/>
          <w14:textFill>
            <w14:solidFill>
              <w14:schemeClr w14:val="tx1"/>
            </w14:solidFill>
          </w14:textFill>
        </w:rPr>
      </w:pPr>
      <w:r>
        <w:rPr>
          <w:rFonts w:hint="eastAsia"/>
          <w:color w:val="000000" w:themeColor="text1"/>
          <w14:textFill>
            <w14:solidFill>
              <w14:schemeClr w14:val="tx1"/>
            </w14:solidFill>
          </w14:textFill>
        </w:rPr>
        <w:t>严格保护现有耕地规模，对于范围内的基本农田任何单位和个人不得改变或者占用，国家能源、交通、水利、军事设施等重点建设项目选址确实无法避开基本农田保护区，需要占用基本农田，涉及农用地转用或者征用土地的，必须经国务院批准。</w:t>
      </w:r>
    </w:p>
    <w:p>
      <w:pPr>
        <w:numPr>
          <w:ilvl w:val="0"/>
          <w:numId w:val="29"/>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三类建设控制地带管理规定</w:t>
      </w:r>
    </w:p>
    <w:p>
      <w:pPr>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本区域内的整治、更新应有计划、分阶段进行，不得大拆大建。</w:t>
      </w:r>
    </w:p>
    <w:p>
      <w:pPr>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村庄的整治、翻建和扩建在原址进行，扩建之后建设用地面积不能超过村庄现状建设用地面积的120%。</w:t>
      </w:r>
    </w:p>
    <w:p>
      <w:pPr>
        <w:numPr>
          <w:ilvl w:val="0"/>
          <w:numId w:val="33"/>
        </w:numPr>
        <w:rPr>
          <w:rFonts w:ascii="宋体" w:hAnsi="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本区域内建筑屋脊高度不得超过</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米，建筑檐口高度不得超过10米，建筑连续界面不超过30米。建筑的风格与样式应与所城历史环境相协调，以外观古朴素雅、融于传统风貌为宜，应尽量避免使用跳出传统色调的色彩。</w:t>
      </w:r>
    </w:p>
    <w:p>
      <w:pPr>
        <w:ind w:left="1620"/>
        <w:rPr>
          <w:rFonts w:ascii="宋体" w:hAnsi="宋体"/>
          <w:color w:val="000000" w:themeColor="text1"/>
          <w:kern w:val="0"/>
          <w14:textFill>
            <w14:solidFill>
              <w14:schemeClr w14:val="tx1"/>
            </w14:solidFill>
          </w14:textFill>
        </w:rPr>
      </w:pPr>
    </w:p>
    <w:p>
      <w:pPr>
        <w:pStyle w:val="3"/>
        <w:spacing w:before="163" w:after="163"/>
        <w:ind w:left="630" w:hanging="630"/>
        <w:rPr>
          <w:color w:val="000000" w:themeColor="text1"/>
          <w14:textFill>
            <w14:solidFill>
              <w14:schemeClr w14:val="tx1"/>
            </w14:solidFill>
          </w14:textFill>
        </w:rPr>
      </w:pPr>
      <w:bookmarkStart w:id="160" w:name="_Toc373500814"/>
      <w:r>
        <w:rPr>
          <w:rFonts w:ascii="宋体" w:hAnsi="宋体"/>
          <w:color w:val="000000" w:themeColor="text1"/>
          <w:kern w:val="0"/>
          <w14:textFill>
            <w14:solidFill>
              <w14:schemeClr w14:val="tx1"/>
            </w14:solidFill>
          </w14:textFill>
        </w:rPr>
        <w:br w:type="column"/>
      </w:r>
      <w:bookmarkEnd w:id="155"/>
      <w:bookmarkStart w:id="161" w:name="_Toc75013324"/>
      <w:r>
        <w:rPr>
          <w:rFonts w:hint="eastAsia"/>
          <w:color w:val="000000" w:themeColor="text1"/>
          <w14:textFill>
            <w14:solidFill>
              <w14:schemeClr w14:val="tx1"/>
            </w14:solidFill>
          </w14:textFill>
        </w:rPr>
        <w:t>保护措施</w:t>
      </w:r>
      <w:bookmarkEnd w:id="160"/>
      <w:bookmarkEnd w:id="161"/>
    </w:p>
    <w:p>
      <w:pPr>
        <w:pStyle w:val="4"/>
        <w:numPr>
          <w:ilvl w:val="0"/>
          <w:numId w:val="34"/>
        </w:numPr>
        <w:spacing w:before="163" w:after="163"/>
        <w:rPr>
          <w:color w:val="000000" w:themeColor="text1"/>
          <w:lang w:eastAsia="zh-CN"/>
          <w14:textFill>
            <w14:solidFill>
              <w14:schemeClr w14:val="tx1"/>
            </w14:solidFill>
          </w14:textFill>
        </w:rPr>
      </w:pPr>
      <w:bookmarkStart w:id="162" w:name="_Toc75013325"/>
      <w:bookmarkStart w:id="163" w:name="_Toc15634194"/>
      <w:bookmarkStart w:id="164" w:name="_Toc373500815"/>
      <w:r>
        <w:rPr>
          <w:rFonts w:hint="eastAsia"/>
          <w:color w:val="000000" w:themeColor="text1"/>
          <w:lang w:eastAsia="zh-CN"/>
          <w14:textFill>
            <w14:solidFill>
              <w14:schemeClr w14:val="tx1"/>
            </w14:solidFill>
          </w14:textFill>
        </w:rPr>
        <w:t>保护对象的保护措施</w:t>
      </w:r>
      <w:bookmarkEnd w:id="162"/>
      <w:bookmarkEnd w:id="163"/>
      <w:bookmarkEnd w:id="164"/>
    </w:p>
    <w:p>
      <w:pPr>
        <w:pStyle w:val="5"/>
        <w:rPr>
          <w:color w:val="000000" w:themeColor="text1"/>
          <w14:textFill>
            <w14:solidFill>
              <w14:schemeClr w14:val="tx1"/>
            </w14:solidFill>
          </w14:textFill>
        </w:rPr>
      </w:pPr>
      <w:bookmarkStart w:id="165" w:name="_Toc75013326"/>
      <w:bookmarkStart w:id="166" w:name="_Toc15634198"/>
      <w:r>
        <w:rPr>
          <w:color w:val="000000" w:themeColor="text1"/>
          <w14:textFill>
            <w14:solidFill>
              <w14:schemeClr w14:val="tx1"/>
            </w14:solidFill>
          </w14:textFill>
        </w:rPr>
        <w:t>文物本体的保护</w:t>
      </w:r>
      <w:bookmarkEnd w:id="165"/>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所城内的全国重点文物建筑有21处，包含门楼3处、将军府第12处、公共建筑3处、传统民居3处，保护措施主要采取：保养维护工程、修缮工程、监测工程。</w:t>
      </w:r>
    </w:p>
    <w:bookmarkEnd w:id="166"/>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1、保养维护工程</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建筑名称：赖绍贤将军第、赖恩爵振威将军第、赖恩锡将军第、赖英扬振威将军第、西门赖氏将军第、赵公祠、郑氏司马第、赖世超将军第、何文朴故居、梁氏大屋</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工作内容：清除地面、墙体青苔及杂草，清除不当修补部分。</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2、修缮工程</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建筑名称：天后宫、东门楼、西门楼、南门楼、东北村戴氏大屋、赖信扬将军第、林仕英“大夫第”、刘起龙将军第、东门李将军府</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工作内容：规整歪闪、坍塌、错乱的台基、梁架及屋面，清除不当的添加物。恢复文物建筑结构的稳定状态，修补损坏部分，添补主要的缺失建筑构件。清除地面垃圾，组织地面排水，清除原有铺装上的覆盖物，残损严重的部分更换地面铺装。天后宫进行原有传统建筑形制的研究后编制修缮方案，清除近现代结构形式，按大鹏所城传统形制进行恢复。</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w:t>
      </w:r>
      <w:r>
        <w:rPr>
          <w:rFonts w:cs="宋体" w:asciiTheme="minorEastAsia" w:hAnsiTheme="minorEastAsia"/>
          <w:b/>
          <w:color w:val="000000" w:themeColor="text1"/>
          <w:kern w:val="0"/>
          <w:szCs w:val="21"/>
          <w14:textFill>
            <w14:solidFill>
              <w14:schemeClr w14:val="tx1"/>
            </w14:solidFill>
          </w14:textFill>
        </w:rPr>
        <w:t>监测</w:t>
      </w:r>
      <w:r>
        <w:rPr>
          <w:rFonts w:hint="eastAsia" w:cs="宋体" w:asciiTheme="minorEastAsia" w:hAnsiTheme="minorEastAsia"/>
          <w:b/>
          <w:color w:val="000000" w:themeColor="text1"/>
          <w:kern w:val="0"/>
          <w:szCs w:val="21"/>
          <w14:textFill>
            <w14:solidFill>
              <w14:schemeClr w14:val="tx1"/>
            </w14:solidFill>
          </w14:textFill>
        </w:rPr>
        <w:t>工程</w:t>
      </w:r>
    </w:p>
    <w:p>
      <w:pPr>
        <w:autoSpaceDE w:val="0"/>
        <w:autoSpaceDN w:val="0"/>
        <w:adjustRightInd w:val="0"/>
        <w:ind w:firstLine="480" w:firstLineChars="200"/>
        <w:jc w:val="left"/>
        <w:rPr>
          <w:rFonts w:cs="仿宋" w:asciiTheme="minorEastAsia" w:hAnsiTheme="minorEastAsia"/>
          <w:color w:val="000000" w:themeColor="text1"/>
          <w:kern w:val="0"/>
          <w:szCs w:val="21"/>
          <w14:textFill>
            <w14:solidFill>
              <w14:schemeClr w14:val="tx1"/>
            </w14:solidFill>
          </w14:textFill>
        </w:rPr>
      </w:pPr>
      <w:r>
        <w:rPr>
          <w:rFonts w:hint="eastAsia" w:cs="仿宋" w:asciiTheme="minorEastAsia" w:hAnsiTheme="minorEastAsia"/>
          <w:color w:val="000000" w:themeColor="text1"/>
          <w:kern w:val="0"/>
          <w:szCs w:val="21"/>
          <w14:textFill>
            <w14:solidFill>
              <w14:schemeClr w14:val="tx1"/>
            </w14:solidFill>
          </w14:textFill>
        </w:rPr>
        <w:t>工作内容：无法通过保养维护消除的隐患，实行连续监测，记录、整理、分析监测数据，作为采取进一步保护措施的依据。</w:t>
      </w:r>
    </w:p>
    <w:p>
      <w:pPr>
        <w:pStyle w:val="5"/>
        <w:rPr>
          <w:color w:val="000000" w:themeColor="text1"/>
          <w14:textFill>
            <w14:solidFill>
              <w14:schemeClr w14:val="tx1"/>
            </w14:solidFill>
          </w14:textFill>
        </w:rPr>
      </w:pPr>
      <w:bookmarkStart w:id="167" w:name="_Toc75013327"/>
      <w:r>
        <w:rPr>
          <w:color w:val="000000" w:themeColor="text1"/>
          <w14:textFill>
            <w14:solidFill>
              <w14:schemeClr w14:val="tx1"/>
            </w14:solidFill>
          </w14:textFill>
        </w:rPr>
        <w:t>文物环境的保护措施</w:t>
      </w:r>
      <w:bookmarkEnd w:id="167"/>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w:t>
      </w:r>
      <w:r>
        <w:rPr>
          <w:rFonts w:cs="宋体" w:asciiTheme="minorEastAsia" w:hAnsiTheme="minorEastAsia"/>
          <w:b/>
          <w:color w:val="000000" w:themeColor="text1"/>
          <w:kern w:val="0"/>
          <w:szCs w:val="21"/>
          <w14:textFill>
            <w14:solidFill>
              <w14:schemeClr w14:val="tx1"/>
            </w14:solidFill>
          </w14:textFill>
        </w:rPr>
        <w:t>城内文物环境的保护措施</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（1）7</w:t>
      </w:r>
      <w:r>
        <w:rPr>
          <w:rFonts w:cs="宋体" w:asciiTheme="minorEastAsia" w:hAnsiTheme="minorEastAsia"/>
          <w:b/>
          <w:color w:val="000000" w:themeColor="text1"/>
          <w:kern w:val="0"/>
          <w:szCs w:val="21"/>
          <w14:textFill>
            <w14:solidFill>
              <w14:schemeClr w14:val="tx1"/>
            </w14:solidFill>
          </w14:textFill>
        </w:rPr>
        <w:t>3处未定级一般不可移动文物建筑</w:t>
      </w:r>
      <w:r>
        <w:rPr>
          <w:rFonts w:hint="eastAsia" w:cs="宋体" w:asciiTheme="minorEastAsia" w:hAnsiTheme="minorEastAsia"/>
          <w:b/>
          <w:color w:val="000000" w:themeColor="text1"/>
          <w:kern w:val="0"/>
          <w:szCs w:val="21"/>
          <w14:textFill>
            <w14:solidFill>
              <w14:schemeClr w14:val="tx1"/>
            </w14:solidFill>
          </w14:textFill>
        </w:rPr>
        <w:t>保护措施</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73处未定级一般不可移动文物建筑的管控级别为II级“基本保持原状”。主要针对屋面、木构架、墙体、基础等部位制定保护措施。</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屋面：屋面除草，揭瓦补漏，补配脊筒、望兽和残缺的瓦件，修复屋脊、檐口等残损部分，甄别、去除今人修缮不当及后期搭建中有损原状的增添部分。</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木基层：补配各类糟朽、垂弯的椽望；补配严重沤朽变形的构件。</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大木构架：重点勘察有吊顶的建筑，逐一检查所有梁枋、瓜柱、檩条的保存状况，替换严重沤朽折断或严重劈裂的木构件；拨正歪闪、变形的构架。</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小木构件：检修加固小木构件，补配缺失构件，更换无法继用的小木构件，清除无价值的近代添加物。</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墙体：择砌倾斜、严重开裂的砌体，铲除墙体水泥层或瓷砖，抽换或剔补酥碱的条砖；拆砌近年砌筑的砌体（砖、石）。</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基础：重新处理排水设施，挖除基础周围的松软土层，对开裂基础进行加固。</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铺装：揭除室内和院面的现代铺装材料，重墁室内地面、院面。</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院落：清除今人无序搭建建筑和构筑物设施，对已遭破坏的院落，恢复其原来院落格局；清除地面垃圾，组织地面排水，清除原有铺装上的覆盖物，残损严重的部分更换地面铺装；通过可靠的资料研究，按原样恢复院落中的绿化、花台等景观构件。</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w:t>
      </w:r>
      <w:r>
        <w:rPr>
          <w:rFonts w:cs="宋体" w:asciiTheme="minorEastAsia" w:hAnsiTheme="minorEastAsia"/>
          <w:b/>
          <w:color w:val="000000" w:themeColor="text1"/>
          <w:kern w:val="0"/>
          <w:szCs w:val="21"/>
          <w14:textFill>
            <w14:solidFill>
              <w14:schemeClr w14:val="tx1"/>
            </w14:solidFill>
          </w14:textFill>
        </w:rPr>
        <w:t>城墙遗址和城壕遗址的保护措施</w:t>
      </w:r>
    </w:p>
    <w:p>
      <w:pPr>
        <w:autoSpaceDE w:val="0"/>
        <w:autoSpaceDN w:val="0"/>
        <w:adjustRightInd w:val="0"/>
        <w:ind w:firstLine="480"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1）城墙遗址：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东北部城墙基址的保护措施：</w:t>
      </w:r>
      <w:r>
        <w:rPr>
          <w:rFonts w:hint="eastAsia" w:cs="宋体" w:asciiTheme="minorEastAsia" w:hAnsiTheme="minorEastAsia"/>
          <w:color w:val="000000" w:themeColor="text1"/>
          <w:kern w:val="0"/>
          <w:szCs w:val="21"/>
          <w14:textFill>
            <w14:solidFill>
              <w14:schemeClr w14:val="tx1"/>
            </w14:solidFill>
          </w14:textFill>
        </w:rPr>
        <w:t>遗址进行加固，开展清</w:t>
      </w:r>
      <w:r>
        <w:rPr>
          <w:rFonts w:hint="eastAsia" w:cs="宋体" w:asciiTheme="minorEastAsia" w:hAnsiTheme="minorEastAsia" w:eastAsiaTheme="minorEastAsia"/>
          <w:color w:val="000000" w:themeColor="text1"/>
          <w:kern w:val="0"/>
          <w:sz w:val="21"/>
          <w:szCs w:val="21"/>
          <w14:textFill>
            <w14:solidFill>
              <w14:schemeClr w14:val="tx1"/>
            </w14:solidFill>
          </w14:textFill>
        </w:rPr>
        <w:t>除</w:t>
      </w:r>
      <w:r>
        <w:rPr>
          <w:rFonts w:hint="eastAsia" w:cs="宋体" w:asciiTheme="minorEastAsia" w:hAnsiTheme="minorEastAsia"/>
          <w:color w:val="000000" w:themeColor="text1"/>
          <w:kern w:val="0"/>
          <w:szCs w:val="21"/>
          <w14:textFill>
            <w14:solidFill>
              <w14:schemeClr w14:val="tx1"/>
            </w14:solidFill>
          </w14:textFill>
        </w:rPr>
        <w:t>苔藓杂草、疏通排水等工作</w:t>
      </w:r>
      <w:r>
        <w:rPr>
          <w:rFonts w:hint="eastAsia" w:cs="宋体" w:asciiTheme="minorEastAsia" w:hAnsiTheme="minorEastAsia" w:eastAsiaTheme="minorEastAsia"/>
          <w:color w:val="000000" w:themeColor="text1"/>
          <w:kern w:val="0"/>
          <w:sz w:val="21"/>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择砌倾斜、严重开裂的砌体，抽换或剔补酥碱的砖石；使用传统灰浆加固墙体；</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——受占压城墙遗址的保护措施：拆除占压城墙遗址的建筑，恢复遗址原有格局，开展展示标识设施建设工程。</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2）城壕遗址的保护</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拆除</w:t>
      </w:r>
      <w:r>
        <w:rPr>
          <w:rFonts w:cs="宋体" w:asciiTheme="minorEastAsia" w:hAnsiTheme="minorEastAsia"/>
          <w:color w:val="000000" w:themeColor="text1"/>
          <w:kern w:val="0"/>
          <w:szCs w:val="21"/>
          <w14:textFill>
            <w14:solidFill>
              <w14:schemeClr w14:val="tx1"/>
            </w14:solidFill>
          </w14:textFill>
        </w:rPr>
        <w:t>占压城壕遗址的建筑</w:t>
      </w:r>
      <w:r>
        <w:rPr>
          <w:rFonts w:hint="eastAsia" w:cs="宋体" w:asciiTheme="minorEastAsia" w:hAnsiTheme="minorEastAsia"/>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恢复遗址原有格局</w:t>
      </w:r>
      <w:r>
        <w:rPr>
          <w:rFonts w:hint="eastAsia" w:cs="宋体" w:asciiTheme="minorEastAsia" w:hAnsiTheme="minorEastAsia"/>
          <w:color w:val="000000" w:themeColor="text1"/>
          <w:kern w:val="0"/>
          <w:szCs w:val="21"/>
          <w14:textFill>
            <w14:solidFill>
              <w14:schemeClr w14:val="tx1"/>
            </w14:solidFill>
          </w14:textFill>
        </w:rPr>
        <w:t>，开展展示标识设施建设工程。</w:t>
      </w:r>
    </w:p>
    <w:p>
      <w:pPr>
        <w:autoSpaceDE w:val="0"/>
        <w:autoSpaceDN w:val="0"/>
        <w:adjustRightInd w:val="0"/>
        <w:ind w:firstLine="482" w:firstLineChars="200"/>
        <w:jc w:val="left"/>
        <w:rPr>
          <w:b/>
          <w:color w:val="000000" w:themeColor="text1"/>
          <w14:textFill>
            <w14:solidFill>
              <w14:schemeClr w14:val="tx1"/>
            </w14:solidFill>
          </w14:textFill>
        </w:rPr>
      </w:pPr>
      <w:bookmarkStart w:id="168" w:name="_Toc15634199"/>
      <w:r>
        <w:rPr>
          <w:rFonts w:hint="eastAsia"/>
          <w:b/>
          <w:color w:val="000000" w:themeColor="text1"/>
          <w14:textFill>
            <w14:solidFill>
              <w14:schemeClr w14:val="tx1"/>
            </w14:solidFill>
          </w14:textFill>
        </w:rPr>
        <w:t>（3）重点建筑遗址保护措施</w:t>
      </w:r>
      <w:bookmarkEnd w:id="168"/>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保护对象共</w:t>
      </w:r>
      <w:r>
        <w:rPr>
          <w:rFonts w:cs="宋体" w:asciiTheme="minorEastAsia" w:hAnsiTheme="minorEastAsia"/>
          <w:color w:val="000000" w:themeColor="text1"/>
          <w:kern w:val="0"/>
          <w:szCs w:val="21"/>
          <w14:textFill>
            <w14:solidFill>
              <w14:schemeClr w14:val="tx1"/>
            </w14:solidFill>
          </w14:textFill>
        </w:rPr>
        <w:t>10</w:t>
      </w:r>
      <w:r>
        <w:rPr>
          <w:rFonts w:hint="eastAsia" w:cs="宋体" w:asciiTheme="minorEastAsia" w:hAnsiTheme="minorEastAsia"/>
          <w:color w:val="000000" w:themeColor="text1"/>
          <w:kern w:val="0"/>
          <w:szCs w:val="21"/>
          <w14:textFill>
            <w14:solidFill>
              <w14:schemeClr w14:val="tx1"/>
            </w14:solidFill>
          </w14:textFill>
        </w:rPr>
        <w:t>处，包括衙署与管理建筑遗址（6处）、公共建筑遗址（4处），保护措施主要包括考古勘探工程、原址保护工程、展示标识建设工程。</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1）衙署与管理建筑遗址：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遗址</w:t>
      </w:r>
      <w:r>
        <w:rPr>
          <w:rFonts w:cs="宋体" w:asciiTheme="minorEastAsia" w:hAnsiTheme="minorEastAsia"/>
          <w:color w:val="000000" w:themeColor="text1"/>
          <w:kern w:val="0"/>
          <w:szCs w:val="21"/>
          <w14:textFill>
            <w14:solidFill>
              <w14:schemeClr w14:val="tx1"/>
            </w14:solidFill>
          </w14:textFill>
        </w:rPr>
        <w:t>名称</w:t>
      </w:r>
      <w:r>
        <w:rPr>
          <w:rFonts w:hint="eastAsia" w:cs="宋体" w:asciiTheme="minorEastAsia" w:hAnsiTheme="minorEastAsia"/>
          <w:color w:val="000000" w:themeColor="text1"/>
          <w:kern w:val="0"/>
          <w:szCs w:val="21"/>
          <w14:textFill>
            <w14:solidFill>
              <w14:schemeClr w14:val="tx1"/>
            </w14:solidFill>
          </w14:textFill>
        </w:rPr>
        <w:t>：守备署遗址、都府署遗址、左堂署遗址、协台衙门遗址、参将府遗址、火药局遗址。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工作内容</w:t>
      </w:r>
      <w:r>
        <w:rPr>
          <w:rFonts w:hint="eastAsia" w:cs="宋体" w:asciiTheme="minorEastAsia" w:hAnsiTheme="minorEastAsia"/>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实施考古勘探工程</w:t>
      </w:r>
      <w:r>
        <w:rPr>
          <w:rFonts w:hint="eastAsia" w:cs="宋体" w:asciiTheme="minorEastAsia" w:hAnsiTheme="minorEastAsia"/>
          <w:color w:val="000000" w:themeColor="text1"/>
          <w:kern w:val="0"/>
          <w:szCs w:val="21"/>
          <w14:textFill>
            <w14:solidFill>
              <w14:schemeClr w14:val="tx1"/>
            </w14:solidFill>
          </w14:textFill>
        </w:rPr>
        <w:t>、原址保护工程（针对协台衙门遗址、左堂署遗址）、</w:t>
      </w:r>
      <w:r>
        <w:rPr>
          <w:rFonts w:cs="宋体" w:asciiTheme="minorEastAsia" w:hAnsiTheme="minorEastAsia"/>
          <w:color w:val="000000" w:themeColor="text1"/>
          <w:kern w:val="0"/>
          <w:szCs w:val="21"/>
          <w14:textFill>
            <w14:solidFill>
              <w14:schemeClr w14:val="tx1"/>
            </w14:solidFill>
          </w14:textFill>
        </w:rPr>
        <w:t>展示标识设施建设工程</w:t>
      </w:r>
      <w:r>
        <w:rPr>
          <w:rFonts w:hint="eastAsia" w:cs="宋体" w:asciiTheme="minorEastAsia" w:hAnsiTheme="minorEastAsia"/>
          <w:color w:val="000000" w:themeColor="text1"/>
          <w:kern w:val="0"/>
          <w:szCs w:val="21"/>
          <w14:textFill>
            <w14:solidFill>
              <w14:schemeClr w14:val="tx1"/>
            </w14:solidFill>
          </w14:textFill>
        </w:rPr>
        <w:t>。</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）公共建筑遗址：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遗址名称</w:t>
      </w:r>
      <w:r>
        <w:rPr>
          <w:rFonts w:hint="eastAsia" w:cs="宋体" w:asciiTheme="minorEastAsia" w:hAnsiTheme="minorEastAsia"/>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城隍庙遗址</w:t>
      </w:r>
      <w:r>
        <w:rPr>
          <w:rFonts w:hint="eastAsia" w:cs="宋体" w:asciiTheme="minorEastAsia" w:hAnsiTheme="minorEastAsia"/>
          <w:color w:val="000000" w:themeColor="text1"/>
          <w:kern w:val="0"/>
          <w:szCs w:val="21"/>
          <w14:textFill>
            <w14:solidFill>
              <w14:schemeClr w14:val="tx1"/>
            </w14:solidFill>
          </w14:textFill>
        </w:rPr>
        <w:t>、华光庙遗址、文庙遗址、关帝庙遗址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工作内容</w:t>
      </w:r>
      <w:r>
        <w:rPr>
          <w:rFonts w:hint="eastAsia" w:cs="宋体" w:asciiTheme="minorEastAsia" w:hAnsiTheme="minorEastAsia"/>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实施实施考古勘探工程</w:t>
      </w:r>
      <w:r>
        <w:rPr>
          <w:rFonts w:hint="eastAsia" w:cs="宋体" w:asciiTheme="minorEastAsia" w:hAnsiTheme="minorEastAsia"/>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展示标识设施建设工程</w:t>
      </w:r>
      <w:r>
        <w:rPr>
          <w:rFonts w:hint="eastAsia" w:cs="宋体" w:asciiTheme="minorEastAsia" w:hAnsiTheme="minorEastAsia"/>
          <w:color w:val="000000" w:themeColor="text1"/>
          <w:kern w:val="0"/>
          <w:szCs w:val="21"/>
          <w14:textFill>
            <w14:solidFill>
              <w14:schemeClr w14:val="tx1"/>
            </w14:solidFill>
          </w14:textFill>
        </w:rPr>
        <w:t>。</w:t>
      </w:r>
    </w:p>
    <w:p>
      <w:pPr>
        <w:autoSpaceDE w:val="0"/>
        <w:autoSpaceDN w:val="0"/>
        <w:adjustRightInd w:val="0"/>
        <w:ind w:firstLine="482" w:firstLineChars="200"/>
        <w:jc w:val="left"/>
        <w:rPr>
          <w:b/>
          <w:color w:val="000000" w:themeColor="text1"/>
          <w14:textFill>
            <w14:solidFill>
              <w14:schemeClr w14:val="tx1"/>
            </w14:solidFill>
          </w14:textFill>
        </w:rPr>
      </w:pPr>
      <w:bookmarkStart w:id="169" w:name="_Toc15634200"/>
      <w:r>
        <w:rPr>
          <w:rFonts w:hint="eastAsia"/>
          <w:b/>
          <w:color w:val="000000" w:themeColor="text1"/>
          <w14:textFill>
            <w14:solidFill>
              <w14:schemeClr w14:val="tx1"/>
            </w14:solidFill>
          </w14:textFill>
        </w:rPr>
        <w:t>（4）街巷格局保护措施</w:t>
      </w:r>
      <w:bookmarkEnd w:id="169"/>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对街巷实施日常维护，及时解决路面积水、杂草、污染、不当添建、材料或景观受损等问题；</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控制街巷尺度和两旁建筑沿街立面形象，保护历史材质，</w:t>
      </w:r>
      <w:r>
        <w:rPr>
          <w:color w:val="000000" w:themeColor="text1"/>
          <w14:textFill>
            <w14:solidFill>
              <w14:schemeClr w14:val="tx1"/>
            </w14:solidFill>
          </w14:textFill>
        </w:rPr>
        <w:t>恢复历史街巷的传统铺装形式</w:t>
      </w:r>
      <w:r>
        <w:rPr>
          <w:rFonts w:hint="eastAsia"/>
          <w:color w:val="000000" w:themeColor="text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严格执行建设报批程序。</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（5）古树古井保护措施</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古井：在古井周边设置标识牌，必要时设置防护围栏，清理古井周边杂物，平整周边场地。</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古树：设立古树名木标识牌，必要时设置防护围栏；对古树进行监测，定期检查树木状态，完善古树保护名录，定期更新古树各项指标。</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bookmarkStart w:id="170" w:name="_Toc15634201"/>
      <w:r>
        <w:rPr>
          <w:rFonts w:hint="eastAsia" w:cs="宋体" w:asciiTheme="minorEastAsia" w:hAnsiTheme="minorEastAsia"/>
          <w:b/>
          <w:color w:val="000000" w:themeColor="text1"/>
          <w:kern w:val="0"/>
          <w:szCs w:val="21"/>
          <w14:textFill>
            <w14:solidFill>
              <w14:schemeClr w14:val="tx1"/>
            </w14:solidFill>
          </w14:textFill>
        </w:rPr>
        <w:t>2、城外文物环境的保护</w:t>
      </w:r>
    </w:p>
    <w:p>
      <w:pPr>
        <w:autoSpaceDE w:val="0"/>
        <w:autoSpaceDN w:val="0"/>
        <w:adjustRightInd w:val="0"/>
        <w:ind w:firstLine="482" w:firstLineChars="200"/>
        <w:jc w:val="left"/>
        <w:rPr>
          <w:b/>
          <w:color w:val="000000" w:themeColor="text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w:t>
      </w:r>
      <w:r>
        <w:rPr>
          <w:rFonts w:cs="宋体" w:asciiTheme="minorEastAsia" w:hAnsiTheme="minorEastAsia"/>
          <w:b/>
          <w:color w:val="000000" w:themeColor="text1"/>
          <w:kern w:val="0"/>
          <w:szCs w:val="21"/>
          <w14:textFill>
            <w14:solidFill>
              <w14:schemeClr w14:val="tx1"/>
            </w14:solidFill>
          </w14:textFill>
        </w:rPr>
        <w:t>1</w:t>
      </w:r>
      <w:r>
        <w:rPr>
          <w:rFonts w:hint="eastAsia" w:cs="宋体" w:asciiTheme="minorEastAsia" w:hAnsiTheme="minorEastAsia"/>
          <w:b/>
          <w:color w:val="000000" w:themeColor="text1"/>
          <w:kern w:val="0"/>
          <w:szCs w:val="21"/>
          <w14:textFill>
            <w14:solidFill>
              <w14:schemeClr w14:val="tx1"/>
            </w14:solidFill>
          </w14:textFill>
        </w:rPr>
        <w:t>）</w:t>
      </w:r>
      <w:r>
        <w:rPr>
          <w:rFonts w:hint="eastAsia"/>
          <w:b/>
          <w:color w:val="000000" w:themeColor="text1"/>
          <w14:textFill>
            <w14:solidFill>
              <w14:schemeClr w14:val="tx1"/>
            </w14:solidFill>
          </w14:textFill>
        </w:rPr>
        <w:t>山-城-海空间</w:t>
      </w:r>
      <w:r>
        <w:rPr>
          <w:b/>
          <w:color w:val="000000" w:themeColor="text1"/>
          <w14:textFill>
            <w14:solidFill>
              <w14:schemeClr w14:val="tx1"/>
            </w14:solidFill>
          </w14:textFill>
        </w:rPr>
        <w:t>格局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保护控制所城的视线通廊以及所城背山面水的格局；</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禁止对周围山体（东山、排牙山、西山、七娘山）进行开山采石、建房的破坏活动；</w:t>
      </w:r>
    </w:p>
    <w:p>
      <w:pPr>
        <w:autoSpaceDE w:val="0"/>
        <w:autoSpaceDN w:val="0"/>
        <w:adjustRightInd w:val="0"/>
        <w:ind w:firstLine="480" w:firstLineChars="200"/>
        <w:jc w:val="left"/>
        <w:rPr>
          <w:color w:val="000000" w:themeColor="text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禁止进行填海，排污等破坏水体的活动。</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w:t>
      </w:r>
      <w:r>
        <w:rPr>
          <w:rFonts w:cs="宋体" w:asciiTheme="minorEastAsia" w:hAnsiTheme="minorEastAsia"/>
          <w:b/>
          <w:color w:val="000000" w:themeColor="text1"/>
          <w:kern w:val="0"/>
          <w:szCs w:val="21"/>
          <w14:textFill>
            <w14:solidFill>
              <w14:schemeClr w14:val="tx1"/>
            </w14:solidFill>
          </w14:textFill>
        </w:rPr>
        <w:t>2</w:t>
      </w:r>
      <w:r>
        <w:rPr>
          <w:rFonts w:hint="eastAsia" w:cs="宋体" w:asciiTheme="minorEastAsia" w:hAnsiTheme="minorEastAsia"/>
          <w:b/>
          <w:color w:val="000000" w:themeColor="text1"/>
          <w:kern w:val="0"/>
          <w:szCs w:val="21"/>
          <w14:textFill>
            <w14:solidFill>
              <w14:schemeClr w14:val="tx1"/>
            </w14:solidFill>
          </w14:textFill>
        </w:rPr>
        <w:t>）</w:t>
      </w:r>
      <w:r>
        <w:rPr>
          <w:rFonts w:cs="宋体" w:asciiTheme="minorEastAsia" w:hAnsiTheme="minorEastAsia"/>
          <w:b/>
          <w:color w:val="000000" w:themeColor="text1"/>
          <w:kern w:val="0"/>
          <w:szCs w:val="21"/>
          <w14:textFill>
            <w14:solidFill>
              <w14:schemeClr w14:val="tx1"/>
            </w14:solidFill>
          </w14:textFill>
        </w:rPr>
        <w:t>城外相关遗址保护措施</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1</w:t>
      </w:r>
      <w:r>
        <w:rPr>
          <w:rFonts w:hint="eastAsia" w:cs="宋体" w:asciiTheme="minorEastAsia" w:hAnsiTheme="minorEastAsia"/>
          <w:color w:val="000000" w:themeColor="text1"/>
          <w:kern w:val="0"/>
          <w:szCs w:val="21"/>
          <w14:textFill>
            <w14:solidFill>
              <w14:schemeClr w14:val="tx1"/>
            </w14:solidFill>
          </w14:textFill>
        </w:rPr>
        <w:t>）古墓葬保护措施</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名称：赖绍贤夫妇墓、赖太母刘老夫人墓、振威将军刘起龙墓、刘起龙夫人林氏墓、明武略将军徐勋墓、东山寺住持墓。</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工作内容：对墓葬本体进行保护性维修，对墓葬周边进行环境整治，清除杂草，实施墓葬前道路新建工程。</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）登云桥、荣荫桥</w:t>
      </w:r>
    </w:p>
    <w:p>
      <w:pPr>
        <w:autoSpaceDE w:val="0"/>
        <w:autoSpaceDN w:val="0"/>
        <w:adjustRightInd w:val="0"/>
        <w:ind w:firstLine="480"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对古桥实施本体保护工程，检修桥体结构稳定性，修补古桥残损构件，修复古桥桥面铺装；清除古桥周边杂草及垃圾，对河道进行清淤、绿化整治。</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14:textFill>
            <w14:solidFill>
              <w14:schemeClr w14:val="tx1"/>
            </w14:solidFill>
          </w14:textFill>
        </w:rPr>
        <w:t>）东山寺石牌坊</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对石牌坊实施本体保护工程，修补残损构建。</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4</w:t>
      </w:r>
      <w:r>
        <w:rPr>
          <w:rFonts w:hint="eastAsia" w:cs="宋体" w:asciiTheme="minorEastAsia" w:hAnsiTheme="minorEastAsia"/>
          <w:color w:val="000000" w:themeColor="text1"/>
          <w:kern w:val="0"/>
          <w:szCs w:val="21"/>
          <w14:textFill>
            <w14:solidFill>
              <w14:schemeClr w14:val="tx1"/>
            </w14:solidFill>
          </w14:textFill>
        </w:rPr>
        <w:t>）东山寺墓塔</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对墓塔实施本体保护工程，更换残损构建。</w:t>
      </w:r>
    </w:p>
    <w:p>
      <w:pPr>
        <w:autoSpaceDE w:val="0"/>
        <w:autoSpaceDN w:val="0"/>
        <w:adjustRightInd w:val="0"/>
        <w:ind w:firstLine="480" w:firstLineChars="200"/>
        <w:jc w:val="left"/>
        <w:rPr>
          <w:rFonts w:ascii="宋体" w:hAnsi="宋体"/>
          <w:color w:val="000000" w:themeColor="text1"/>
          <w:kern w:val="0"/>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5</w:t>
      </w:r>
      <w:r>
        <w:rPr>
          <w:rFonts w:hint="eastAsia" w:cs="宋体" w:asciiTheme="minorEastAsia" w:hAnsiTheme="minorEastAsia"/>
          <w:color w:val="000000" w:themeColor="text1"/>
          <w:kern w:val="0"/>
          <w:szCs w:val="21"/>
          <w14:textFill>
            <w14:solidFill>
              <w14:schemeClr w14:val="tx1"/>
            </w14:solidFill>
          </w14:textFill>
        </w:rPr>
        <w:t>）龙井</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对井内水质进行治理，清除古井周边杂草、杂物，设置防护围栏。</w:t>
      </w:r>
    </w:p>
    <w:p>
      <w:pPr>
        <w:autoSpaceDE w:val="0"/>
        <w:autoSpaceDN w:val="0"/>
        <w:adjustRightInd w:val="0"/>
        <w:ind w:firstLine="482" w:firstLineChars="20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（3）古树保护措施</w:t>
      </w:r>
    </w:p>
    <w:p>
      <w:pPr>
        <w:autoSpaceDE w:val="0"/>
        <w:autoSpaceDN w:val="0"/>
        <w:adjustRightInd w:val="0"/>
        <w:ind w:firstLine="48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设立古树名木标识牌，对古树进行监测，定期检查树木状态，完善古树保护名录。</w:t>
      </w:r>
    </w:p>
    <w:bookmarkEnd w:id="170"/>
    <w:p>
      <w:pPr>
        <w:pStyle w:val="4"/>
        <w:numPr>
          <w:ilvl w:val="0"/>
          <w:numId w:val="34"/>
        </w:numPr>
        <w:spacing w:before="163" w:after="163"/>
        <w:rPr>
          <w:color w:val="000000" w:themeColor="text1"/>
          <w:lang w:eastAsia="zh-CN"/>
          <w14:textFill>
            <w14:solidFill>
              <w14:schemeClr w14:val="tx1"/>
            </w14:solidFill>
          </w14:textFill>
        </w:rPr>
      </w:pPr>
      <w:bookmarkStart w:id="171" w:name="_Toc75013328"/>
      <w:r>
        <w:rPr>
          <w:rFonts w:hint="eastAsia"/>
          <w:color w:val="000000" w:themeColor="text1"/>
          <w:lang w:eastAsia="zh-CN"/>
          <w14:textFill>
            <w14:solidFill>
              <w14:schemeClr w14:val="tx1"/>
            </w14:solidFill>
          </w14:textFill>
        </w:rPr>
        <w:t>大鹏所城</w:t>
      </w:r>
      <w:bookmarkStart w:id="172" w:name="_Toc490470631"/>
      <w:bookmarkEnd w:id="172"/>
      <w:bookmarkStart w:id="173" w:name="_Toc433976094"/>
      <w:bookmarkEnd w:id="173"/>
      <w:bookmarkStart w:id="174" w:name="_Toc490470635"/>
      <w:bookmarkEnd w:id="174"/>
      <w:bookmarkStart w:id="175" w:name="_Toc433976097"/>
      <w:bookmarkEnd w:id="175"/>
      <w:bookmarkStart w:id="176" w:name="_Toc433976093"/>
      <w:bookmarkEnd w:id="176"/>
      <w:bookmarkStart w:id="177" w:name="_Toc433976092"/>
      <w:bookmarkEnd w:id="177"/>
      <w:bookmarkStart w:id="178" w:name="_Toc490470630"/>
      <w:bookmarkEnd w:id="178"/>
      <w:bookmarkStart w:id="179" w:name="_Toc433976091"/>
      <w:bookmarkEnd w:id="179"/>
      <w:bookmarkStart w:id="180" w:name="_Toc490470633"/>
      <w:bookmarkEnd w:id="180"/>
      <w:bookmarkStart w:id="181" w:name="_Toc490470634"/>
      <w:bookmarkEnd w:id="181"/>
      <w:bookmarkStart w:id="182" w:name="_Toc490470632"/>
      <w:bookmarkEnd w:id="182"/>
      <w:bookmarkStart w:id="183" w:name="_Toc433976096"/>
      <w:bookmarkEnd w:id="183"/>
      <w:bookmarkStart w:id="184" w:name="_Toc433976090"/>
      <w:bookmarkEnd w:id="184"/>
      <w:bookmarkStart w:id="185" w:name="_Toc433976095"/>
      <w:bookmarkEnd w:id="185"/>
      <w:bookmarkStart w:id="186" w:name="_Toc490470629"/>
      <w:bookmarkEnd w:id="186"/>
      <w:r>
        <w:rPr>
          <w:rFonts w:hint="eastAsia"/>
          <w:color w:val="000000" w:themeColor="text1"/>
          <w:lang w:eastAsia="zh-CN"/>
          <w14:textFill>
            <w14:solidFill>
              <w14:schemeClr w14:val="tx1"/>
            </w14:solidFill>
          </w14:textFill>
        </w:rPr>
        <w:t>防护措施</w:t>
      </w:r>
      <w:bookmarkEnd w:id="171"/>
    </w:p>
    <w:p>
      <w:pPr>
        <w:pStyle w:val="5"/>
        <w:rPr>
          <w:color w:val="000000" w:themeColor="text1"/>
          <w14:textFill>
            <w14:solidFill>
              <w14:schemeClr w14:val="tx1"/>
            </w14:solidFill>
          </w14:textFill>
        </w:rPr>
      </w:pPr>
      <w:bookmarkStart w:id="187" w:name="_Toc373672810"/>
      <w:bookmarkStart w:id="188" w:name="_Toc75013329"/>
      <w:r>
        <w:rPr>
          <w:rFonts w:hint="eastAsia"/>
          <w:color w:val="000000" w:themeColor="text1"/>
          <w:lang w:eastAsia="zh-CN"/>
          <w14:textFill>
            <w14:solidFill>
              <w14:schemeClr w14:val="tx1"/>
            </w14:solidFill>
          </w14:textFill>
        </w:rPr>
        <w:t>防</w:t>
      </w:r>
      <w:r>
        <w:rPr>
          <w:rFonts w:hint="eastAsia"/>
          <w:color w:val="000000" w:themeColor="text1"/>
          <w14:textFill>
            <w14:solidFill>
              <w14:schemeClr w14:val="tx1"/>
            </w14:solidFill>
          </w14:textFill>
        </w:rPr>
        <w:t>雷</w:t>
      </w:r>
      <w:bookmarkEnd w:id="187"/>
      <w:r>
        <w:rPr>
          <w:rFonts w:hint="eastAsia"/>
          <w:color w:val="000000" w:themeColor="text1"/>
          <w14:textFill>
            <w14:solidFill>
              <w14:schemeClr w14:val="tx1"/>
            </w14:solidFill>
          </w14:textFill>
        </w:rPr>
        <w:t>规划</w:t>
      </w:r>
      <w:bookmarkEnd w:id="18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对城外已有防雷设施进行绿化遮蔽，削减其对所城风貌的影响。</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加强对防雷设施的日常检查和维护工作，建立检查制度，宜每隔半年或一年定期检查一次，及时发现问题及时维护。</w:t>
      </w:r>
    </w:p>
    <w:p>
      <w:pPr>
        <w:pStyle w:val="5"/>
        <w:rPr>
          <w:color w:val="000000" w:themeColor="text1"/>
          <w:lang w:eastAsia="zh-CN"/>
          <w14:textFill>
            <w14:solidFill>
              <w14:schemeClr w14:val="tx1"/>
            </w14:solidFill>
          </w14:textFill>
        </w:rPr>
      </w:pPr>
      <w:bookmarkStart w:id="189" w:name="_Toc75013330"/>
      <w:bookmarkStart w:id="190" w:name="_Toc373672811"/>
      <w:r>
        <w:rPr>
          <w:rFonts w:hint="eastAsia"/>
          <w:color w:val="000000" w:themeColor="text1"/>
          <w14:textFill>
            <w14:solidFill>
              <w14:schemeClr w14:val="tx1"/>
            </w14:solidFill>
          </w14:textFill>
        </w:rPr>
        <w:t>消防</w:t>
      </w:r>
      <w:r>
        <w:rPr>
          <w:rFonts w:hint="eastAsia"/>
          <w:color w:val="000000" w:themeColor="text1"/>
          <w:lang w:eastAsia="zh-CN"/>
          <w14:textFill>
            <w14:solidFill>
              <w14:schemeClr w14:val="tx1"/>
            </w14:solidFill>
          </w14:textFill>
        </w:rPr>
        <w:t>规划</w:t>
      </w:r>
      <w:bookmarkEnd w:id="189"/>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文物院落内禁止使用明火，减少安全隐患。</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进一步完善大鹏所城整体的消防系统，对现有2处微型消防站进行改造提升，完善人员及设施的配备。</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消防系统工程设计应满足《建筑设计防火规范》（GB50016-2014）、《古建筑木结构维护与加固技术规范》（GB50165-92）等国家规范、标准的相关要求。消防系统工程施工应满足《建筑给水排水及采暖工程施工质量验收规范》GB50242-2002、《建筑工程施工质量验收统一标准》（GB50300-2013）等法律、法规的有关要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设计、施工方案须按照相关流程组织实施，同时必须经过严格的消防验收后方可使用。</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消防系统工程完工后，应建立日常巡视制度：派专人负责消防管理及日常监督检查工作，相关人员接受基本的消防知识和技能培训。</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召集城内常住村民组成消防志愿队，定期进行消防安全知识培训，及时发现火灾隐患，确保火灾发生2分钟内出现在火灾现场组织、实施消防工作。</w:t>
      </w:r>
    </w:p>
    <w:p>
      <w:pPr>
        <w:pStyle w:val="5"/>
        <w:rPr>
          <w:color w:val="000000" w:themeColor="text1"/>
          <w14:textFill>
            <w14:solidFill>
              <w14:schemeClr w14:val="tx1"/>
            </w14:solidFill>
          </w14:textFill>
        </w:rPr>
      </w:pPr>
      <w:bookmarkStart w:id="191" w:name="_Toc75013331"/>
      <w:r>
        <w:rPr>
          <w:rFonts w:hint="eastAsia"/>
          <w:color w:val="000000" w:themeColor="text1"/>
          <w14:textFill>
            <w14:solidFill>
              <w14:schemeClr w14:val="tx1"/>
            </w14:solidFill>
          </w14:textFill>
        </w:rPr>
        <w:t>安防</w:t>
      </w:r>
      <w:bookmarkEnd w:id="190"/>
      <w:r>
        <w:rPr>
          <w:rFonts w:hint="eastAsia"/>
          <w:color w:val="000000" w:themeColor="text1"/>
          <w14:textFill>
            <w14:solidFill>
              <w14:schemeClr w14:val="tx1"/>
            </w14:solidFill>
          </w14:textFill>
        </w:rPr>
        <w:t>规划</w:t>
      </w:r>
      <w:bookmarkEnd w:id="191"/>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周边区域设置安防监控探头，纳入大鹏所城整体的安防系统，同时借助周边村镇和社区力量，成立文物保护群众防治组织，确保文物安全。</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安防工程的设计和实施须符合《GB/T 16571-2014 博物馆和文物保护单位安全防范系统要求》、《GA 27-2002文物系统博物馆风险等级和安全防护级别的规定》、《GB 50348-2004安全防范工程技术规范》等国家有关标准、规范的要求。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施工方案须按照相关流程组织实施。针对可能发生的自然灾害、人为破坏等突发事件，编制切实可行的安全防范应急预案，采取安全防范综合联动体系，确保对危害文物安全的特殊事件有足够的应急处理能力。</w:t>
      </w:r>
    </w:p>
    <w:p>
      <w:pPr>
        <w:ind w:firstLine="480" w:firstLineChars="200"/>
        <w:rPr>
          <w:color w:val="000000" w:themeColor="text1"/>
          <w14:textFill>
            <w14:solidFill>
              <w14:schemeClr w14:val="tx1"/>
            </w14:solidFill>
          </w14:textFill>
        </w:rPr>
      </w:pPr>
      <w:bookmarkStart w:id="192" w:name="_Toc373672812"/>
      <w:r>
        <w:rPr>
          <w:rFonts w:hint="eastAsia"/>
          <w:color w:val="000000" w:themeColor="text1"/>
          <w14:textFill>
            <w14:solidFill>
              <w14:schemeClr w14:val="tx1"/>
            </w14:solidFill>
          </w14:textFill>
        </w:rPr>
        <w:t>贯彻落实《大鹏所城安全保卫制度》，进一步规范巡查工作，明确巡查责任。</w:t>
      </w:r>
    </w:p>
    <w:bookmarkEnd w:id="192"/>
    <w:p>
      <w:pPr>
        <w:pStyle w:val="3"/>
        <w:spacing w:before="163" w:after="163"/>
        <w:ind w:left="630" w:hanging="630"/>
        <w:rPr>
          <w:color w:val="000000" w:themeColor="text1"/>
          <w14:textFill>
            <w14:solidFill>
              <w14:schemeClr w14:val="tx1"/>
            </w14:solidFill>
          </w14:textFill>
        </w:rPr>
      </w:pPr>
      <w:bookmarkStart w:id="193" w:name="_Toc373500824"/>
      <w:r>
        <w:rPr>
          <w:color w:val="000000" w:themeColor="text1"/>
          <w14:textFill>
            <w14:solidFill>
              <w14:schemeClr w14:val="tx1"/>
            </w14:solidFill>
          </w14:textFill>
        </w:rPr>
        <w:br w:type="column"/>
      </w:r>
      <w:bookmarkStart w:id="194" w:name="_Toc75013332"/>
      <w:r>
        <w:rPr>
          <w:rFonts w:hint="eastAsia"/>
          <w:color w:val="000000" w:themeColor="text1"/>
          <w14:textFill>
            <w14:solidFill>
              <w14:schemeClr w14:val="tx1"/>
            </w14:solidFill>
          </w14:textFill>
        </w:rPr>
        <w:t>环境保护规划</w:t>
      </w:r>
      <w:bookmarkEnd w:id="193"/>
      <w:bookmarkEnd w:id="194"/>
    </w:p>
    <w:p>
      <w:pPr>
        <w:pStyle w:val="4"/>
        <w:numPr>
          <w:ilvl w:val="0"/>
          <w:numId w:val="35"/>
        </w:numPr>
        <w:spacing w:before="163" w:after="163"/>
        <w:rPr>
          <w:color w:val="000000" w:themeColor="text1"/>
          <w:lang w:eastAsia="zh-CN"/>
          <w14:textFill>
            <w14:solidFill>
              <w14:schemeClr w14:val="tx1"/>
            </w14:solidFill>
          </w14:textFill>
        </w:rPr>
      </w:pPr>
      <w:bookmarkStart w:id="195" w:name="_Toc373672819"/>
      <w:bookmarkStart w:id="196" w:name="_Toc75013333"/>
      <w:r>
        <w:rPr>
          <w:rFonts w:hint="eastAsia"/>
          <w:color w:val="000000" w:themeColor="text1"/>
          <w:lang w:eastAsia="zh-CN"/>
          <w14:textFill>
            <w14:solidFill>
              <w14:schemeClr w14:val="tx1"/>
            </w14:solidFill>
          </w14:textFill>
        </w:rPr>
        <w:t>环境保护与整治原则</w:t>
      </w:r>
      <w:bookmarkEnd w:id="195"/>
      <w:bookmarkEnd w:id="19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以保存大鹏所城真实历史信息为核心，注重文物环境、村落环境和自然山水环境的整体保护。</w:t>
      </w:r>
    </w:p>
    <w:p>
      <w:pPr>
        <w:spacing w:line="48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强调文物遗存——大鹏所城格局——村落格局——山形水系共同构筑的景观环境，保留与其相关的历史信息和文化内涵，最大限度地保护和延续文物及周边环境的历史形态。</w:t>
      </w:r>
    </w:p>
    <w:p>
      <w:pPr>
        <w:spacing w:line="48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以文物遗存周边环境现状评估为依据，从文物保护的角度出发，制定环境保护与整治措施。</w:t>
      </w:r>
    </w:p>
    <w:p>
      <w:pPr>
        <w:spacing w:line="48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以现代化新型村镇建设与国家级历史文化名村保护相结合为原则。</w:t>
      </w:r>
    </w:p>
    <w:p>
      <w:pPr>
        <w:spacing w:line="48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保护区划内一切环境整治活动，应以保护为前提，防止对文物建筑进行破坏。</w:t>
      </w:r>
      <w:bookmarkStart w:id="197" w:name="_Toc310840922"/>
      <w:bookmarkEnd w:id="197"/>
      <w:bookmarkStart w:id="198" w:name="_Toc313431887"/>
      <w:bookmarkEnd w:id="198"/>
    </w:p>
    <w:p>
      <w:pPr>
        <w:spacing w:line="48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以人为本，坚持可持续发展的理念，节约资源。</w:t>
      </w:r>
    </w:p>
    <w:p>
      <w:pPr>
        <w:pStyle w:val="4"/>
        <w:numPr>
          <w:ilvl w:val="0"/>
          <w:numId w:val="35"/>
        </w:numPr>
        <w:spacing w:before="163" w:after="163"/>
        <w:rPr>
          <w:color w:val="000000" w:themeColor="text1"/>
          <w:lang w:eastAsia="zh-CN"/>
          <w14:textFill>
            <w14:solidFill>
              <w14:schemeClr w14:val="tx1"/>
            </w14:solidFill>
          </w14:textFill>
        </w:rPr>
      </w:pPr>
      <w:bookmarkStart w:id="199" w:name="_Toc75013334"/>
      <w:r>
        <w:rPr>
          <w:rFonts w:hint="eastAsia"/>
          <w:color w:val="000000" w:themeColor="text1"/>
          <w:lang w:eastAsia="zh-CN"/>
          <w14:textFill>
            <w14:solidFill>
              <w14:schemeClr w14:val="tx1"/>
            </w14:solidFill>
          </w14:textFill>
        </w:rPr>
        <w:t>所城内环境保护措施</w:t>
      </w:r>
      <w:bookmarkEnd w:id="199"/>
    </w:p>
    <w:p>
      <w:pPr>
        <w:pStyle w:val="5"/>
        <w:rPr>
          <w:color w:val="000000" w:themeColor="text1"/>
          <w14:textFill>
            <w14:solidFill>
              <w14:schemeClr w14:val="tx1"/>
            </w14:solidFill>
          </w14:textFill>
        </w:rPr>
      </w:pPr>
      <w:bookmarkStart w:id="200" w:name="_Toc373672823"/>
      <w:bookmarkStart w:id="201" w:name="_Toc75013335"/>
      <w:r>
        <w:rPr>
          <w:rFonts w:hint="eastAsia"/>
          <w:color w:val="000000" w:themeColor="text1"/>
          <w:lang w:eastAsia="zh-CN"/>
          <w14:textFill>
            <w14:solidFill>
              <w14:schemeClr w14:val="tx1"/>
            </w14:solidFill>
          </w14:textFill>
        </w:rPr>
        <w:t>城内</w:t>
      </w:r>
      <w:r>
        <w:rPr>
          <w:rFonts w:hint="eastAsia"/>
          <w:color w:val="000000" w:themeColor="text1"/>
          <w14:textFill>
            <w14:solidFill>
              <w14:schemeClr w14:val="tx1"/>
            </w14:solidFill>
          </w14:textFill>
        </w:rPr>
        <w:t>建筑</w:t>
      </w:r>
      <w:bookmarkEnd w:id="200"/>
      <w:r>
        <w:rPr>
          <w:rFonts w:hint="eastAsia"/>
          <w:color w:val="000000" w:themeColor="text1"/>
          <w14:textFill>
            <w14:solidFill>
              <w14:schemeClr w14:val="tx1"/>
            </w14:solidFill>
          </w14:textFill>
        </w:rPr>
        <w:t>保护</w:t>
      </w:r>
      <w:r>
        <w:rPr>
          <w:rFonts w:hint="eastAsia"/>
          <w:color w:val="000000" w:themeColor="text1"/>
          <w:lang w:eastAsia="zh-CN"/>
          <w14:textFill>
            <w14:solidFill>
              <w14:schemeClr w14:val="tx1"/>
            </w14:solidFill>
          </w14:textFill>
        </w:rPr>
        <w:t>措施分类</w:t>
      </w:r>
      <w:bookmarkEnd w:id="201"/>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对应大鹏所城内建筑的综合分类，将大鹏所城内建筑（不包括21处全国重点文物建筑和73处未定级不可移动文物建筑）的保护措施分为</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类：</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改善类建筑：</w:t>
      </w:r>
      <w:r>
        <w:rPr>
          <w:rFonts w:hint="eastAsia"/>
          <w:color w:val="000000" w:themeColor="text1"/>
          <w14:textFill>
            <w14:solidFill>
              <w14:schemeClr w14:val="tx1"/>
            </w14:solidFill>
          </w14:textFill>
        </w:rPr>
        <w:t>此类建筑具有地域传统特色，能反映所城一定时期的历史特色，建筑工艺和材质均符合古城整体风貌。局部地面、墙体、屋面、门窗装修等存在现代因素，建筑局部与古城整体风貌存在较小冲突。</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改造类建筑</w:t>
      </w:r>
      <w:r>
        <w:rPr>
          <w:rFonts w:hint="eastAsia"/>
          <w:color w:val="000000" w:themeColor="text1"/>
          <w14:textFill>
            <w14:solidFill>
              <w14:schemeClr w14:val="tx1"/>
            </w14:solidFill>
          </w14:textFill>
        </w:rPr>
        <w:t>：此类建筑价值内涵较低，无明显区域建筑特色，仅在体量、形式、建筑外立面色彩上与所城传统风貌基本一致，但在建筑的屋面、墙体、门窗木装修等方面与古城传统建筑材料、工艺存在较大差异。</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拆除类建筑：</w:t>
      </w:r>
      <w:r>
        <w:rPr>
          <w:rFonts w:hint="eastAsia"/>
          <w:color w:val="000000" w:themeColor="text1"/>
          <w14:textFill>
            <w14:solidFill>
              <w14:schemeClr w14:val="tx1"/>
            </w14:solidFill>
          </w14:textFill>
        </w:rPr>
        <w:t>此类建筑多为占压城墙遗址、破坏古城街巷布局的建筑，不具备价值，且无区域建筑特色，在体量、形式、建筑外立面色彩上与所城传统风貌存在较大差异，多采用现代建筑的建造方式，严重破坏古城整体格局。</w:t>
      </w:r>
    </w:p>
    <w:p>
      <w:pPr>
        <w:ind w:firstLine="480" w:firstLineChars="200"/>
        <w:rPr>
          <w:color w:val="000000" w:themeColor="text1"/>
          <w14:textFill>
            <w14:solidFill>
              <w14:schemeClr w14:val="tx1"/>
            </w14:solidFill>
          </w14:textFill>
        </w:rPr>
      </w:pPr>
    </w:p>
    <w:p>
      <w:pPr>
        <w:pStyle w:val="5"/>
        <w:rPr>
          <w:color w:val="000000" w:themeColor="text1"/>
          <w:lang w:eastAsia="zh-CN"/>
          <w14:textFill>
            <w14:solidFill>
              <w14:schemeClr w14:val="tx1"/>
            </w14:solidFill>
          </w14:textFill>
        </w:rPr>
      </w:pPr>
      <w:bookmarkStart w:id="202" w:name="_Toc75013336"/>
      <w:r>
        <w:rPr>
          <w:rFonts w:hint="eastAsia"/>
          <w:color w:val="000000" w:themeColor="text1"/>
          <w:lang w:eastAsia="zh-CN"/>
          <w14:textFill>
            <w14:solidFill>
              <w14:schemeClr w14:val="tx1"/>
            </w14:solidFill>
          </w14:textFill>
        </w:rPr>
        <w:t>城内建筑保护措施</w:t>
      </w:r>
      <w:bookmarkEnd w:id="202"/>
    </w:p>
    <w:p>
      <w:pPr>
        <w:numPr>
          <w:ilvl w:val="0"/>
          <w:numId w:val="3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改善类建筑</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对建筑整体进行保留，对不协调的现代因素进行改善，最大限度延续传统建筑的建筑形制与建筑风貌，以建筑现有做法为主要的修复手法，适当运用新材料、新工艺，同时可对内部格局进行适当调整。</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改造过程中可对病害严重的建筑部分适当采用现代材料进行修整，尽量保持新增设施与建筑原有风貌一致。</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建筑利用方式禁止进行餐饮、生产、制造等业态形式。</w:t>
      </w:r>
    </w:p>
    <w:p>
      <w:pPr>
        <w:numPr>
          <w:ilvl w:val="0"/>
          <w:numId w:val="3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改造类建筑 </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可对建筑本身与古城整体风貌造成较大冲突的部分进行整治改造，使之与传统风貌协调，同时可对内部格局进行改造调整。</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在保证建筑结构安全性的前提下，可根据具体的利用方式对室内地面、墙体、梁柱等部位进行合理改造。</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建筑在施工过程中适当应用当地建筑特色，优先考虑采用传统工艺，在建筑形式、高度、工艺手法上要符合所城整体风貌，同时应满足相关建筑设计规范。 </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建筑利用方式禁止进行生产、制造业态形式。 </w:t>
      </w:r>
    </w:p>
    <w:p>
      <w:pPr>
        <w:numPr>
          <w:ilvl w:val="0"/>
          <w:numId w:val="36"/>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拆除类建筑 </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此类建筑多为占压城墙遗址、城内破坏街巷格局以及无法对其通过降低层数、立面整治等方式使之与所城整体风貌协调的建筑。其中占压城墙遗址拆除建筑6</w:t>
      </w:r>
      <w:r>
        <w:rPr>
          <w:rFonts w:ascii="宋体" w:hAnsi="宋体"/>
          <w:color w:val="000000" w:themeColor="text1"/>
          <w:kern w:val="0"/>
          <w14:textFill>
            <w14:solidFill>
              <w14:schemeClr w14:val="tx1"/>
            </w14:solidFill>
          </w14:textFill>
        </w:rPr>
        <w:t>0</w:t>
      </w:r>
      <w:r>
        <w:rPr>
          <w:rFonts w:hint="eastAsia" w:ascii="宋体" w:hAnsi="宋体"/>
          <w:color w:val="000000" w:themeColor="text1"/>
          <w:kern w:val="0"/>
          <w14:textFill>
            <w14:solidFill>
              <w14:schemeClr w14:val="tx1"/>
            </w14:solidFill>
          </w14:textFill>
        </w:rPr>
        <w:t>栋，城内拆除建筑1</w:t>
      </w:r>
      <w:r>
        <w:rPr>
          <w:rFonts w:ascii="宋体" w:hAnsi="宋体"/>
          <w:color w:val="000000" w:themeColor="text1"/>
          <w:kern w:val="0"/>
          <w14:textFill>
            <w14:solidFill>
              <w14:schemeClr w14:val="tx1"/>
            </w14:solidFill>
          </w14:textFill>
        </w:rPr>
        <w:t>16</w:t>
      </w:r>
      <w:r>
        <w:rPr>
          <w:rFonts w:hint="eastAsia" w:ascii="宋体" w:hAnsi="宋体"/>
          <w:color w:val="000000" w:themeColor="text1"/>
          <w:kern w:val="0"/>
          <w14:textFill>
            <w14:solidFill>
              <w14:schemeClr w14:val="tx1"/>
            </w14:solidFill>
          </w14:textFill>
        </w:rPr>
        <w:t>栋。</w:t>
      </w:r>
    </w:p>
    <w:p>
      <w:pPr>
        <w:numPr>
          <w:ilvl w:val="2"/>
          <w:numId w:val="37"/>
        </w:numPr>
        <w:tabs>
          <w:tab w:val="left" w:pos="1380"/>
        </w:tabs>
        <w:ind w:left="1367" w:hanging="482"/>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可进行新的展示利用建设活动或对有条件恢复历史格局的进行复建，或开辟为绿化及开敞空间。</w:t>
      </w:r>
    </w:p>
    <w:p>
      <w:pPr>
        <w:pStyle w:val="5"/>
        <w:rPr>
          <w:color w:val="000000" w:themeColor="text1"/>
          <w:lang w:eastAsia="zh-CN"/>
          <w14:textFill>
            <w14:solidFill>
              <w14:schemeClr w14:val="tx1"/>
            </w14:solidFill>
          </w14:textFill>
        </w:rPr>
      </w:pPr>
      <w:bookmarkStart w:id="203" w:name="_Toc75013337"/>
      <w:r>
        <w:rPr>
          <w:rFonts w:hint="eastAsia"/>
          <w:color w:val="000000" w:themeColor="text1"/>
          <w:lang w:eastAsia="zh-CN"/>
          <w14:textFill>
            <w14:solidFill>
              <w14:schemeClr w14:val="tx1"/>
            </w14:solidFill>
          </w14:textFill>
        </w:rPr>
        <w:t>城内建筑高度控制</w:t>
      </w:r>
      <w:bookmarkEnd w:id="203"/>
    </w:p>
    <w:p>
      <w:pPr>
        <w:ind w:firstLine="480" w:firstLineChars="200"/>
        <w:rPr>
          <w:color w:val="000000" w:themeColor="text1"/>
          <w14:textFill>
            <w14:solidFill>
              <w14:schemeClr w14:val="tx1"/>
            </w14:solidFill>
          </w14:textFill>
        </w:rPr>
      </w:pPr>
      <w:bookmarkStart w:id="204" w:name="_Hlk39742217"/>
      <w:r>
        <w:rPr>
          <w:color w:val="000000" w:themeColor="text1"/>
          <w14:textFill>
            <w14:solidFill>
              <w14:schemeClr w14:val="tx1"/>
            </w14:solidFill>
          </w14:textFill>
        </w:rPr>
        <w:t>为了维持古城现有街巷空间尺度</w:t>
      </w:r>
      <w:r>
        <w:rPr>
          <w:rFonts w:hint="eastAsia"/>
          <w:color w:val="000000" w:themeColor="text1"/>
          <w14:textFill>
            <w14:solidFill>
              <w14:schemeClr w14:val="tx1"/>
            </w14:solidFill>
          </w14:textFill>
        </w:rPr>
        <w:t>，控制</w:t>
      </w:r>
      <w:r>
        <w:rPr>
          <w:color w:val="000000" w:themeColor="text1"/>
          <w14:textFill>
            <w14:solidFill>
              <w14:schemeClr w14:val="tx1"/>
            </w14:solidFill>
          </w14:textFill>
        </w:rPr>
        <w:t>古城</w:t>
      </w:r>
      <w:r>
        <w:rPr>
          <w:rFonts w:hint="eastAsia"/>
          <w:color w:val="000000" w:themeColor="text1"/>
          <w14:textFill>
            <w14:solidFill>
              <w14:schemeClr w14:val="tx1"/>
            </w14:solidFill>
          </w14:textFill>
        </w:rPr>
        <w:t>内改善类和改造类建筑的高度，规划在充分研究所城内现状建筑高度的基础上，</w:t>
      </w:r>
      <w:r>
        <w:rPr>
          <w:rFonts w:hint="eastAsia" w:ascii="宋体" w:hAnsi="宋体"/>
          <w:color w:val="000000" w:themeColor="text1"/>
          <w:kern w:val="0"/>
          <w14:textFill>
            <w14:solidFill>
              <w14:schemeClr w14:val="tx1"/>
            </w14:solidFill>
          </w14:textFill>
        </w:rPr>
        <w:t>分别通过街道剖面视线分析得出城内建筑高度控制要求</w:t>
      </w:r>
      <w:r>
        <w:rPr>
          <w:rFonts w:hint="eastAsia"/>
          <w:color w:val="000000" w:themeColor="text1"/>
          <w14:textFill>
            <w14:solidFill>
              <w14:schemeClr w14:val="tx1"/>
            </w14:solidFill>
          </w14:textFill>
        </w:rPr>
        <w:t>。</w:t>
      </w:r>
    </w:p>
    <w:p>
      <w:pPr>
        <w:numPr>
          <w:ilvl w:val="0"/>
          <w:numId w:val="38"/>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南门街两侧改造或改善类建筑高度控制</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控制一层建筑屋脊高度不得超过6.5米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建筑檐口高度不得超过</w:t>
      </w:r>
      <w:r>
        <w:rPr>
          <w:rFonts w:hint="eastAsia"/>
          <w:color w:val="000000" w:themeColor="text1"/>
          <w14:textFill>
            <w14:solidFill>
              <w14:schemeClr w14:val="tx1"/>
            </w14:solidFill>
          </w14:textFill>
        </w:rPr>
        <w:t>4.5米；</w:t>
      </w:r>
      <w:r>
        <w:rPr>
          <w:color w:val="000000" w:themeColor="text1"/>
          <w14:textFill>
            <w14:solidFill>
              <w14:schemeClr w14:val="tx1"/>
            </w14:solidFill>
          </w14:textFill>
        </w:rPr>
        <w:t>控制二层建筑屋脊高度不得超过8.5米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建筑檐口高度不得超过</w:t>
      </w:r>
      <w:r>
        <w:rPr>
          <w:rFonts w:hint="eastAsia"/>
          <w:color w:val="000000" w:themeColor="text1"/>
          <w14:textFill>
            <w14:solidFill>
              <w14:schemeClr w14:val="tx1"/>
            </w14:solidFill>
          </w14:textFill>
        </w:rPr>
        <w:t>6.5米；零星三层</w:t>
      </w:r>
      <w:r>
        <w:rPr>
          <w:color w:val="000000" w:themeColor="text1"/>
          <w14:textFill>
            <w14:solidFill>
              <w14:schemeClr w14:val="tx1"/>
            </w14:solidFill>
          </w14:textFill>
        </w:rPr>
        <w:t>控制</w:t>
      </w:r>
      <w:r>
        <w:rPr>
          <w:rFonts w:hint="eastAsia"/>
          <w:color w:val="000000" w:themeColor="text1"/>
          <w14:textFill>
            <w14:solidFill>
              <w14:schemeClr w14:val="tx1"/>
            </w14:solidFill>
          </w14:textFill>
        </w:rPr>
        <w:t>建筑屋脊高度不得超过10米，建筑檐口高度不得超过8米。</w:t>
      </w:r>
    </w:p>
    <w:p>
      <w:pPr>
        <w:numPr>
          <w:ilvl w:val="0"/>
          <w:numId w:val="38"/>
        </w:numPr>
        <w:rPr>
          <w:b/>
          <w:color w:val="000000" w:themeColor="text1"/>
          <w14:textFill>
            <w14:solidFill>
              <w14:schemeClr w14:val="tx1"/>
            </w14:solidFill>
          </w14:textFill>
        </w:rPr>
      </w:pPr>
      <w:r>
        <w:rPr>
          <w:b/>
          <w:color w:val="000000" w:themeColor="text1"/>
          <w14:textFill>
            <w14:solidFill>
              <w14:schemeClr w14:val="tx1"/>
            </w14:solidFill>
          </w14:textFill>
        </w:rPr>
        <w:t>十字街</w:t>
      </w:r>
      <w:r>
        <w:rPr>
          <w:rFonts w:hint="eastAsia"/>
          <w:b/>
          <w:color w:val="000000" w:themeColor="text1"/>
          <w14:textFill>
            <w14:solidFill>
              <w14:schemeClr w14:val="tx1"/>
            </w14:solidFill>
          </w14:textFill>
        </w:rPr>
        <w:t>两侧改造或改善类建筑高度控制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控制在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层以内，控制一层建筑屋脊高度不得超过</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米，建筑檐口高度不得超过4.5米；控制二层建筑屋脊高度不得超过</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米，建筑檐口高度不得超过6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numPr>
          <w:ilvl w:val="0"/>
          <w:numId w:val="38"/>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正街两侧改造或改善类建筑高度控制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控制一层建筑屋脊高度不得超过</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米，建筑檐口高度不得超过4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米；控制二层建筑屋脊高度不得超过</w:t>
      </w:r>
      <w:r>
        <w:rPr>
          <w:color w:val="000000" w:themeColor="text1"/>
          <w14:textFill>
            <w14:solidFill>
              <w14:schemeClr w14:val="tx1"/>
            </w14:solidFill>
          </w14:textFill>
        </w:rPr>
        <w:t>8.5</w:t>
      </w:r>
      <w:r>
        <w:rPr>
          <w:rFonts w:hint="eastAsia"/>
          <w:color w:val="000000" w:themeColor="text1"/>
          <w14:textFill>
            <w14:solidFill>
              <w14:schemeClr w14:val="tx1"/>
            </w14:solidFill>
          </w14:textFill>
        </w:rPr>
        <w:t>米，建筑檐口高度不得超过6.5米。</w:t>
      </w:r>
    </w:p>
    <w:p>
      <w:pPr>
        <w:numPr>
          <w:ilvl w:val="0"/>
          <w:numId w:val="38"/>
        </w:numPr>
        <w:rPr>
          <w:b/>
          <w:color w:val="000000" w:themeColor="text1"/>
          <w14:textFill>
            <w14:solidFill>
              <w14:schemeClr w14:val="tx1"/>
            </w14:solidFill>
          </w14:textFill>
        </w:rPr>
      </w:pPr>
      <w:r>
        <w:rPr>
          <w:rFonts w:hint="eastAsia"/>
          <w:b/>
          <w:color w:val="000000" w:themeColor="text1"/>
          <w14:textFill>
            <w14:solidFill>
              <w14:schemeClr w14:val="tx1"/>
            </w14:solidFill>
          </w14:textFill>
        </w:rPr>
        <w:t>东门街两侧改造或改善类建筑高度控制</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东门街两侧改造或改善类建筑控制在</w:t>
      </w:r>
      <w:r>
        <w:rPr>
          <w:rFonts w:hint="eastAsia"/>
          <w:color w:val="000000" w:themeColor="text1"/>
          <w14:textFill>
            <w14:solidFill>
              <w14:schemeClr w14:val="tx1"/>
            </w14:solidFill>
          </w14:textFill>
        </w:rPr>
        <w:t>2层以内，控制一层建筑屋脊高度不得超过</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米，建筑檐口高度不得超过4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米；控制二层建筑屋脊高度不得超过</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米，建筑檐口高度不得超过6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米。</w:t>
      </w:r>
    </w:p>
    <w:p>
      <w:pPr>
        <w:numPr>
          <w:ilvl w:val="0"/>
          <w:numId w:val="38"/>
        </w:numPr>
        <w:rPr>
          <w:b/>
          <w:color w:val="000000" w:themeColor="text1"/>
          <w14:textFill>
            <w14:solidFill>
              <w14:schemeClr w14:val="tx1"/>
            </w14:solidFill>
          </w14:textFill>
        </w:rPr>
      </w:pPr>
      <w:r>
        <w:rPr>
          <w:b/>
          <w:color w:val="000000" w:themeColor="text1"/>
          <w14:textFill>
            <w14:solidFill>
              <w14:schemeClr w14:val="tx1"/>
            </w14:solidFill>
          </w14:textFill>
        </w:rPr>
        <w:t>其他区域改造或改善类建筑高度控制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其他区域通过街巷尺度分期，确定改造或改善类建筑控制在2层以内，建筑屋脊高度不得超过</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米，建筑檐口高度不得超过6.0米。（具体详见建筑高度控制图一、二）</w:t>
      </w:r>
    </w:p>
    <w:bookmarkEnd w:id="204"/>
    <w:p>
      <w:pPr>
        <w:pStyle w:val="5"/>
        <w:rPr>
          <w:color w:val="000000" w:themeColor="text1"/>
          <w:lang w:eastAsia="zh-CN"/>
          <w14:textFill>
            <w14:solidFill>
              <w14:schemeClr w14:val="tx1"/>
            </w14:solidFill>
          </w14:textFill>
        </w:rPr>
      </w:pPr>
      <w:bookmarkStart w:id="205" w:name="_Toc75013338"/>
      <w:r>
        <w:rPr>
          <w:color w:val="000000" w:themeColor="text1"/>
          <w:lang w:eastAsia="zh-CN"/>
          <w14:textFill>
            <w14:solidFill>
              <w14:schemeClr w14:val="tx1"/>
            </w14:solidFill>
          </w14:textFill>
        </w:rPr>
        <w:t>城内街巷整治措施</w:t>
      </w:r>
      <w:bookmarkEnd w:id="205"/>
    </w:p>
    <w:p>
      <w:pPr>
        <w:ind w:firstLine="48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对</w:t>
      </w:r>
      <w:r>
        <w:rPr>
          <w:rFonts w:hint="eastAsia"/>
          <w:color w:val="000000" w:themeColor="text1"/>
          <w:lang w:val="zh-CN"/>
          <w14:textFill>
            <w14:solidFill>
              <w14:schemeClr w14:val="tx1"/>
            </w14:solidFill>
          </w14:textFill>
        </w:rPr>
        <w:t>《深圳市大鹏所城整体整体保护项目一、二期工程》实施后，</w:t>
      </w:r>
      <w:r>
        <w:rPr>
          <w:color w:val="000000" w:themeColor="text1"/>
          <w:lang w:val="zh-CN"/>
          <w14:textFill>
            <w14:solidFill>
              <w14:schemeClr w14:val="tx1"/>
            </w14:solidFill>
          </w14:textFill>
        </w:rPr>
        <w:t>所城内尚未进行整治的街道进行治理工程</w:t>
      </w:r>
      <w:r>
        <w:rPr>
          <w:rFonts w:hint="eastAsia"/>
          <w:color w:val="000000" w:themeColor="text1"/>
          <w:lang w:val="zh-CN"/>
          <w14:textFill>
            <w14:solidFill>
              <w14:schemeClr w14:val="tx1"/>
            </w14:solidFill>
          </w14:textFill>
        </w:rPr>
        <w:t>。剔除原有水泥及破损路面，采用青石板路面为主，适当搭配青砖和鹅卵石。为与所城排水系统相协调，在路边采用单侧布置的方式设置排水沟，并设置1.5%的横坡，坡向边沟。</w:t>
      </w:r>
    </w:p>
    <w:p>
      <w:pPr>
        <w:pStyle w:val="5"/>
        <w:rPr>
          <w:color w:val="000000" w:themeColor="text1"/>
          <w:lang w:eastAsia="zh-CN"/>
          <w14:textFill>
            <w14:solidFill>
              <w14:schemeClr w14:val="tx1"/>
            </w14:solidFill>
          </w14:textFill>
        </w:rPr>
      </w:pPr>
      <w:bookmarkStart w:id="206" w:name="_Toc75013339"/>
      <w:r>
        <w:rPr>
          <w:color w:val="000000" w:themeColor="text1"/>
          <w:lang w:eastAsia="zh-CN"/>
          <w14:textFill>
            <w14:solidFill>
              <w14:schemeClr w14:val="tx1"/>
            </w14:solidFill>
          </w14:textFill>
        </w:rPr>
        <w:t>城内市政基础设施规划</w:t>
      </w:r>
      <w:bookmarkEnd w:id="206"/>
    </w:p>
    <w:p>
      <w:pPr>
        <w:ind w:firstLine="48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对所城东南区域</w:t>
      </w:r>
      <w:r>
        <w:rPr>
          <w:rFonts w:hint="eastAsia"/>
          <w:color w:val="000000" w:themeColor="text1"/>
          <w:lang w:val="zh-CN"/>
          <w14:textFill>
            <w14:solidFill>
              <w14:schemeClr w14:val="tx1"/>
            </w14:solidFill>
          </w14:textFill>
        </w:rPr>
        <w:t>开展市政设施规划建设，完善给排水工程、电力工程、通信工程、有线电视工程，形成覆盖全面的市政基础设施系统。</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（1）给排水工程</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——给水工程</w:t>
      </w:r>
    </w:p>
    <w:p>
      <w:pPr>
        <w:ind w:firstLine="48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结合城内用水需求</w:t>
      </w:r>
      <w:r>
        <w:rPr>
          <w:rFonts w:hint="eastAsia"/>
          <w:color w:val="000000" w:themeColor="text1"/>
          <w:lang w:val="zh-CN"/>
          <w14:textFill>
            <w14:solidFill>
              <w14:schemeClr w14:val="tx1"/>
            </w14:solidFill>
          </w14:textFill>
        </w:rPr>
        <w:t>，对所城内的供水管网进行重新更换和修整，以保障城内的用水量和用水安全。</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排水工程</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采用雨污分流的排水方式，地面明沟排雨水，排污暗管排污水。</w:t>
      </w:r>
    </w:p>
    <w:p>
      <w:pPr>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① 雨水：明沟采用青石板砌筑，不设雨水口，以保证与所城的历史风貌相协调。排水边沟的下游通过雨水管接入市政雨水管。</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② 污水：污水管线采用一户设一污水支管，污水支管通过连接暗井与污水干管连接，并在室内设置检查井。污水管径小于或等于DN200时采用UPVC塑料管，管径大于DN200时采用HDPE中空壁缠绕结构，管材使用年限不小于50年。污水管开挖前全线采用钢管桩支护。</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（2）电力工程</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针对所城内用电不足，时有停电发生的现象，在结合所城用电荷载的前提下，规划在所城内增设变电房，以满足用户需求。</w:t>
      </w:r>
      <w:r>
        <w:rPr>
          <w:color w:val="000000" w:themeColor="text1"/>
          <w:lang w:val="zh-CN"/>
          <w14:textFill>
            <w14:solidFill>
              <w14:schemeClr w14:val="tx1"/>
            </w14:solidFill>
          </w14:textFill>
        </w:rPr>
        <w:t>依托</w:t>
      </w:r>
      <w:r>
        <w:rPr>
          <w:rFonts w:hint="eastAsia"/>
          <w:color w:val="000000" w:themeColor="text1"/>
          <w:lang w:val="zh-CN"/>
          <w14:textFill>
            <w14:solidFill>
              <w14:schemeClr w14:val="tx1"/>
            </w14:solidFill>
          </w14:textFill>
        </w:rPr>
        <w:t>《深圳市大鹏所城整体整体保护项目一、二期工程》电力的技术要求，增设所城东南区域电力线路，主电缆管采用玻璃钢管，入户电缆管采用热镀锌钢管，电力管道的转弯、分支等处均应设置电力接线井。</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（3）通信、有</w:t>
      </w:r>
      <w:r>
        <w:rPr>
          <w:rFonts w:hint="eastAsia"/>
          <w:color w:val="000000" w:themeColor="text1"/>
          <w:lang w:val="en-US" w:eastAsia="zh-CN"/>
          <w14:textFill>
            <w14:solidFill>
              <w14:schemeClr w14:val="tx1"/>
            </w14:solidFill>
          </w14:textFill>
        </w:rPr>
        <w:t>线</w:t>
      </w:r>
      <w:r>
        <w:rPr>
          <w:rFonts w:hint="eastAsia"/>
          <w:color w:val="000000" w:themeColor="text1"/>
          <w:lang w:val="zh-CN"/>
          <w14:textFill>
            <w14:solidFill>
              <w14:schemeClr w14:val="tx1"/>
            </w14:solidFill>
          </w14:textFill>
        </w:rPr>
        <w:t>电视工程</w:t>
      </w:r>
    </w:p>
    <w:p>
      <w:pPr>
        <w:ind w:firstLine="480"/>
        <w:rPr>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 xml:space="preserve">① </w:t>
      </w:r>
      <w:r>
        <w:rPr>
          <w:color w:val="000000" w:themeColor="text1"/>
          <w:lang w:val="zh-CN"/>
          <w14:textFill>
            <w14:solidFill>
              <w14:schemeClr w14:val="tx1"/>
            </w14:solidFill>
          </w14:textFill>
        </w:rPr>
        <w:t>通信</w:t>
      </w:r>
      <w:r>
        <w:rPr>
          <w:rFonts w:hint="eastAsia"/>
          <w:color w:val="000000" w:themeColor="text1"/>
          <w:lang w:val="zh-CN"/>
          <w14:textFill>
            <w14:solidFill>
              <w14:schemeClr w14:val="tx1"/>
            </w14:solidFill>
          </w14:textFill>
        </w:rPr>
        <w:t>：完善所城东南区域的通信系统，其中弱电管需用不锈钢槽固定，粗砂填缝，在弱电管道的转弯、分支等处均应设置弱电接线井。</w:t>
      </w:r>
    </w:p>
    <w:p>
      <w:pPr>
        <w:ind w:firstLine="480" w:firstLineChars="200"/>
        <w:rPr>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 xml:space="preserve">② </w:t>
      </w:r>
      <w:r>
        <w:rPr>
          <w:color w:val="000000" w:themeColor="text1"/>
          <w:lang w:val="zh-CN"/>
          <w14:textFill>
            <w14:solidFill>
              <w14:schemeClr w14:val="tx1"/>
            </w14:solidFill>
          </w14:textFill>
        </w:rPr>
        <w:t>有线电视</w:t>
      </w:r>
      <w:r>
        <w:rPr>
          <w:rFonts w:hint="eastAsia"/>
          <w:color w:val="000000" w:themeColor="text1"/>
          <w:lang w:val="zh-CN"/>
          <w14:textFill>
            <w14:solidFill>
              <w14:schemeClr w14:val="tx1"/>
            </w14:solidFill>
          </w14:textFill>
        </w:rPr>
        <w:t>：规划增设光机箱1个，放大器箱7处，以满足所城东南区域用户需求。</w:t>
      </w:r>
    </w:p>
    <w:p>
      <w:pPr>
        <w:pStyle w:val="4"/>
        <w:numPr>
          <w:ilvl w:val="0"/>
          <w:numId w:val="35"/>
        </w:numPr>
        <w:spacing w:before="163" w:after="163"/>
        <w:rPr>
          <w:color w:val="000000" w:themeColor="text1"/>
          <w:lang w:eastAsia="zh-CN"/>
          <w14:textFill>
            <w14:solidFill>
              <w14:schemeClr w14:val="tx1"/>
            </w14:solidFill>
          </w14:textFill>
        </w:rPr>
      </w:pPr>
      <w:bookmarkStart w:id="207" w:name="_Toc75013340"/>
      <w:r>
        <w:rPr>
          <w:color w:val="000000" w:themeColor="text1"/>
          <w:lang w:eastAsia="zh-CN"/>
          <w14:textFill>
            <w14:solidFill>
              <w14:schemeClr w14:val="tx1"/>
            </w14:solidFill>
          </w14:textFill>
        </w:rPr>
        <w:t>城外环境整治措施</w:t>
      </w:r>
      <w:bookmarkEnd w:id="207"/>
    </w:p>
    <w:p>
      <w:pPr>
        <w:pStyle w:val="5"/>
        <w:rPr>
          <w:color w:val="000000" w:themeColor="text1"/>
          <w14:textFill>
            <w14:solidFill>
              <w14:schemeClr w14:val="tx1"/>
            </w14:solidFill>
          </w14:textFill>
        </w:rPr>
      </w:pPr>
      <w:bookmarkStart w:id="208" w:name="_Toc75013341"/>
      <w:r>
        <w:rPr>
          <w:rFonts w:hint="eastAsia"/>
          <w:color w:val="000000" w:themeColor="text1"/>
          <w14:textFill>
            <w14:solidFill>
              <w14:schemeClr w14:val="tx1"/>
            </w14:solidFill>
          </w14:textFill>
        </w:rPr>
        <w:t>城外环境整治</w:t>
      </w:r>
      <w:r>
        <w:rPr>
          <w:rFonts w:hint="eastAsia"/>
          <w:color w:val="000000" w:themeColor="text1"/>
          <w:lang w:eastAsia="zh-CN"/>
          <w14:textFill>
            <w14:solidFill>
              <w14:schemeClr w14:val="tx1"/>
            </w14:solidFill>
          </w14:textFill>
        </w:rPr>
        <w:t>总体</w:t>
      </w:r>
      <w:r>
        <w:rPr>
          <w:rFonts w:hint="eastAsia"/>
          <w:color w:val="000000" w:themeColor="text1"/>
          <w14:textFill>
            <w14:solidFill>
              <w14:schemeClr w14:val="tx1"/>
            </w14:solidFill>
          </w14:textFill>
        </w:rPr>
        <w:t>措施</w:t>
      </w:r>
      <w:bookmarkEnd w:id="20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结合鹏城片区控制性详细规划及其他相关规划，根据现场情况提出以下环境整治措施：</w:t>
      </w:r>
    </w:p>
    <w:p>
      <w:pPr>
        <w:numPr>
          <w:ilvl w:val="0"/>
          <w:numId w:val="39"/>
        </w:numPr>
        <w:rPr>
          <w:color w:val="000000" w:themeColor="text1"/>
          <w14:textFill>
            <w14:solidFill>
              <w14:schemeClr w14:val="tx1"/>
            </w14:solidFill>
          </w14:textFill>
        </w:rPr>
      </w:pPr>
      <w:r>
        <w:rPr>
          <w:rFonts w:hint="eastAsia"/>
          <w:color w:val="000000" w:themeColor="text1"/>
          <w14:textFill>
            <w14:solidFill>
              <w14:schemeClr w14:val="tx1"/>
            </w14:solidFill>
          </w14:textFill>
        </w:rPr>
        <w:t>所城周边建筑的拆迁和立面整治；</w:t>
      </w:r>
    </w:p>
    <w:p>
      <w:pPr>
        <w:numPr>
          <w:ilvl w:val="0"/>
          <w:numId w:val="39"/>
        </w:numPr>
        <w:rPr>
          <w:color w:val="000000" w:themeColor="text1"/>
          <w14:textFill>
            <w14:solidFill>
              <w14:schemeClr w14:val="tx1"/>
            </w14:solidFill>
          </w14:textFill>
        </w:rPr>
      </w:pPr>
      <w:r>
        <w:rPr>
          <w:rFonts w:hint="eastAsia"/>
          <w:color w:val="000000" w:themeColor="text1"/>
          <w14:textFill>
            <w14:solidFill>
              <w14:schemeClr w14:val="tx1"/>
            </w14:solidFill>
          </w14:textFill>
        </w:rPr>
        <w:t>所城周边道路和停车设施的整治和设置；</w:t>
      </w:r>
    </w:p>
    <w:p>
      <w:pPr>
        <w:numPr>
          <w:ilvl w:val="0"/>
          <w:numId w:val="39"/>
        </w:numPr>
        <w:rPr>
          <w:color w:val="000000" w:themeColor="text1"/>
          <w14:textFill>
            <w14:solidFill>
              <w14:schemeClr w14:val="tx1"/>
            </w14:solidFill>
          </w14:textFill>
        </w:rPr>
      </w:pPr>
      <w:r>
        <w:rPr>
          <w:rFonts w:hint="eastAsia"/>
          <w:color w:val="000000" w:themeColor="text1"/>
          <w14:textFill>
            <w14:solidFill>
              <w14:schemeClr w14:val="tx1"/>
            </w14:solidFill>
          </w14:textFill>
        </w:rPr>
        <w:t>所城周边市政工程管线的整治；</w:t>
      </w:r>
    </w:p>
    <w:p>
      <w:pPr>
        <w:numPr>
          <w:ilvl w:val="0"/>
          <w:numId w:val="39"/>
        </w:numPr>
        <w:rPr>
          <w:color w:val="000000" w:themeColor="text1"/>
          <w14:textFill>
            <w14:solidFill>
              <w14:schemeClr w14:val="tx1"/>
            </w14:solidFill>
          </w14:textFill>
        </w:rPr>
      </w:pPr>
      <w:r>
        <w:rPr>
          <w:rFonts w:hint="eastAsia"/>
          <w:color w:val="000000" w:themeColor="text1"/>
          <w14:textFill>
            <w14:solidFill>
              <w14:schemeClr w14:val="tx1"/>
            </w14:solidFill>
          </w14:textFill>
        </w:rPr>
        <w:t>所城周边生产生活垃圾的处理；</w:t>
      </w:r>
    </w:p>
    <w:p>
      <w:pPr>
        <w:numPr>
          <w:ilvl w:val="0"/>
          <w:numId w:val="39"/>
        </w:numPr>
        <w:rPr>
          <w:color w:val="000000" w:themeColor="text1"/>
          <w14:textFill>
            <w14:solidFill>
              <w14:schemeClr w14:val="tx1"/>
            </w14:solidFill>
          </w14:textFill>
        </w:rPr>
      </w:pPr>
      <w:r>
        <w:rPr>
          <w:rFonts w:hint="eastAsia"/>
          <w:color w:val="000000" w:themeColor="text1"/>
          <w14:textFill>
            <w14:solidFill>
              <w14:schemeClr w14:val="tx1"/>
            </w14:solidFill>
          </w14:textFill>
        </w:rPr>
        <w:t>鹏城河河道的恢复和整治。</w:t>
      </w:r>
    </w:p>
    <w:p>
      <w:pPr>
        <w:pStyle w:val="5"/>
        <w:rPr>
          <w:color w:val="000000" w:themeColor="text1"/>
          <w:lang w:eastAsia="zh-CN"/>
          <w14:textFill>
            <w14:solidFill>
              <w14:schemeClr w14:val="tx1"/>
            </w14:solidFill>
          </w14:textFill>
        </w:rPr>
      </w:pPr>
      <w:bookmarkStart w:id="209" w:name="_Toc75013342"/>
      <w:bookmarkStart w:id="210" w:name="_Toc363044839"/>
      <w:bookmarkStart w:id="211" w:name="_Toc373672824"/>
      <w:bookmarkStart w:id="212" w:name="_Toc310840928"/>
      <w:r>
        <w:rPr>
          <w:rFonts w:hint="eastAsia"/>
          <w:color w:val="000000" w:themeColor="text1"/>
          <w14:textFill>
            <w14:solidFill>
              <w14:schemeClr w14:val="tx1"/>
            </w14:solidFill>
          </w14:textFill>
        </w:rPr>
        <w:t>城外建筑整治措施</w:t>
      </w:r>
      <w:bookmarkEnd w:id="209"/>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大鹏所城周边建筑整治措施包括：建筑拆迁、建筑整治两种方式。</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建筑拆迁：拆除规划环城路以内，所城以外所形成的区域范围内的建筑，以及位于南北轴线上影响景观通廊和建筑风貌、质量较差的建筑。其中影响南北视线通廊需拆除建筑</w:t>
      </w:r>
      <w:r>
        <w:rPr>
          <w:color w:val="000000" w:themeColor="text1"/>
          <w:lang w:val="zh-CN"/>
          <w14:textFill>
            <w14:solidFill>
              <w14:schemeClr w14:val="tx1"/>
            </w14:solidFill>
          </w14:textFill>
        </w:rPr>
        <w:t>103</w:t>
      </w:r>
      <w:r>
        <w:rPr>
          <w:rFonts w:hint="eastAsia"/>
          <w:color w:val="000000" w:themeColor="text1"/>
          <w:lang w:val="zh-CN"/>
          <w14:textFill>
            <w14:solidFill>
              <w14:schemeClr w14:val="tx1"/>
            </w14:solidFill>
          </w14:textFill>
        </w:rPr>
        <w:t>栋，城外其他需拆除建筑</w:t>
      </w:r>
      <w:r>
        <w:rPr>
          <w:color w:val="000000" w:themeColor="text1"/>
          <w:lang w:val="zh-CN"/>
          <w14:textFill>
            <w14:solidFill>
              <w14:schemeClr w14:val="tx1"/>
            </w14:solidFill>
          </w14:textFill>
        </w:rPr>
        <w:t>80</w:t>
      </w:r>
      <w:r>
        <w:rPr>
          <w:rFonts w:hint="eastAsia"/>
          <w:color w:val="000000" w:themeColor="text1"/>
          <w:lang w:val="zh-CN"/>
          <w14:textFill>
            <w14:solidFill>
              <w14:schemeClr w14:val="tx1"/>
            </w14:solidFill>
          </w14:textFill>
        </w:rPr>
        <w:t>栋。</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建筑整治：对城外建筑层高、立面材料、颜色、风貌等局部与大鹏所城传统建筑不协调的建筑进行立面整治，采取降层、恢复墙体、门窗、屋面等方式。</w:t>
      </w:r>
    </w:p>
    <w:p>
      <w:pPr>
        <w:pStyle w:val="5"/>
        <w:rPr>
          <w:color w:val="000000" w:themeColor="text1"/>
          <w14:textFill>
            <w14:solidFill>
              <w14:schemeClr w14:val="tx1"/>
            </w14:solidFill>
          </w14:textFill>
        </w:rPr>
      </w:pPr>
      <w:bookmarkStart w:id="213" w:name="_Toc75013343"/>
      <w:r>
        <w:rPr>
          <w:color w:val="000000" w:themeColor="text1"/>
          <w14:textFill>
            <w14:solidFill>
              <w14:schemeClr w14:val="tx1"/>
            </w14:solidFill>
          </w14:textFill>
        </w:rPr>
        <w:t>城外建筑高度控制</w:t>
      </w:r>
      <w:bookmarkEnd w:id="213"/>
    </w:p>
    <w:p>
      <w:pPr>
        <w:ind w:firstLine="480" w:firstLineChars="200"/>
        <w:rPr>
          <w:rFonts w:ascii="宋体" w:hAnsi="宋体"/>
          <w:color w:val="000000" w:themeColor="text1"/>
          <w:kern w:val="0"/>
          <w14:textFill>
            <w14:solidFill>
              <w14:schemeClr w14:val="tx1"/>
            </w14:solidFill>
          </w14:textFill>
        </w:rPr>
      </w:pPr>
      <w:bookmarkStart w:id="214" w:name="_Hlk39742439"/>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）城外一类建筑高度控制</w:t>
      </w:r>
    </w:p>
    <w:p>
      <w:pPr>
        <w:ind w:firstLine="480" w:firstLineChars="200"/>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规划通过建立2</w:t>
      </w:r>
      <w:r>
        <w:rPr>
          <w:rFonts w:ascii="宋体" w:hAnsi="宋体"/>
          <w:color w:val="000000" w:themeColor="text1"/>
          <w:kern w:val="0"/>
          <w14:textFill>
            <w14:solidFill>
              <w14:schemeClr w14:val="tx1"/>
            </w14:solidFill>
          </w14:textFill>
        </w:rPr>
        <w:t>018</w:t>
      </w:r>
      <w:r>
        <w:rPr>
          <w:rFonts w:hint="eastAsia" w:ascii="宋体" w:hAnsi="宋体"/>
          <w:color w:val="000000" w:themeColor="text1"/>
          <w:kern w:val="0"/>
          <w14:textFill>
            <w14:solidFill>
              <w14:schemeClr w14:val="tx1"/>
            </w14:solidFill>
          </w14:textFill>
        </w:rPr>
        <w:t>海岸线与所城之间的视觉参数化模型，对南门外进行建筑高度控制分析，控制建筑物总高度不得超过3</w:t>
      </w:r>
      <w:r>
        <w:rPr>
          <w:rFonts w:ascii="宋体" w:hAnsi="宋体"/>
          <w:color w:val="000000" w:themeColor="text1"/>
          <w:kern w:val="0"/>
          <w14:textFill>
            <w14:solidFill>
              <w14:schemeClr w14:val="tx1"/>
            </w14:solidFill>
          </w14:textFill>
        </w:rPr>
        <w:t>.5米</w:t>
      </w:r>
      <w:r>
        <w:rPr>
          <w:rFonts w:hint="eastAsia" w:ascii="宋体" w:hAnsi="宋体"/>
          <w:color w:val="000000" w:themeColor="text1"/>
          <w:kern w:val="0"/>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（2）二类、三类建设控制地带建筑高度控制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规划综合运用天际线和抛物线控制法，对所城周边的区域进行建筑高度分析，对二类建设控制地带高度进行分区域、分级控制，总体形成以所城为中心向两侧成梯度变化，避免了传统视线分析法的一刀切，也缓解了城市建设的压力。</w:t>
      </w:r>
    </w:p>
    <w:p>
      <w:pPr>
        <w:ind w:firstLine="480" w:firstLineChars="200"/>
        <w:rPr>
          <w:color w:val="000000" w:themeColor="text1"/>
          <w:lang w:val="zh-CN" w:eastAsia="zh-CN"/>
          <w14:textFill>
            <w14:solidFill>
              <w14:schemeClr w14:val="tx1"/>
            </w14:solidFill>
          </w14:textFill>
        </w:rPr>
      </w:pPr>
      <w:r>
        <w:rPr>
          <w:rFonts w:hint="eastAsia"/>
          <w:color w:val="000000" w:themeColor="text1"/>
          <w14:textFill>
            <w14:solidFill>
              <w14:schemeClr w14:val="tx1"/>
            </w14:solidFill>
          </w14:textFill>
        </w:rPr>
        <w:t>其中，规划一号路、城北路十号路、北门楼、</w:t>
      </w:r>
      <w:r>
        <w:rPr>
          <w:color w:val="000000" w:themeColor="text1"/>
          <w14:textFill>
            <w14:solidFill>
              <w14:schemeClr w14:val="tx1"/>
            </w14:solidFill>
          </w14:textFill>
        </w:rPr>
        <w:t>城外一类建设控制地带西边界所围合的区域控制建筑屋脊高度不得超过9.0</w:t>
      </w:r>
      <w:r>
        <w:rPr>
          <w:rFonts w:hint="eastAsia"/>
          <w:color w:val="000000" w:themeColor="text1"/>
          <w14:textFill>
            <w14:solidFill>
              <w14:schemeClr w14:val="tx1"/>
            </w14:solidFill>
          </w14:textFill>
        </w:rPr>
        <w:t>米，建筑檐口高度不得超过7.0米；规划环城路、规划一号路、城外一类建设控制地带东边界所围合的区域控制建筑屋脊高度不得超过</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米，建筑檐口高度不得超过7.0米；</w:t>
      </w:r>
      <w:r>
        <w:rPr>
          <w:color w:val="000000" w:themeColor="text1"/>
          <w14:textFill>
            <w14:solidFill>
              <w14:schemeClr w14:val="tx1"/>
            </w14:solidFill>
          </w14:textFill>
        </w:rPr>
        <w:t>规划一号路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核电应急通道和鹏飞路</w:t>
      </w:r>
      <w:r>
        <w:rPr>
          <w:rFonts w:hint="eastAsia"/>
          <w:color w:val="000000" w:themeColor="text1"/>
          <w14:textFill>
            <w14:solidFill>
              <w14:schemeClr w14:val="tx1"/>
            </w14:solidFill>
          </w14:textFill>
        </w:rPr>
        <w:t>之间</w:t>
      </w:r>
      <w:r>
        <w:rPr>
          <w:color w:val="000000" w:themeColor="text1"/>
          <w14:textFill>
            <w14:solidFill>
              <w14:schemeClr w14:val="tx1"/>
            </w14:solidFill>
          </w14:textFill>
        </w:rPr>
        <w:t>围合的区域控制建筑屋脊高度不得超过</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米，建筑檐口高度不得超过8.0米；三类建设控制地带控制建筑屋脊高度不得超过1</w:t>
      </w:r>
      <w:r>
        <w:rPr>
          <w:color w:val="000000" w:themeColor="text1"/>
          <w14:textFill>
            <w14:solidFill>
              <w14:schemeClr w14:val="tx1"/>
            </w14:solidFill>
          </w14:textFill>
        </w:rPr>
        <w:t>2.0米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其他区域控制建筑屋脊高度不得超过6.5</w:t>
      </w:r>
      <w:r>
        <w:rPr>
          <w:rFonts w:hint="eastAsia"/>
          <w:color w:val="000000" w:themeColor="text1"/>
          <w14:textFill>
            <w14:solidFill>
              <w14:schemeClr w14:val="tx1"/>
            </w14:solidFill>
          </w14:textFill>
        </w:rPr>
        <w:t>米，建筑檐口高度不得超过4.5米。（具体详见建筑高度控制图二）</w:t>
      </w:r>
    </w:p>
    <w:bookmarkEnd w:id="214"/>
    <w:p>
      <w:pPr>
        <w:pStyle w:val="5"/>
        <w:rPr>
          <w:color w:val="000000" w:themeColor="text1"/>
          <w14:textFill>
            <w14:solidFill>
              <w14:schemeClr w14:val="tx1"/>
            </w14:solidFill>
          </w14:textFill>
        </w:rPr>
      </w:pPr>
      <w:bookmarkStart w:id="215" w:name="_Toc75013344"/>
      <w:r>
        <w:rPr>
          <w:color w:val="000000" w:themeColor="text1"/>
          <w14:textFill>
            <w14:solidFill>
              <w14:schemeClr w14:val="tx1"/>
            </w14:solidFill>
          </w14:textFill>
        </w:rPr>
        <w:t>鹏城河的保护</w:t>
      </w:r>
      <w:bookmarkEnd w:id="215"/>
    </w:p>
    <w:p>
      <w:pPr>
        <w:ind w:firstLine="480" w:firstLineChars="200"/>
        <w:rPr>
          <w:color w:val="000000" w:themeColor="text1"/>
          <w:lang w:val="zh-CN"/>
          <w14:textFill>
            <w14:solidFill>
              <w14:schemeClr w14:val="tx1"/>
            </w14:solidFill>
          </w14:textFill>
        </w:rPr>
      </w:pPr>
      <w:r>
        <w:rPr>
          <w:color w:val="000000" w:themeColor="text1"/>
          <w:lang w:val="zh-CN" w:eastAsia="zh-CN"/>
          <w14:textFill>
            <w14:solidFill>
              <w14:schemeClr w14:val="tx1"/>
            </w14:solidFill>
          </w14:textFill>
        </w:rPr>
        <w:t>对鹏城河进行河道和水体治理</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清除河道两侧垃圾</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开展二级碧道建设</w:t>
      </w:r>
      <w:r>
        <w:rPr>
          <w:rFonts w:hint="eastAsia"/>
          <w:color w:val="000000" w:themeColor="text1"/>
          <w:lang w:val="zh-CN"/>
          <w14:textFill>
            <w14:solidFill>
              <w14:schemeClr w14:val="tx1"/>
            </w14:solidFill>
          </w14:textFill>
        </w:rPr>
        <w:t>，对岸线开展生态化改造，采用透水性和多孔性的生态型岸坡防护材料和结构，垂直绿化等方式恢复河道生态岸线，还原河流自然形态。</w:t>
      </w:r>
    </w:p>
    <w:p>
      <w:pPr>
        <w:pStyle w:val="5"/>
        <w:rPr>
          <w:color w:val="000000" w:themeColor="text1"/>
          <w14:textFill>
            <w14:solidFill>
              <w14:schemeClr w14:val="tx1"/>
            </w14:solidFill>
          </w14:textFill>
        </w:rPr>
      </w:pPr>
      <w:bookmarkStart w:id="216" w:name="_Toc75013345"/>
      <w:r>
        <w:rPr>
          <w:rFonts w:hint="eastAsia"/>
          <w:color w:val="000000" w:themeColor="text1"/>
          <w14:textFill>
            <w14:solidFill>
              <w14:schemeClr w14:val="tx1"/>
            </w14:solidFill>
          </w14:textFill>
        </w:rPr>
        <w:t>城外</w:t>
      </w:r>
      <w:bookmarkEnd w:id="210"/>
      <w:r>
        <w:rPr>
          <w:rFonts w:hint="eastAsia"/>
          <w:color w:val="000000" w:themeColor="text1"/>
          <w:lang w:eastAsia="zh-CN"/>
          <w14:textFill>
            <w14:solidFill>
              <w14:schemeClr w14:val="tx1"/>
            </w14:solidFill>
          </w14:textFill>
        </w:rPr>
        <w:t>交通</w:t>
      </w:r>
      <w:r>
        <w:rPr>
          <w:rFonts w:hint="eastAsia"/>
          <w:color w:val="000000" w:themeColor="text1"/>
          <w14:textFill>
            <w14:solidFill>
              <w14:schemeClr w14:val="tx1"/>
            </w14:solidFill>
          </w14:textFill>
        </w:rPr>
        <w:t>系统</w:t>
      </w:r>
      <w:bookmarkEnd w:id="211"/>
      <w:r>
        <w:rPr>
          <w:rFonts w:hint="eastAsia"/>
          <w:color w:val="000000" w:themeColor="text1"/>
          <w:lang w:eastAsia="zh-CN"/>
          <w14:textFill>
            <w14:solidFill>
              <w14:schemeClr w14:val="tx1"/>
            </w14:solidFill>
          </w14:textFill>
        </w:rPr>
        <w:t>调整建议</w:t>
      </w:r>
      <w:bookmarkEnd w:id="21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（1）道路系统整治</w:t>
      </w:r>
    </w:p>
    <w:p>
      <w:pPr>
        <w:ind w:firstLine="480" w:firstLineChars="200"/>
        <w:rPr>
          <w:color w:val="000000" w:themeColor="text1"/>
          <w14:textFill>
            <w14:solidFill>
              <w14:schemeClr w14:val="tx1"/>
            </w14:solidFill>
          </w14:textFill>
        </w:rPr>
      </w:pPr>
      <w:bookmarkStart w:id="217" w:name="_Hlk39742488"/>
      <w:r>
        <w:rPr>
          <w:rFonts w:hint="eastAsia"/>
          <w:color w:val="000000" w:themeColor="text1"/>
          <w14:textFill>
            <w14:solidFill>
              <w14:schemeClr w14:val="tx1"/>
            </w14:solidFill>
          </w14:textFill>
        </w:rPr>
        <w:t>结合大鹏新区交通运输局开展的鹏飞路、鹏坝路道路红线改线工程落实法定图则路网，在考虑文物安全以及现状条件的基础上对法定图则道路网进行调整优化，其中：</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规划一号路：本规划从遗址的安全性出发，将法定图则规划一号路线型进行局部微调，避免对环壕遗址的占压，以及对城墙遗址的扰动。</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规划环路</w:t>
      </w:r>
      <w:r>
        <w:rPr>
          <w:rFonts w:hint="eastAsia"/>
          <w:color w:val="000000" w:themeColor="text1"/>
          <w14:textFill>
            <w14:solidFill>
              <w14:schemeClr w14:val="tx1"/>
            </w14:solidFill>
          </w14:textFill>
        </w:rPr>
        <w:t>：本规划考虑所城消防以及未来展示需求，结合法定图则规划道路、现状道路、现状建筑，沿城墙外边界向外20米规划一条环城路，路幅宽为7米。</w:t>
      </w:r>
    </w:p>
    <w:bookmarkEnd w:id="217"/>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（2）交通站场设施整治</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——停车场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针对现状停车用地分布不均匀的问题，将西门楼前和北门楼前用地设置为广场+停车场的混合用地，所城东南角“配套服务用地”兼顾停车功能。</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公交站场</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落实法定图则于所城西北侧规划的公交站场用地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面积为</w:t>
      </w:r>
      <w:r>
        <w:rPr>
          <w:rFonts w:hint="eastAsia"/>
          <w:color w:val="000000" w:themeColor="text1"/>
          <w14:textFill>
            <w14:solidFill>
              <w14:schemeClr w14:val="tx1"/>
            </w14:solidFill>
          </w14:textFill>
        </w:rPr>
        <w:t>0.64公顷，以满足未来游客游览出行需求。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备注：本条属于非文物规划调整建议，不做强制性要求，待大鹏交通运输局对大鹏鹏城地区道路进行规划调整时，可进行参考。</w:t>
      </w:r>
    </w:p>
    <w:bookmarkEnd w:id="212"/>
    <w:p>
      <w:pPr>
        <w:pStyle w:val="5"/>
        <w:rPr>
          <w:color w:val="000000" w:themeColor="text1"/>
          <w14:textFill>
            <w14:solidFill>
              <w14:schemeClr w14:val="tx1"/>
            </w14:solidFill>
          </w14:textFill>
        </w:rPr>
      </w:pPr>
      <w:bookmarkStart w:id="218" w:name="_Toc75013346"/>
      <w:bookmarkStart w:id="219" w:name="_Toc398631920"/>
      <w:bookmarkStart w:id="220" w:name="_Toc363044838"/>
      <w:bookmarkStart w:id="221" w:name="_Toc373672825"/>
      <w:r>
        <w:rPr>
          <w:rFonts w:hint="eastAsia"/>
          <w:color w:val="000000" w:themeColor="text1"/>
          <w14:textFill>
            <w14:solidFill>
              <w14:schemeClr w14:val="tx1"/>
            </w14:solidFill>
          </w14:textFill>
        </w:rPr>
        <w:t>城外卫生环境整治</w:t>
      </w:r>
      <w:bookmarkEnd w:id="218"/>
      <w:bookmarkEnd w:id="219"/>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清除所城外建筑垃圾，结合居民点设置封闭垃圾收集点，配置环卫机动车，设定专人卫生环境进行维护。</w:t>
      </w:r>
    </w:p>
    <w:p>
      <w:pPr>
        <w:pStyle w:val="5"/>
        <w:rPr>
          <w:color w:val="000000" w:themeColor="text1"/>
          <w14:textFill>
            <w14:solidFill>
              <w14:schemeClr w14:val="tx1"/>
            </w14:solidFill>
          </w14:textFill>
        </w:rPr>
      </w:pPr>
      <w:bookmarkStart w:id="222" w:name="_Toc75013347"/>
      <w:r>
        <w:rPr>
          <w:color w:val="000000" w:themeColor="text1"/>
          <w14:textFill>
            <w14:solidFill>
              <w14:schemeClr w14:val="tx1"/>
            </w14:solidFill>
          </w14:textFill>
        </w:rPr>
        <w:t>城外市政基础设施规划</w:t>
      </w:r>
      <w:bookmarkEnd w:id="22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迁埋</w:t>
      </w:r>
      <w:r>
        <w:rPr>
          <w:color w:val="000000" w:themeColor="text1"/>
          <w14:textFill>
            <w14:solidFill>
              <w14:schemeClr w14:val="tx1"/>
            </w14:solidFill>
          </w14:textFill>
        </w:rPr>
        <w:t>架空</w:t>
      </w:r>
      <w:r>
        <w:rPr>
          <w:rFonts w:hint="eastAsia"/>
          <w:color w:val="000000" w:themeColor="text1"/>
          <w14:textFill>
            <w14:solidFill>
              <w14:schemeClr w14:val="tx1"/>
            </w14:solidFill>
          </w14:textFill>
        </w:rPr>
        <w:t>市政管线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更换老化</w:t>
      </w:r>
      <w:r>
        <w:rPr>
          <w:color w:val="000000" w:themeColor="text1"/>
          <w14:textFill>
            <w14:solidFill>
              <w14:schemeClr w14:val="tx1"/>
            </w14:solidFill>
          </w14:textFill>
        </w:rPr>
        <w:t>电力线路，</w:t>
      </w:r>
      <w:r>
        <w:rPr>
          <w:rFonts w:hint="eastAsia"/>
          <w:color w:val="000000" w:themeColor="text1"/>
          <w14:textFill>
            <w14:solidFill>
              <w14:schemeClr w14:val="tx1"/>
            </w14:solidFill>
          </w14:textFill>
        </w:rPr>
        <w:t>保障市政设施安全通畅运行。</w:t>
      </w:r>
    </w:p>
    <w:bookmarkEnd w:id="220"/>
    <w:bookmarkEnd w:id="221"/>
    <w:p>
      <w:pPr>
        <w:pStyle w:val="5"/>
        <w:rPr>
          <w:color w:val="000000" w:themeColor="text1"/>
          <w14:textFill>
            <w14:solidFill>
              <w14:schemeClr w14:val="tx1"/>
            </w14:solidFill>
          </w14:textFill>
        </w:rPr>
      </w:pPr>
      <w:bookmarkStart w:id="223" w:name="_Toc75013348"/>
      <w:r>
        <w:rPr>
          <w:rFonts w:hint="eastAsia"/>
          <w:color w:val="000000" w:themeColor="text1"/>
          <w:lang w:eastAsia="zh-CN"/>
          <w14:textFill>
            <w14:solidFill>
              <w14:schemeClr w14:val="tx1"/>
            </w14:solidFill>
          </w14:textFill>
        </w:rPr>
        <w:t>居民</w:t>
      </w:r>
      <w:r>
        <w:rPr>
          <w:rFonts w:hint="eastAsia"/>
          <w:color w:val="000000" w:themeColor="text1"/>
          <w14:textFill>
            <w14:solidFill>
              <w14:schemeClr w14:val="tx1"/>
            </w14:solidFill>
          </w14:textFill>
        </w:rPr>
        <w:t>安置建议</w:t>
      </w:r>
      <w:bookmarkEnd w:id="223"/>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（1）安置目标</w:t>
      </w:r>
    </w:p>
    <w:p>
      <w:pPr>
        <w:ind w:firstLine="48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通过有计划的搬迁调整</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转移所城内部分原住居民</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使之符合所城未来的保护和管理运营的要求</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并协调居民生产生活与遗产保护的关系</w:t>
      </w:r>
      <w:r>
        <w:rPr>
          <w:rFonts w:hint="eastAsia"/>
          <w:color w:val="000000" w:themeColor="text1"/>
          <w:lang w:val="zh-CN"/>
          <w14:textFill>
            <w14:solidFill>
              <w14:schemeClr w14:val="tx1"/>
            </w14:solidFill>
          </w14:textFill>
        </w:rPr>
        <w:t>。</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）实施要点</w:t>
      </w:r>
    </w:p>
    <w:p>
      <w:pPr>
        <w:ind w:firstLine="480" w:firstLineChars="200"/>
        <w:rPr>
          <w:color w:val="000000" w:themeColor="text1"/>
          <w:lang w:val="zh-CN"/>
          <w14:textFill>
            <w14:solidFill>
              <w14:schemeClr w14:val="tx1"/>
            </w14:solidFill>
          </w14:textFill>
        </w:rPr>
      </w:pPr>
      <w:r>
        <w:rPr>
          <w:color w:val="000000" w:themeColor="text1"/>
          <w:lang w:val="zh-CN" w:eastAsia="zh-CN"/>
          <w14:textFill>
            <w14:solidFill>
              <w14:schemeClr w14:val="tx1"/>
            </w14:solidFill>
          </w14:textFill>
        </w:rPr>
        <w:t>古城博物馆需结合所城的拆迁</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及地方</w:t>
      </w:r>
      <w:r>
        <w:rPr>
          <w:rFonts w:hint="eastAsia"/>
          <w:color w:val="000000" w:themeColor="text1"/>
          <w:lang w:val="zh-CN"/>
          <w14:textFill>
            <w14:solidFill>
              <w14:schemeClr w14:val="tx1"/>
            </w14:solidFill>
          </w14:textFill>
        </w:rPr>
        <w:t>实际</w:t>
      </w:r>
      <w:r>
        <w:rPr>
          <w:color w:val="000000" w:themeColor="text1"/>
          <w:lang w:val="zh-CN"/>
          <w14:textFill>
            <w14:solidFill>
              <w14:schemeClr w14:val="tx1"/>
            </w14:solidFill>
          </w14:textFill>
        </w:rPr>
        <w:t>情况</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会同有关部门制定安置策略的专项可行性研究报告</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编制居民搬迁安置详细计划</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包括经费测算</w:t>
      </w:r>
      <w:r>
        <w:rPr>
          <w:rFonts w:hint="eastAsia"/>
          <w:color w:val="000000" w:themeColor="text1"/>
          <w:lang w:val="zh-CN"/>
          <w14:textFill>
            <w14:solidFill>
              <w14:schemeClr w14:val="tx1"/>
            </w14:solidFill>
          </w14:textFill>
        </w:rPr>
        <w:t>，为地方政府提供可操作性的依据。</w:t>
      </w:r>
    </w:p>
    <w:p>
      <w:pPr>
        <w:ind w:firstLine="48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安置方案应该有利于提高鹏城村居民的经济收入和生活水平，让长期以来为保护遗产作出很大贡献的居民们从文物保护中得到补偿和实惠，从而提高广大居民保护文物的积极性。</w:t>
      </w:r>
    </w:p>
    <w:p>
      <w:pPr>
        <w:pStyle w:val="5"/>
        <w:rPr>
          <w:color w:val="000000" w:themeColor="text1"/>
          <w14:textFill>
            <w14:solidFill>
              <w14:schemeClr w14:val="tx1"/>
            </w14:solidFill>
          </w14:textFill>
        </w:rPr>
      </w:pPr>
      <w:bookmarkStart w:id="224" w:name="_Toc75013349"/>
      <w:r>
        <w:rPr>
          <w:rFonts w:hint="eastAsia"/>
          <w:color w:val="000000" w:themeColor="text1"/>
          <w14:textFill>
            <w14:solidFill>
              <w14:schemeClr w14:val="tx1"/>
            </w14:solidFill>
          </w14:textFill>
        </w:rPr>
        <w:t>人口控制建议</w:t>
      </w:r>
      <w:bookmarkEnd w:id="22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根据《核动力厂环境辐射防护规定》、《大亚湾核电厂周围限制区安全保障与环境管理条例》，大亚湾核电站辐射范围</w:t>
      </w:r>
      <w:r>
        <w:rPr>
          <w:color w:val="000000" w:themeColor="text1"/>
          <w14:textFill>
            <w14:solidFill>
              <w14:schemeClr w14:val="tx1"/>
            </w14:solidFill>
          </w14:textFill>
        </w:rPr>
        <w:t>0.5~5</w:t>
      </w:r>
      <w:r>
        <w:rPr>
          <w:rFonts w:hint="eastAsia"/>
          <w:color w:val="000000" w:themeColor="text1"/>
          <w14:textFill>
            <w14:solidFill>
              <w14:schemeClr w14:val="tx1"/>
            </w14:solidFill>
          </w14:textFill>
        </w:rPr>
        <w:t>公里为规划限制区，不能有</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万人以上的乡镇。大鹏所城整体均位于核电5KM辐射范围内，建议所城片区总人口不得超过1万人。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限制区内可以迁入少量常住人口或暂住人口，但不得超过限制区规划所确定的总人口。</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要求拆迁后大鹏所城城内原住民不得低于原有原住民总数的30%，对涉及拆迁的居民实施就近安置，并给予就业等优惠政策。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对房屋使用者进行定期的培训，负责院落的日常养护、管理监测工作，引导居民结合规划进行相关的保护利用。</w:t>
      </w:r>
    </w:p>
    <w:p>
      <w:pPr>
        <w:pStyle w:val="5"/>
        <w:rPr>
          <w:color w:val="000000" w:themeColor="text1"/>
          <w14:textFill>
            <w14:solidFill>
              <w14:schemeClr w14:val="tx1"/>
            </w14:solidFill>
          </w14:textFill>
        </w:rPr>
      </w:pPr>
      <w:bookmarkStart w:id="225" w:name="_Toc373672821"/>
      <w:bookmarkStart w:id="226" w:name="_Toc75013350"/>
      <w:bookmarkStart w:id="227" w:name="_Toc373672827"/>
      <w:r>
        <w:rPr>
          <w:rFonts w:hint="eastAsia"/>
          <w:color w:val="000000" w:themeColor="text1"/>
          <w14:textFill>
            <w14:solidFill>
              <w14:schemeClr w14:val="tx1"/>
            </w14:solidFill>
          </w14:textFill>
        </w:rPr>
        <w:t>环境质量监测</w:t>
      </w:r>
      <w:bookmarkEnd w:id="225"/>
      <w:bookmarkEnd w:id="226"/>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开展本地的环境质量监测工作，并定期出具监测报告，促进环境质量保护。</w:t>
      </w:r>
    </w:p>
    <w:bookmarkEnd w:id="227"/>
    <w:p>
      <w:pPr>
        <w:pStyle w:val="3"/>
        <w:spacing w:before="163" w:after="163"/>
        <w:ind w:left="630" w:hanging="630"/>
        <w:rPr>
          <w:color w:val="000000" w:themeColor="text1"/>
          <w14:textFill>
            <w14:solidFill>
              <w14:schemeClr w14:val="tx1"/>
            </w14:solidFill>
          </w14:textFill>
        </w:rPr>
      </w:pPr>
      <w:bookmarkStart w:id="228" w:name="_Toc373500830"/>
      <w:r>
        <w:rPr>
          <w:color w:val="000000" w:themeColor="text1"/>
          <w14:textFill>
            <w14:solidFill>
              <w14:schemeClr w14:val="tx1"/>
            </w14:solidFill>
          </w14:textFill>
        </w:rPr>
        <w:br w:type="column"/>
      </w:r>
      <w:bookmarkStart w:id="229" w:name="_Toc75013351"/>
      <w:r>
        <w:rPr>
          <w:rFonts w:hint="eastAsia"/>
          <w:color w:val="000000" w:themeColor="text1"/>
          <w14:textFill>
            <w14:solidFill>
              <w14:schemeClr w14:val="tx1"/>
            </w14:solidFill>
          </w14:textFill>
        </w:rPr>
        <w:t>展示利用规划</w:t>
      </w:r>
      <w:bookmarkEnd w:id="228"/>
      <w:bookmarkEnd w:id="229"/>
    </w:p>
    <w:p>
      <w:pPr>
        <w:pStyle w:val="5"/>
        <w:rPr>
          <w:color w:val="000000" w:themeColor="text1"/>
          <w:lang w:eastAsia="zh-CN"/>
          <w14:textFill>
            <w14:solidFill>
              <w14:schemeClr w14:val="tx1"/>
            </w14:solidFill>
          </w14:textFill>
        </w:rPr>
      </w:pPr>
      <w:bookmarkStart w:id="230" w:name="_Toc75013352"/>
      <w:bookmarkStart w:id="231" w:name="_Toc373504734"/>
      <w:bookmarkStart w:id="232" w:name="_Toc373594387"/>
      <w:r>
        <w:rPr>
          <w:rFonts w:hint="eastAsia"/>
          <w:color w:val="000000" w:themeColor="text1"/>
          <w14:textFill>
            <w14:solidFill>
              <w14:schemeClr w14:val="tx1"/>
            </w14:solidFill>
          </w14:textFill>
        </w:rPr>
        <w:t>展示</w:t>
      </w:r>
      <w:r>
        <w:rPr>
          <w:rFonts w:hint="eastAsia"/>
          <w:color w:val="000000" w:themeColor="text1"/>
          <w:lang w:eastAsia="zh-CN"/>
          <w14:textFill>
            <w14:solidFill>
              <w14:schemeClr w14:val="tx1"/>
            </w14:solidFill>
          </w14:textFill>
        </w:rPr>
        <w:t>利用</w:t>
      </w:r>
      <w:r>
        <w:rPr>
          <w:rFonts w:hint="eastAsia"/>
          <w:color w:val="000000" w:themeColor="text1"/>
          <w14:textFill>
            <w14:solidFill>
              <w14:schemeClr w14:val="tx1"/>
            </w14:solidFill>
          </w14:textFill>
        </w:rPr>
        <w:t>原则</w:t>
      </w:r>
      <w:bookmarkEnd w:id="230"/>
      <w:bookmarkEnd w:id="231"/>
      <w:bookmarkEnd w:id="23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坚持文物保护为前提的利用原则，实现保护与利用的和谐统一。</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文物展示内容真实、全面、准确、完整。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文物展示设施与文物历史环境相协调。</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根据文物价值与现存状况，确定利用方式。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坚持科学、合理、适度的利用原则，促进文物保护与文物旅游的可持续发展。</w:t>
      </w:r>
    </w:p>
    <w:p>
      <w:pPr>
        <w:pStyle w:val="5"/>
        <w:rPr>
          <w:color w:val="000000" w:themeColor="text1"/>
          <w:lang w:eastAsia="zh-CN"/>
          <w14:textFill>
            <w14:solidFill>
              <w14:schemeClr w14:val="tx1"/>
            </w14:solidFill>
          </w14:textFill>
        </w:rPr>
      </w:pPr>
      <w:bookmarkStart w:id="233" w:name="_Toc75013353"/>
      <w:bookmarkStart w:id="234" w:name="_Toc373594388"/>
      <w:r>
        <w:rPr>
          <w:rFonts w:hint="eastAsia"/>
          <w:color w:val="000000" w:themeColor="text1"/>
          <w14:textFill>
            <w14:solidFill>
              <w14:schemeClr w14:val="tx1"/>
            </w14:solidFill>
          </w14:textFill>
        </w:rPr>
        <w:t>展示目标</w:t>
      </w:r>
      <w:bookmarkEnd w:id="233"/>
      <w:bookmarkEnd w:id="23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传承海防文化，加强深港澳明清海防遗产交流合作，不断增强港澳同胞的认同感与凝聚力，联合组织爱国教育活动、国防，加强国家历史、民族文化的教育宣传，涵养同宗同源的文化底蕴。</w:t>
      </w:r>
    </w:p>
    <w:p>
      <w:pPr>
        <w:pStyle w:val="5"/>
        <w:rPr>
          <w:color w:val="000000" w:themeColor="text1"/>
          <w:lang w:eastAsia="zh-CN"/>
          <w14:textFill>
            <w14:solidFill>
              <w14:schemeClr w14:val="tx1"/>
            </w14:solidFill>
          </w14:textFill>
        </w:rPr>
      </w:pPr>
      <w:bookmarkStart w:id="235" w:name="_Toc75013354"/>
      <w:r>
        <w:rPr>
          <w:rFonts w:hint="eastAsia"/>
          <w:color w:val="000000" w:themeColor="text1"/>
          <w:lang w:eastAsia="zh-CN"/>
          <w14:textFill>
            <w14:solidFill>
              <w14:schemeClr w14:val="tx1"/>
            </w14:solidFill>
          </w14:textFill>
        </w:rPr>
        <w:t>展示利用对策</w:t>
      </w:r>
      <w:bookmarkEnd w:id="235"/>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（1）以大鹏所城的“活化利用”为统筹，将大鹏所城的山水格局、城市肌理、文物、遗址等要素纳入展示利用范围。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（2）充分挖掘大鹏所城的相关历史文化，包括海防设施建设、军事管理、屯垦开发、城市发展、建筑文化、民风民俗等。</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（3）设置丰富的大鹏所城展示方式及展示内容，营造生动的展示效果；提升文物展示水平，定期改陈布展；充分体现明清海防文化，发展文化旅游。</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）拓展文物利用途径：结合重大历事件、重要历史人物、地方重要事件开展文化活动与体验；打造精品游线，促进旅游资源联动发展；开发文创产品、体验经济。</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）根据大鹏所城展示利用实际需要，合理调整文物建筑的现状功能，开展建筑改造、新增服务性设施、植入业态。</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）加强与创新文化遗产宣传，编纂出版历史文化知识读本，制作短片、纪录片；融入多媒体资源，推进“互联网+”文物，对海防文化进行全景式、立体式、延伸式展示宣传。</w:t>
      </w:r>
    </w:p>
    <w:p>
      <w:pPr>
        <w:rPr>
          <w:color w:val="000000" w:themeColor="text1"/>
          <w:lang w:val="zh-CN"/>
          <w14:textFill>
            <w14:solidFill>
              <w14:schemeClr w14:val="tx1"/>
            </w14:solidFill>
          </w14:textFill>
        </w:rPr>
      </w:pPr>
    </w:p>
    <w:p>
      <w:pPr>
        <w:pStyle w:val="5"/>
        <w:rPr>
          <w:color w:val="000000" w:themeColor="text1"/>
          <w:lang w:eastAsia="zh-CN"/>
          <w14:textFill>
            <w14:solidFill>
              <w14:schemeClr w14:val="tx1"/>
            </w14:solidFill>
          </w14:textFill>
        </w:rPr>
      </w:pPr>
      <w:bookmarkStart w:id="236" w:name="_Toc75013355"/>
      <w:r>
        <w:rPr>
          <w:rFonts w:hint="eastAsia"/>
          <w:color w:val="000000" w:themeColor="text1"/>
          <w14:textFill>
            <w14:solidFill>
              <w14:schemeClr w14:val="tx1"/>
            </w14:solidFill>
          </w14:textFill>
        </w:rPr>
        <w:t>总体空间结构</w:t>
      </w:r>
      <w:bookmarkEnd w:id="236"/>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一心、一环、一带、两轴、五区。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一心：大鹏所城文化展示核心。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一环：生态景观保护环。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一带：滨海文化景观带。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两轴：十字街巷南北轴、东西轴。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五区：综合服务区、禅修文化体验区、自然生态景观区、农业观光区、休闲购物区。</w:t>
      </w:r>
    </w:p>
    <w:p>
      <w:pPr>
        <w:pStyle w:val="5"/>
        <w:rPr>
          <w:color w:val="000000" w:themeColor="text1"/>
          <w14:textFill>
            <w14:solidFill>
              <w14:schemeClr w14:val="tx1"/>
            </w14:solidFill>
          </w14:textFill>
        </w:rPr>
      </w:pPr>
      <w:bookmarkStart w:id="237" w:name="_Toc373334582"/>
      <w:bookmarkStart w:id="238" w:name="_Toc75013356"/>
      <w:bookmarkStart w:id="239" w:name="_Toc373594389"/>
      <w:r>
        <w:rPr>
          <w:rFonts w:hint="eastAsia"/>
          <w:color w:val="000000" w:themeColor="text1"/>
          <w:lang w:eastAsia="zh-CN"/>
          <w14:textFill>
            <w14:solidFill>
              <w14:schemeClr w14:val="tx1"/>
            </w14:solidFill>
          </w14:textFill>
        </w:rPr>
        <w:t>城内</w:t>
      </w:r>
      <w:r>
        <w:rPr>
          <w:rFonts w:hint="eastAsia"/>
          <w:color w:val="000000" w:themeColor="text1"/>
          <w14:textFill>
            <w14:solidFill>
              <w14:schemeClr w14:val="tx1"/>
            </w14:solidFill>
          </w14:textFill>
        </w:rPr>
        <w:t>展示分区</w:t>
      </w:r>
      <w:bookmarkEnd w:id="237"/>
      <w:r>
        <w:rPr>
          <w:rFonts w:hint="eastAsia"/>
          <w:color w:val="000000" w:themeColor="text1"/>
          <w14:textFill>
            <w14:solidFill>
              <w14:schemeClr w14:val="tx1"/>
            </w14:solidFill>
          </w14:textFill>
        </w:rPr>
        <w:t>与主题布局</w:t>
      </w:r>
      <w:bookmarkEnd w:id="238"/>
      <w:bookmarkEnd w:id="239"/>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注重大鹏所城文物产品的特色，梳理区域的自然文化资源，在维持原住民生活区域内原有生活方式及建筑利用方式不变的基础上，依托所城内21处重点文物建筑打造10个展示功能区，提升游客观赏度，丰富展示内容，加强大鹏所城旅游的综合竞争力。</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旅游服务区：游客服务中心、综合管理中心。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商业服务区：传统街巷体验、特色店铺、创意咖啡、地方名吃、纪念品售卖。</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社区综合服务区：社区书屋、社区文化站、社区博物馆、非遗研习馆、管理办公。</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明清海防主题展示区：文物建筑展、所城名人展、所城历史展、所城军事体系展、明清海防体系展。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海事文化博览区：海事博物馆（军备、服装、名人，我国海防发展史）、海事文化公园。</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军事文化主题体验区：实景演出、大鹏山歌表演、所城军语表演。</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创意鹏城展示区：传统工坊体验馆、创意美术、文创工作室、创意剧场。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特色民宿体验区：家庭式酒店、主题民宿酒店、高端商业酒店。</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特色美食体验区：客家私房菜、咖啡屋、主题酒吧、茶社。</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大鹏历史文化长廊展示区：所城格局及抗倭寇场景VR数字展示，所城历史大事件雕塑展。</w:t>
      </w:r>
    </w:p>
    <w:p>
      <w:pPr>
        <w:pStyle w:val="5"/>
        <w:rPr>
          <w:color w:val="000000" w:themeColor="text1"/>
          <w14:textFill>
            <w14:solidFill>
              <w14:schemeClr w14:val="tx1"/>
            </w14:solidFill>
          </w14:textFill>
        </w:rPr>
      </w:pPr>
      <w:bookmarkStart w:id="240" w:name="_Toc75013357"/>
      <w:r>
        <w:rPr>
          <w:color w:val="000000" w:themeColor="text1"/>
          <w14:textFill>
            <w14:solidFill>
              <w14:schemeClr w14:val="tx1"/>
            </w14:solidFill>
          </w14:textFill>
        </w:rPr>
        <w:t>展示方式</w:t>
      </w:r>
      <w:bookmarkEnd w:id="24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本规划将展示方式按照建筑分为室内展示和室外展示两种，通过室内室外整体环境的多方式展示，可再现原大鹏所城作为军事防御卫所的环境氛围。其中，</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室内展示方式：陈列展示、多媒体展示、标识展示；</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室外展示方式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模拟展示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标识展示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场景展示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雕塑展示</w:t>
      </w:r>
      <w:r>
        <w:rPr>
          <w:rFonts w:hint="eastAsia"/>
          <w:color w:val="000000" w:themeColor="text1"/>
          <w14:textFill>
            <w14:solidFill>
              <w14:schemeClr w14:val="tx1"/>
            </w14:solidFill>
          </w14:textFill>
        </w:rPr>
        <w:t>。</w:t>
      </w:r>
    </w:p>
    <w:p>
      <w:pPr>
        <w:numPr>
          <w:ilvl w:val="0"/>
          <w:numId w:val="40"/>
        </w:numPr>
        <w:rPr>
          <w:color w:val="000000" w:themeColor="text1"/>
          <w14:textFill>
            <w14:solidFill>
              <w14:schemeClr w14:val="tx1"/>
            </w14:solidFill>
          </w14:textFill>
        </w:rPr>
      </w:pPr>
      <w:r>
        <w:rPr>
          <w:color w:val="000000" w:themeColor="text1"/>
          <w14:textFill>
            <w14:solidFill>
              <w14:schemeClr w14:val="tx1"/>
            </w14:solidFill>
          </w14:textFill>
        </w:rPr>
        <w:t>山水格局的展示措施</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采用沙盘模拟展示、多媒体展示等方式，展现大鹏所城与周边所依存的山体、水系的关系。</w:t>
      </w:r>
    </w:p>
    <w:p>
      <w:pPr>
        <w:numPr>
          <w:ilvl w:val="0"/>
          <w:numId w:val="40"/>
        </w:numPr>
        <w:rPr>
          <w:color w:val="000000" w:themeColor="text1"/>
          <w14:textFill>
            <w14:solidFill>
              <w14:schemeClr w14:val="tx1"/>
            </w14:solidFill>
          </w14:textFill>
        </w:rPr>
      </w:pPr>
      <w:r>
        <w:rPr>
          <w:color w:val="000000" w:themeColor="text1"/>
          <w14:textFill>
            <w14:solidFill>
              <w14:schemeClr w14:val="tx1"/>
            </w14:solidFill>
          </w14:textFill>
        </w:rPr>
        <w:t>城市肌理的展示措施</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对已经实施的花街花巷工程进行改造提升，通过标识的方式对所城的街巷肌理和院落肌理进行展示，重塑城市活力。</w:t>
      </w:r>
    </w:p>
    <w:p>
      <w:pPr>
        <w:numPr>
          <w:ilvl w:val="0"/>
          <w:numId w:val="40"/>
        </w:numPr>
        <w:rPr>
          <w:color w:val="000000" w:themeColor="text1"/>
          <w14:textFill>
            <w14:solidFill>
              <w14:schemeClr w14:val="tx1"/>
            </w14:solidFill>
          </w14:textFill>
        </w:rPr>
      </w:pPr>
      <w:r>
        <w:rPr>
          <w:rFonts w:hint="eastAsia"/>
          <w:color w:val="000000" w:themeColor="text1"/>
          <w14:textFill>
            <w14:solidFill>
              <w14:schemeClr w14:val="tx1"/>
            </w14:solidFill>
          </w14:textFill>
        </w:rPr>
        <w:t>21处全国</w:t>
      </w:r>
      <w:r>
        <w:rPr>
          <w:color w:val="000000" w:themeColor="text1"/>
          <w14:textFill>
            <w14:solidFill>
              <w14:schemeClr w14:val="tx1"/>
            </w14:solidFill>
          </w14:textFill>
        </w:rPr>
        <w:t>重点文物建筑及城内建筑遗址的展示措施</w:t>
      </w:r>
    </w:p>
    <w:tbl>
      <w:tblPr>
        <w:tblStyle w:val="88"/>
        <w:tblW w:w="49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2"/>
        <w:gridCol w:w="1595"/>
        <w:gridCol w:w="2364"/>
        <w:gridCol w:w="5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tcBorders>
              <w:bottom w:val="single" w:color="000000" w:sz="4" w:space="0"/>
            </w:tcBorders>
            <w:shd w:val="clear" w:color="auto" w:fill="D9D9D9"/>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分区</w:t>
            </w:r>
          </w:p>
        </w:tc>
        <w:tc>
          <w:tcPr>
            <w:tcW w:w="786" w:type="pct"/>
            <w:tcBorders>
              <w:bottom w:val="single" w:color="000000" w:sz="4" w:space="0"/>
            </w:tcBorders>
            <w:shd w:val="clear" w:color="auto" w:fill="D9D9D9"/>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名称</w:t>
            </w:r>
          </w:p>
        </w:tc>
        <w:tc>
          <w:tcPr>
            <w:tcW w:w="1165" w:type="pct"/>
            <w:tcBorders>
              <w:bottom w:val="single" w:color="000000" w:sz="4" w:space="0"/>
            </w:tcBorders>
            <w:shd w:val="clear" w:color="auto" w:fill="D9D9D9"/>
            <w:vAlign w:val="center"/>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展示方式</w:t>
            </w:r>
          </w:p>
        </w:tc>
        <w:tc>
          <w:tcPr>
            <w:tcW w:w="2550" w:type="pct"/>
            <w:tcBorders>
              <w:bottom w:val="single" w:color="000000" w:sz="4" w:space="0"/>
            </w:tcBorders>
            <w:shd w:val="clear" w:color="auto" w:fill="D9D9D9"/>
            <w:vAlign w:val="center"/>
          </w:tcPr>
          <w:p>
            <w:pPr>
              <w:widowControl/>
              <w:spacing w:line="240" w:lineRule="auto"/>
              <w:jc w:val="center"/>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旅游服务区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赖恩锡将军第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原状展示、复原展示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展示建筑原状</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局部复原历史原貌</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辅以适当美化设计</w:t>
            </w:r>
            <w:r>
              <w:rPr>
                <w:rFonts w:hint="eastAsia" w:ascii="仿宋" w:hAnsi="仿宋" w:cs="宋体"/>
                <w:color w:val="000000" w:themeColor="text1"/>
                <w:kern w:val="0"/>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restart"/>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商业服务区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天后宫</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原状展示</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场景复原展示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展示建筑原状</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展示具有</w:t>
            </w:r>
            <w:r>
              <w:rPr>
                <w:rFonts w:hint="eastAsia" w:ascii="仿宋" w:hAnsi="仿宋" w:cs="宋体"/>
                <w:color w:val="000000" w:themeColor="text1"/>
                <w:kern w:val="0"/>
                <w:sz w:val="21"/>
                <w:szCs w:val="21"/>
                <w14:textFill>
                  <w14:solidFill>
                    <w14:schemeClr w14:val="tx1"/>
                  </w14:solidFill>
                </w14:textFill>
              </w:rPr>
              <w:t>海洋</w:t>
            </w:r>
            <w:r>
              <w:rPr>
                <w:rFonts w:ascii="仿宋" w:hAnsi="仿宋" w:cs="宋体"/>
                <w:color w:val="000000" w:themeColor="text1"/>
                <w:kern w:val="0"/>
                <w:sz w:val="21"/>
                <w:szCs w:val="21"/>
                <w14:textFill>
                  <w14:solidFill>
                    <w14:schemeClr w14:val="tx1"/>
                  </w14:solidFill>
                </w14:textFill>
              </w:rPr>
              <w:t>文化特色的妈祖信仰</w:t>
            </w:r>
            <w:r>
              <w:rPr>
                <w:rFonts w:hint="eastAsia" w:ascii="仿宋" w:hAnsi="仿宋" w:cs="宋体"/>
                <w:color w:val="000000" w:themeColor="text1"/>
                <w:kern w:val="0"/>
                <w:sz w:val="21"/>
                <w:szCs w:val="21"/>
                <w14:textFill>
                  <w14:solidFill>
                    <w14:schemeClr w14:val="tx1"/>
                  </w14:solidFill>
                </w14:textFill>
              </w:rPr>
              <w:t>，开发文创产品。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赖英扬振威将军第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展示建筑原状，适当植入文创业态。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赵公祠</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展示建筑原状，阐释宗祠祭祀文化，发挥在社区生活中功能。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郑氏司马第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展示建筑原状，保留其诗歌协会活动场所功能，对外展示所城文化生活。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刘起龙将军第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展示建筑原状，适当植入文创业态。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restart"/>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社区综合服务区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西门赖氏将军第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展示建筑原状，调整建筑功能。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499" w:type="pct"/>
            <w:vMerge w:val="continue"/>
            <w:shd w:val="clear" w:color="auto" w:fill="auto"/>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梁氏大屋</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原状展示、展板展示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展示建筑原状与民居特色，增设服务设施满足其在社区中服务功能。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restart"/>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明清海防主题展示区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赖恩爵振威将军第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原状展示、复原展示、展板展示、多媒体展示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展示建筑原状，局部复原历史原貌，以丰富的多媒体、互动方式展示赖恩爵将军生平事迹、重要贡献和明清历史上海防重要事件。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赖府书房</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怡文楼</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原状展示、复原展示、展板展示、多媒体展示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展示建筑原状</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局部复原历史原貌</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辅以适当美化设计</w:t>
            </w:r>
            <w:r>
              <w:rPr>
                <w:rFonts w:hint="eastAsia" w:ascii="仿宋" w:hAnsi="仿宋" w:cs="宋体"/>
                <w:color w:val="000000" w:themeColor="text1"/>
                <w:kern w:val="0"/>
                <w:sz w:val="21"/>
                <w:szCs w:val="21"/>
                <w14:textFill>
                  <w14:solidFill>
                    <w14:schemeClr w14:val="tx1"/>
                  </w14:solidFill>
                </w14:textFill>
              </w:rPr>
              <w:t>，总体介绍广东和珠江口防区的明清海防与海洋文化。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赖世超将军第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原状展示、复原展示、展板展示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展示建筑原状，局部复原历史原貌，展示赖世超将军生平事迹，适当植入文创业态。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赖信扬将军第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原状展示、复原展示、展板展示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展示建筑原状，局部复原历史原貌，展示海防军事管理历史和大鹏所城海防将领生平事迹。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侯王古庙</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原状展示</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场景复原展示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展示建筑原状</w:t>
            </w:r>
            <w:r>
              <w:rPr>
                <w:rFonts w:hint="eastAsia" w:ascii="仿宋" w:hAnsi="仿宋" w:cs="宋体"/>
                <w:color w:val="000000" w:themeColor="text1"/>
                <w:kern w:val="0"/>
                <w:sz w:val="21"/>
                <w:szCs w:val="21"/>
                <w14:textFill>
                  <w14:solidFill>
                    <w14:schemeClr w14:val="tx1"/>
                  </w14:solidFill>
                </w14:textFill>
              </w:rPr>
              <w:t>，</w:t>
            </w:r>
            <w:r>
              <w:rPr>
                <w:rFonts w:ascii="仿宋" w:hAnsi="仿宋" w:cs="宋体"/>
                <w:color w:val="000000" w:themeColor="text1"/>
                <w:kern w:val="0"/>
                <w:sz w:val="21"/>
                <w:szCs w:val="21"/>
                <w14:textFill>
                  <w14:solidFill>
                    <w14:schemeClr w14:val="tx1"/>
                  </w14:solidFill>
                </w14:textFill>
              </w:rPr>
              <w:t>展示军事祭祀文化</w:t>
            </w:r>
            <w:r>
              <w:rPr>
                <w:rFonts w:hint="eastAsia" w:ascii="仿宋" w:hAnsi="仿宋" w:cs="宋体"/>
                <w:color w:val="000000" w:themeColor="text1"/>
                <w:kern w:val="0"/>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东门李将军府</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原状展示、复原展示、展板展示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展示建筑原状，局部复原历史原貌，展示所城军事相关文化、防御工事与建筑特色文化。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城隍庙遗址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采用基址展示的方式，展示城隍庙的历史格局，阐释古城城隍信仰文化。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守备署遗址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设置标识牌。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都辅署遗址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设置标识牌。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左堂署遗址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采用基址展示的方式，展示左堂署的历史格局，阐释所城行政与军事管理机制。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参将府遗址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设置标识牌。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海事文化博览区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协台衙门遗址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采用植被地标标识展示的方式，勾勒出协台衙门的轮廓，展示其格局。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军事文化主题体验区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林仕英</w:t>
            </w:r>
            <w:r>
              <w:rPr>
                <w:rFonts w:hint="eastAsia" w:ascii="仿宋" w:hAnsi="仿宋" w:cs="宋体"/>
                <w:color w:val="000000" w:themeColor="text1"/>
                <w:kern w:val="0"/>
                <w:sz w:val="21"/>
                <w:szCs w:val="21"/>
                <w14:textFill>
                  <w14:solidFill>
                    <w14:schemeClr w14:val="tx1"/>
                  </w14:solidFill>
                </w14:textFill>
              </w:rPr>
              <w:t>“大夫第”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原状展示、展板展示、多媒体展示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展示建筑原状，以较丰富的多媒体、互动方式展示所城军事历史场景。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创意鹏城展示区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赖绍贤将军第</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原状展示、多媒体展示、VR展示、AR展示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展示建筑原状，借用多媒体等现代科技以创新方式展示所城文化，展示文化衍生品。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restart"/>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特色美食体验区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东北村戴氏大屋</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/（居民自住）</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何文朴故居</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原状展示建筑，保留原餐饮服务功能，提升业态，适当美化设计。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华光庙遗址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设置标识牌。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restart"/>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r>
              <w:rPr>
                <w:rFonts w:hint="eastAsia" w:ascii="仿宋" w:hAnsi="仿宋" w:cs="宋体"/>
                <w:b/>
                <w:color w:val="000000" w:themeColor="text1"/>
                <w:kern w:val="0"/>
                <w:sz w:val="21"/>
                <w:szCs w:val="21"/>
                <w14:textFill>
                  <w14:solidFill>
                    <w14:schemeClr w14:val="tx1"/>
                  </w14:solidFill>
                </w14:textFill>
              </w:rPr>
              <w:t>大鹏历史文化长廊展示区</w:t>
            </w: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东门楼</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原状展示、展板展示、场景复原展示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原状展示建筑，举办临时展览，作为历史文化长廊的展示节点，局部复原历史场景，适当植入服务功能。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西门楼</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原状展示、展板展示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原状展示建筑，举办临时展览，作为历史文化长廊的展示节点，适当植入服务功能。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南门楼</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原状展示、展板展示、场景复原展示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原状展示建筑，举办临时展览，作为历史文化长廊的展示节点，局部复原历史场景，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9" w:type="pct"/>
            <w:vMerge w:val="continue"/>
            <w:vAlign w:val="center"/>
          </w:tcPr>
          <w:p>
            <w:pPr>
              <w:widowControl/>
              <w:spacing w:line="240" w:lineRule="auto"/>
              <w:jc w:val="left"/>
              <w:rPr>
                <w:rFonts w:ascii="仿宋" w:hAnsi="仿宋" w:cs="宋体"/>
                <w:b/>
                <w:color w:val="000000" w:themeColor="text1"/>
                <w:kern w:val="0"/>
                <w:sz w:val="21"/>
                <w:szCs w:val="21"/>
                <w14:textFill>
                  <w14:solidFill>
                    <w14:schemeClr w14:val="tx1"/>
                  </w14:solidFill>
                </w14:textFill>
              </w:rPr>
            </w:pPr>
          </w:p>
        </w:tc>
        <w:tc>
          <w:tcPr>
            <w:tcW w:w="786"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ascii="仿宋" w:hAnsi="仿宋" w:cs="宋体"/>
                <w:color w:val="000000" w:themeColor="text1"/>
                <w:kern w:val="0"/>
                <w:sz w:val="21"/>
                <w:szCs w:val="21"/>
                <w14:textFill>
                  <w14:solidFill>
                    <w14:schemeClr w14:val="tx1"/>
                  </w14:solidFill>
                </w14:textFill>
              </w:rPr>
              <w:t>城墙遗址</w:t>
            </w:r>
          </w:p>
        </w:tc>
        <w:tc>
          <w:tcPr>
            <w:tcW w:w="1165" w:type="pct"/>
            <w:shd w:val="clear" w:color="auto" w:fill="auto"/>
            <w:vAlign w:val="center"/>
          </w:tcPr>
          <w:p>
            <w:pPr>
              <w:widowControl/>
              <w:spacing w:line="240" w:lineRule="auto"/>
              <w:jc w:val="center"/>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模拟展示、标识展示</w:t>
            </w:r>
          </w:p>
        </w:tc>
        <w:tc>
          <w:tcPr>
            <w:tcW w:w="2550" w:type="pct"/>
            <w:shd w:val="clear" w:color="auto" w:fill="auto"/>
            <w:vAlign w:val="center"/>
          </w:tcPr>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采用木质框架模拟城墙的形态；</w:t>
            </w:r>
          </w:p>
          <w:p>
            <w:pPr>
              <w:widowControl/>
              <w:spacing w:line="240" w:lineRule="auto"/>
              <w:rPr>
                <w:rFonts w:ascii="仿宋" w:hAnsi="仿宋" w:cs="宋体"/>
                <w:color w:val="000000" w:themeColor="text1"/>
                <w:kern w:val="0"/>
                <w:sz w:val="21"/>
                <w:szCs w:val="21"/>
                <w14:textFill>
                  <w14:solidFill>
                    <w14:schemeClr w14:val="tx1"/>
                  </w14:solidFill>
                </w14:textFill>
              </w:rPr>
            </w:pPr>
            <w:r>
              <w:rPr>
                <w:rFonts w:hint="eastAsia" w:ascii="仿宋" w:hAnsi="仿宋" w:cs="宋体"/>
                <w:color w:val="000000" w:themeColor="text1"/>
                <w:kern w:val="0"/>
                <w:sz w:val="21"/>
                <w:szCs w:val="21"/>
                <w14:textFill>
                  <w14:solidFill>
                    <w14:schemeClr w14:val="tx1"/>
                  </w14:solidFill>
                </w14:textFill>
              </w:rPr>
              <w:t>采用植被地标标识展示的方式，勾勒出城墙的轮廓走向，再有充分考古依据条件下可对其部分进行复原展示。</w:t>
            </w:r>
          </w:p>
        </w:tc>
      </w:tr>
    </w:tbl>
    <w:p>
      <w:pPr>
        <w:pStyle w:val="5"/>
        <w:rPr>
          <w:color w:val="000000" w:themeColor="text1"/>
          <w:lang w:eastAsia="zh-CN"/>
          <w14:textFill>
            <w14:solidFill>
              <w14:schemeClr w14:val="tx1"/>
            </w14:solidFill>
          </w14:textFill>
        </w:rPr>
      </w:pPr>
      <w:bookmarkStart w:id="241" w:name="_Toc75013358"/>
      <w:bookmarkStart w:id="242" w:name="_Toc373334584"/>
      <w:bookmarkStart w:id="243" w:name="_Toc373594390"/>
      <w:r>
        <w:rPr>
          <w:rFonts w:hint="eastAsia"/>
          <w:color w:val="000000" w:themeColor="text1"/>
          <w14:textFill>
            <w14:solidFill>
              <w14:schemeClr w14:val="tx1"/>
            </w14:solidFill>
          </w14:textFill>
        </w:rPr>
        <w:t>展示游线</w:t>
      </w:r>
      <w:bookmarkEnd w:id="241"/>
      <w:bookmarkEnd w:id="242"/>
      <w:bookmarkEnd w:id="243"/>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依托区域带动大鹏所城旅游，注重所城历史文化的传承与文物的保护利用展示相结合，并考虑所城内原住民出行等因素，制定符合所城展示的路线。</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所城展示游线分为对外交通流线、片区总体展示游线、所城内展示游线。</w:t>
      </w:r>
    </w:p>
    <w:p>
      <w:pPr>
        <w:pStyle w:val="6"/>
        <w:rPr>
          <w:b/>
          <w:color w:val="000000" w:themeColor="text1"/>
          <w14:textFill>
            <w14:solidFill>
              <w14:schemeClr w14:val="tx1"/>
            </w14:solidFill>
          </w14:textFill>
        </w:rPr>
      </w:pPr>
      <w:r>
        <w:rPr>
          <w:rFonts w:hint="eastAsia"/>
          <w:b/>
          <w:color w:val="000000" w:themeColor="text1"/>
          <w14:textFill>
            <w14:solidFill>
              <w14:schemeClr w14:val="tx1"/>
            </w14:solidFill>
          </w14:textFill>
        </w:rPr>
        <w:t>对外交通流线</w:t>
      </w:r>
      <w:r>
        <w:rPr>
          <w:rFonts w:hint="eastAsia"/>
          <w:b/>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旅游大巴及私家汽车等</w:t>
      </w:r>
      <w:r>
        <w:rPr>
          <w:rFonts w:hint="eastAsia"/>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为外游客的主要通道，通过外部城市主要道路，把游人快速导入展示区，通过四个入口的景观道路，联系所城核心展示区。</w:t>
      </w:r>
    </w:p>
    <w:p>
      <w:pPr>
        <w:pStyle w:val="6"/>
        <w:rPr>
          <w:b/>
          <w:color w:val="000000" w:themeColor="text1"/>
          <w14:textFill>
            <w14:solidFill>
              <w14:schemeClr w14:val="tx1"/>
            </w14:solidFill>
          </w14:textFill>
        </w:rPr>
      </w:pPr>
      <w:r>
        <w:rPr>
          <w:rFonts w:hint="eastAsia"/>
          <w:b/>
          <w:color w:val="000000" w:themeColor="text1"/>
          <w14:textFill>
            <w14:solidFill>
              <w14:schemeClr w14:val="tx1"/>
            </w14:solidFill>
          </w14:textFill>
        </w:rPr>
        <w:t>片区总体展示游线</w:t>
      </w:r>
      <w:r>
        <w:rPr>
          <w:rFonts w:hint="eastAsia"/>
          <w:color w:val="000000" w:themeColor="text1"/>
          <w:lang w:eastAsia="zh-CN"/>
          <w14:textFill>
            <w14:solidFill>
              <w14:schemeClr w14:val="tx1"/>
            </w14:solidFill>
          </w14:textFill>
        </w:rPr>
        <w:t>（电瓶车）</w:t>
      </w:r>
      <w:r>
        <w:rPr>
          <w:rFonts w:hint="eastAsia"/>
          <w:b/>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为串联区域其他功能区的游线，南门主入口综合服务区——大鹏所城文化展示核心——禅修文化体验区——自然生态景观区——农业观光区——购物休闲区。</w:t>
      </w:r>
    </w:p>
    <w:p>
      <w:pPr>
        <w:pStyle w:val="6"/>
        <w:rPr>
          <w:b/>
          <w:color w:val="000000" w:themeColor="text1"/>
          <w14:textFill>
            <w14:solidFill>
              <w14:schemeClr w14:val="tx1"/>
            </w14:solidFill>
          </w14:textFill>
        </w:rPr>
      </w:pPr>
      <w:r>
        <w:rPr>
          <w:rFonts w:hint="eastAsia"/>
          <w:b/>
          <w:color w:val="000000" w:themeColor="text1"/>
          <w14:textFill>
            <w14:solidFill>
              <w14:schemeClr w14:val="tx1"/>
            </w14:solidFill>
          </w14:textFill>
        </w:rPr>
        <w:t>所城内主要展示游线</w:t>
      </w:r>
      <w:r>
        <w:rPr>
          <w:rFonts w:hint="eastAsia"/>
          <w:color w:val="000000" w:themeColor="text1"/>
          <w:lang w:eastAsia="zh-CN"/>
          <w14:textFill>
            <w14:solidFill>
              <w14:schemeClr w14:val="tx1"/>
            </w14:solidFill>
          </w14:textFill>
        </w:rPr>
        <w:t>（步行）</w:t>
      </w:r>
      <w:r>
        <w:rPr>
          <w:rFonts w:hint="eastAsia"/>
          <w:b/>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其中主要展示游线沿所城内主要街巷布置，串联城内主要展示节点（全国重点文物建筑和建筑遗址），次要展示游线为主要展示游线的延伸，串联其他展示节点。</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主要展游线：南门楼入口广场——南门楼——城隍庙遗址——赖府书房（怡文楼）——赖信扬将军第——赖恩爵振威将军第——赖世超将军第——东门李将军府——何文朴故居——东门楼——鹏城饭馆——东北村戴氏大屋——林仕英“大夫第”——文庙遗址—— 关帝庙遗址——赵公祠——大鹏粮仓——赖英扬振威将军第——天后宫——西门楼——西门赖氏将军第——梁氏大屋——赖绍贤将军第——赖恩赐将军第——南门楼——南门入口广场。</w:t>
      </w:r>
    </w:p>
    <w:p>
      <w:pPr>
        <w:pStyle w:val="5"/>
        <w:rPr>
          <w:color w:val="000000" w:themeColor="text1"/>
          <w:lang w:eastAsia="zh-CN"/>
          <w14:textFill>
            <w14:solidFill>
              <w14:schemeClr w14:val="tx1"/>
            </w14:solidFill>
          </w14:textFill>
        </w:rPr>
      </w:pPr>
      <w:bookmarkStart w:id="244" w:name="_Toc394066659"/>
      <w:bookmarkEnd w:id="244"/>
      <w:bookmarkStart w:id="245" w:name="_Toc75013359"/>
      <w:bookmarkStart w:id="246" w:name="_Toc373334585"/>
      <w:bookmarkStart w:id="247" w:name="_Toc373594391"/>
      <w:r>
        <w:rPr>
          <w:rFonts w:hint="eastAsia"/>
          <w:color w:val="000000" w:themeColor="text1"/>
          <w:lang w:eastAsia="zh-CN"/>
          <w14:textFill>
            <w14:solidFill>
              <w14:schemeClr w14:val="tx1"/>
            </w14:solidFill>
          </w14:textFill>
        </w:rPr>
        <w:t>展示</w:t>
      </w:r>
      <w:r>
        <w:rPr>
          <w:rFonts w:hint="eastAsia"/>
          <w:color w:val="000000" w:themeColor="text1"/>
          <w14:textFill>
            <w14:solidFill>
              <w14:schemeClr w14:val="tx1"/>
            </w14:solidFill>
          </w14:textFill>
        </w:rPr>
        <w:t>设施规划</w:t>
      </w:r>
      <w:bookmarkEnd w:id="245"/>
      <w:bookmarkEnd w:id="246"/>
      <w:bookmarkEnd w:id="247"/>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）解说及标识系统</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大鹏所城展示区内应结合开放的展示区域设置标识系统，展示牌的设计应该与所城的历史风貌相符合。</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）展陈设施要求</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对21处重点文物建筑、重点建筑遗迹和城外相关遗存设置标识说明牌，简要介绍相关历史信息。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展示设施在外形设计上要尽可能简洁、淡化形象、缩小体量；材料选择既要相对于文物建筑有识别性，又须与环境和谐，尽可能具备可逆性。</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依据大鹏所城及相关历史研究成果，进行深入的展示系统设计，通过实物、图像说明、标识指引等多种方式充分展示文物价值。</w:t>
      </w:r>
    </w:p>
    <w:p>
      <w:pPr>
        <w:pStyle w:val="5"/>
        <w:rPr>
          <w:color w:val="000000" w:themeColor="text1"/>
          <w:lang w:eastAsia="zh-CN"/>
          <w14:textFill>
            <w14:solidFill>
              <w14:schemeClr w14:val="tx1"/>
            </w14:solidFill>
          </w14:textFill>
        </w:rPr>
      </w:pPr>
      <w:bookmarkStart w:id="248" w:name="_Toc75013360"/>
      <w:bookmarkStart w:id="249" w:name="_Toc373334586"/>
      <w:bookmarkStart w:id="250" w:name="_Toc373594392"/>
      <w:r>
        <w:rPr>
          <w:color w:val="000000" w:themeColor="text1"/>
          <w:lang w:eastAsia="zh-CN"/>
          <w14:textFill>
            <w14:solidFill>
              <w14:schemeClr w14:val="tx1"/>
            </w14:solidFill>
          </w14:textFill>
        </w:rPr>
        <w:t>宣传教育</w:t>
      </w:r>
      <w:bookmarkEnd w:id="24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依托大鹏所城开展爱国主义教育与研学活动，与学校、文化机构、边防驻军等建立合作关系，加强与周边红色文化遗产资源串联（土洋村东江纵队司令部旧址、沙鱼涌等）。</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开展与港澳地区合作，基于共同海防历史故事，联合开展教育交流活动，着力构建内地与港澳青少年的爱国教育基地。</w:t>
      </w:r>
    </w:p>
    <w:p>
      <w:pPr>
        <w:pStyle w:val="5"/>
        <w:rPr>
          <w:color w:val="000000" w:themeColor="text1"/>
          <w:lang w:eastAsia="zh-CN"/>
          <w14:textFill>
            <w14:solidFill>
              <w14:schemeClr w14:val="tx1"/>
            </w14:solidFill>
          </w14:textFill>
        </w:rPr>
      </w:pPr>
      <w:bookmarkStart w:id="251" w:name="_Toc75013361"/>
      <w:r>
        <w:rPr>
          <w:color w:val="000000" w:themeColor="text1"/>
          <w:lang w:eastAsia="zh-CN"/>
          <w14:textFill>
            <w14:solidFill>
              <w14:schemeClr w14:val="tx1"/>
            </w14:solidFill>
          </w14:textFill>
        </w:rPr>
        <w:t>居民引导</w:t>
      </w:r>
      <w:bookmarkEnd w:id="251"/>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在保留原住民传统生活形态和习惯的基础上，以大鹏所城特有的海防文化为切入点，对原住民的就业进行引导，拓展延伸产业类型，使其合理的参与大鹏所城的活化利用中。</w:t>
      </w:r>
    </w:p>
    <w:p>
      <w:pPr>
        <w:pStyle w:val="5"/>
        <w:rPr>
          <w:color w:val="000000" w:themeColor="text1"/>
          <w:lang w:eastAsia="zh-CN"/>
          <w14:textFill>
            <w14:solidFill>
              <w14:schemeClr w14:val="tx1"/>
            </w14:solidFill>
          </w14:textFill>
        </w:rPr>
      </w:pPr>
      <w:bookmarkStart w:id="252" w:name="_Toc75013362"/>
      <w:r>
        <w:rPr>
          <w:rFonts w:hint="eastAsia"/>
          <w:color w:val="000000" w:themeColor="text1"/>
          <w14:textFill>
            <w14:solidFill>
              <w14:schemeClr w14:val="tx1"/>
            </w14:solidFill>
          </w14:textFill>
        </w:rPr>
        <w:t>游客控制</w:t>
      </w:r>
      <w:bookmarkEnd w:id="249"/>
      <w:bookmarkEnd w:id="250"/>
      <w:bookmarkEnd w:id="25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（1）游客监测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建立、健全关于游客管理的日常制度，制定高峰时期游客安全保障应急预案。</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设立专门游客管理岗位，提升游客管理水平和综合服务能力。</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建立游客信息和安全监测系统，积累相关信息，为后续科学管理提供数据支撑。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（2）游客容量控制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本规划参考《文物保护单位游客承载量评估规范》中的游客容量计算方法进行测算，采用空间承载量、游步道承载量、公共区域承载量等多种方法进行合理的总量控制。</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w:t>
      </w:r>
      <w:r>
        <w:rPr>
          <w:b/>
          <w:color w:val="000000" w:themeColor="text1"/>
          <w14:textFill>
            <w14:solidFill>
              <w14:schemeClr w14:val="tx1"/>
            </w14:solidFill>
          </w14:textFill>
        </w:rPr>
        <w:t>空间承载量计算方法</w:t>
      </w:r>
      <w:r>
        <w:rPr>
          <w:rFonts w:hint="eastAsia"/>
          <w:b/>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933575" cy="441960"/>
            <wp:effectExtent l="0" t="0" r="0" b="0"/>
            <wp:docPr id="6" name="图片 6" descr="C:\Users\thinkpad\Desktop\微信截图_20190806233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thinkpad\Desktop\微信截图_2019080623365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59011" cy="448267"/>
                    </a:xfrm>
                    <a:prstGeom prst="rect">
                      <a:avLst/>
                    </a:prstGeom>
                    <a:noFill/>
                    <a:ln>
                      <a:noFill/>
                    </a:ln>
                  </pic:spPr>
                </pic:pic>
              </a:graphicData>
            </a:graphic>
          </wp:inline>
        </w:drawing>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C——文物保护范围承载量；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S——第i个文物景点开放面积；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A——第i个文物景点游客人均占有面积；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T——第i个文物景点有效开放时间；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t——游客在地i个文物景点平均滞留时间。</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701"/>
        <w:gridCol w:w="1701"/>
        <w:gridCol w:w="1701"/>
        <w:gridCol w:w="1701"/>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计算项目</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开放面积</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人均占有面积</w:t>
            </w:r>
            <w:r>
              <w:rPr>
                <w:rFonts w:hint="eastAsia"/>
                <w:b/>
                <w:color w:val="000000" w:themeColor="text1"/>
                <w:sz w:val="21"/>
                <w:szCs w:val="21"/>
                <w14:textFill>
                  <w14:solidFill>
                    <w14:schemeClr w14:val="tx1"/>
                  </w14:solidFill>
                </w14:textFill>
              </w:rPr>
              <w:t>（㎡/人）</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有效开放时间</w:t>
            </w:r>
            <w:r>
              <w:rPr>
                <w:rFonts w:hint="eastAsia"/>
                <w:b/>
                <w:color w:val="000000" w:themeColor="text1"/>
                <w:sz w:val="21"/>
                <w:szCs w:val="21"/>
                <w14:textFill>
                  <w14:solidFill>
                    <w14:schemeClr w14:val="tx1"/>
                  </w14:solidFill>
                </w14:textFill>
              </w:rPr>
              <w:t>（h）</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滞留时间</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（h）</w:t>
            </w:r>
          </w:p>
        </w:tc>
        <w:tc>
          <w:tcPr>
            <w:tcW w:w="1313"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承载量</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全国重点文物建筑</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8735</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313"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重点建筑遗址</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1780</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313"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4600</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313"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84" w:type="dxa"/>
            <w:gridSpan w:val="5"/>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小计</w:t>
            </w:r>
          </w:p>
        </w:tc>
        <w:tc>
          <w:tcPr>
            <w:tcW w:w="1313"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8835</w:t>
            </w:r>
          </w:p>
        </w:tc>
      </w:tr>
    </w:tbl>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2）游步道承载量计算方法：</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028825" cy="4940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111562" cy="514693"/>
                    </a:xfrm>
                    <a:prstGeom prst="rect">
                      <a:avLst/>
                    </a:prstGeom>
                  </pic:spPr>
                </pic:pic>
              </a:graphicData>
            </a:graphic>
          </wp:inline>
        </w:drawing>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C——游步道承载量；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S——某游步道长度；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A——某游步道人均占有长度；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T——某游步道有效开放时间；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t——游客在某游步道平均滞留时间。</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701"/>
        <w:gridCol w:w="1701"/>
        <w:gridCol w:w="1701"/>
        <w:gridCol w:w="1701"/>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计算项目</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游步道</w:t>
            </w:r>
            <w:r>
              <w:rPr>
                <w:b/>
                <w:color w:val="000000" w:themeColor="text1"/>
                <w:sz w:val="21"/>
                <w:szCs w:val="21"/>
                <w14:textFill>
                  <w14:solidFill>
                    <w14:schemeClr w14:val="tx1"/>
                  </w14:solidFill>
                </w14:textFill>
              </w:rPr>
              <w:t>长度</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（m）</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人均占有</w:t>
            </w:r>
            <w:r>
              <w:rPr>
                <w:rFonts w:hint="eastAsia"/>
                <w:b/>
                <w:color w:val="000000" w:themeColor="text1"/>
                <w:sz w:val="21"/>
                <w:szCs w:val="21"/>
                <w14:textFill>
                  <w14:solidFill>
                    <w14:schemeClr w14:val="tx1"/>
                  </w14:solidFill>
                </w14:textFill>
              </w:rPr>
              <w:t>长度（m/人）</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有效开放时间</w:t>
            </w:r>
            <w:r>
              <w:rPr>
                <w:rFonts w:hint="eastAsia"/>
                <w:b/>
                <w:color w:val="000000" w:themeColor="text1"/>
                <w:sz w:val="21"/>
                <w:szCs w:val="21"/>
                <w14:textFill>
                  <w14:solidFill>
                    <w14:schemeClr w14:val="tx1"/>
                  </w14:solidFill>
                </w14:textFill>
              </w:rPr>
              <w:t>（h）</w:t>
            </w:r>
          </w:p>
        </w:tc>
        <w:tc>
          <w:tcPr>
            <w:tcW w:w="1701"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滞留时间</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（h）</w:t>
            </w:r>
          </w:p>
        </w:tc>
        <w:tc>
          <w:tcPr>
            <w:tcW w:w="1313" w:type="dxa"/>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承载量</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（m/人）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大鹏所城城内</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1950</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701"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313" w:type="dxa"/>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84" w:type="dxa"/>
            <w:gridSpan w:val="5"/>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小计</w:t>
            </w:r>
          </w:p>
        </w:tc>
        <w:tc>
          <w:tcPr>
            <w:tcW w:w="1313" w:type="dxa"/>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040</w:t>
            </w:r>
          </w:p>
        </w:tc>
      </w:tr>
    </w:tbl>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3）公共区域承载量计算方法：</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009775" cy="497205"/>
            <wp:effectExtent l="0" t="0" r="0" b="0"/>
            <wp:docPr id="2" name="图片 2" descr="C:\Users\QIENGU~1\AppData\Local\Temp\15658513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ENGU~1\AppData\Local\Temp\1565851384(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85626" cy="516533"/>
                    </a:xfrm>
                    <a:prstGeom prst="rect">
                      <a:avLst/>
                    </a:prstGeom>
                    <a:noFill/>
                    <a:ln>
                      <a:noFill/>
                    </a:ln>
                  </pic:spPr>
                </pic:pic>
              </a:graphicData>
            </a:graphic>
          </wp:inline>
        </w:drawing>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C——文物保护范围公共区域承载量；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S——第i个公共区域面积；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A——第i个公共区域人均占有面积；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T——第i个公共区域的有效开放时间：</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T</w:t>
      </w:r>
      <w:r>
        <w:rPr>
          <w:rFonts w:hint="eastAsia"/>
          <w:color w:val="000000" w:themeColor="text1"/>
          <w14:textFill>
            <w14:solidFill>
              <w14:schemeClr w14:val="tx1"/>
            </w14:solidFill>
          </w14:textFill>
        </w:rPr>
        <w:t>——游客在第i个公共区域平均滞留时间。</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9"/>
        <w:gridCol w:w="1708"/>
        <w:gridCol w:w="1708"/>
        <w:gridCol w:w="1693"/>
        <w:gridCol w:w="1694"/>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9" w:type="dxa"/>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计算项目</w:t>
            </w:r>
          </w:p>
        </w:tc>
        <w:tc>
          <w:tcPr>
            <w:tcW w:w="1708" w:type="dxa"/>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区域面积</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w:t>
            </w:r>
          </w:p>
        </w:tc>
        <w:tc>
          <w:tcPr>
            <w:tcW w:w="1708" w:type="dxa"/>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人均占有面积</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（㎡/人）</w:t>
            </w:r>
          </w:p>
        </w:tc>
        <w:tc>
          <w:tcPr>
            <w:tcW w:w="1693" w:type="dxa"/>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有效开放时间</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（h）</w:t>
            </w:r>
          </w:p>
        </w:tc>
        <w:tc>
          <w:tcPr>
            <w:tcW w:w="1694" w:type="dxa"/>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滞留时间</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（h）</w:t>
            </w:r>
          </w:p>
        </w:tc>
        <w:tc>
          <w:tcPr>
            <w:tcW w:w="1325" w:type="dxa"/>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承载量</w:t>
            </w:r>
          </w:p>
          <w:p>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9" w:type="dxa"/>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北门广场</w:t>
            </w:r>
          </w:p>
        </w:tc>
        <w:tc>
          <w:tcPr>
            <w:tcW w:w="1708"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2000</w:t>
            </w:r>
          </w:p>
        </w:tc>
        <w:tc>
          <w:tcPr>
            <w:tcW w:w="1708"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693"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694"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325"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9" w:type="dxa"/>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凤凰广场</w:t>
            </w:r>
          </w:p>
        </w:tc>
        <w:tc>
          <w:tcPr>
            <w:tcW w:w="1708"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2000</w:t>
            </w:r>
          </w:p>
        </w:tc>
        <w:tc>
          <w:tcPr>
            <w:tcW w:w="1708"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693"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694"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325"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9" w:type="dxa"/>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南门外广场</w:t>
            </w:r>
          </w:p>
        </w:tc>
        <w:tc>
          <w:tcPr>
            <w:tcW w:w="1708"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1000</w:t>
            </w:r>
          </w:p>
        </w:tc>
        <w:tc>
          <w:tcPr>
            <w:tcW w:w="1708"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693"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1694"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325"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72" w:type="dxa"/>
            <w:gridSpan w:val="5"/>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小计</w:t>
            </w:r>
          </w:p>
        </w:tc>
        <w:tc>
          <w:tcPr>
            <w:tcW w:w="1325" w:type="dxa"/>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2733</w:t>
            </w:r>
          </w:p>
        </w:tc>
      </w:tr>
    </w:tbl>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大鹏所城年游客容量：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8835+1040+2733</w:t>
      </w:r>
      <w:r>
        <w:rPr>
          <w:rFonts w:hint="eastAsia"/>
          <w:color w:val="000000" w:themeColor="text1"/>
          <w14:textFill>
            <w14:solidFill>
              <w14:schemeClr w14:val="tx1"/>
            </w14:solidFill>
          </w14:textFill>
        </w:rPr>
        <w:t>）x</w:t>
      </w:r>
      <w:r>
        <w:rPr>
          <w:color w:val="000000" w:themeColor="text1"/>
          <w14:textFill>
            <w14:solidFill>
              <w14:schemeClr w14:val="tx1"/>
            </w14:solidFill>
          </w14:textFill>
        </w:rPr>
        <w:t xml:space="preserve"> 220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2773760人</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备注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年游客容量计算按照年开放220天计算</w:t>
      </w:r>
      <w:r>
        <w:rPr>
          <w:rFonts w:hint="eastAsia"/>
          <w:color w:val="000000" w:themeColor="text1"/>
          <w14:textFill>
            <w14:solidFill>
              <w14:schemeClr w14:val="tx1"/>
            </w14:solidFill>
          </w14:textFill>
        </w:rPr>
        <w:t>。</w:t>
      </w:r>
    </w:p>
    <w:p>
      <w:pPr>
        <w:pStyle w:val="3"/>
        <w:spacing w:before="163" w:after="163"/>
        <w:ind w:left="630" w:hanging="630"/>
        <w:rPr>
          <w:color w:val="000000" w:themeColor="text1"/>
          <w14:textFill>
            <w14:solidFill>
              <w14:schemeClr w14:val="tx1"/>
            </w14:solidFill>
          </w14:textFill>
        </w:rPr>
      </w:pPr>
      <w:bookmarkStart w:id="253" w:name="_Toc373500837"/>
      <w:r>
        <w:rPr>
          <w:color w:val="000000" w:themeColor="text1"/>
          <w14:textFill>
            <w14:solidFill>
              <w14:schemeClr w14:val="tx1"/>
            </w14:solidFill>
          </w14:textFill>
        </w:rPr>
        <w:br w:type="column"/>
      </w:r>
      <w:bookmarkStart w:id="254" w:name="_Toc75013363"/>
      <w:r>
        <w:rPr>
          <w:rFonts w:hint="eastAsia"/>
          <w:color w:val="000000" w:themeColor="text1"/>
          <w14:textFill>
            <w14:solidFill>
              <w14:schemeClr w14:val="tx1"/>
            </w14:solidFill>
          </w14:textFill>
        </w:rPr>
        <w:t>管理规划</w:t>
      </w:r>
      <w:bookmarkEnd w:id="253"/>
      <w:bookmarkEnd w:id="254"/>
    </w:p>
    <w:p>
      <w:pPr>
        <w:pStyle w:val="4"/>
        <w:numPr>
          <w:ilvl w:val="0"/>
          <w:numId w:val="41"/>
        </w:numPr>
        <w:spacing w:before="163" w:after="163"/>
        <w:rPr>
          <w:color w:val="000000" w:themeColor="text1"/>
          <w14:textFill>
            <w14:solidFill>
              <w14:schemeClr w14:val="tx1"/>
            </w14:solidFill>
          </w14:textFill>
        </w:rPr>
      </w:pPr>
      <w:bookmarkStart w:id="255" w:name="_Toc75013364"/>
      <w:bookmarkStart w:id="256" w:name="_Toc373500844"/>
      <w:r>
        <w:rPr>
          <w:rFonts w:hint="eastAsia"/>
          <w:color w:val="000000" w:themeColor="text1"/>
          <w14:textFill>
            <w14:solidFill>
              <w14:schemeClr w14:val="tx1"/>
            </w14:solidFill>
          </w14:textFill>
        </w:rPr>
        <w:t>管理目标与策略</w:t>
      </w:r>
      <w:bookmarkEnd w:id="255"/>
    </w:p>
    <w:p>
      <w:pPr>
        <w:pStyle w:val="5"/>
        <w:rPr>
          <w:color w:val="000000" w:themeColor="text1"/>
          <w:lang w:eastAsia="zh-CN"/>
          <w14:textFill>
            <w14:solidFill>
              <w14:schemeClr w14:val="tx1"/>
            </w14:solidFill>
          </w14:textFill>
        </w:rPr>
      </w:pPr>
      <w:bookmarkStart w:id="257" w:name="_Toc75013365"/>
      <w:r>
        <w:rPr>
          <w:rFonts w:hint="eastAsia"/>
          <w:color w:val="000000" w:themeColor="text1"/>
          <w14:textFill>
            <w14:solidFill>
              <w14:schemeClr w14:val="tx1"/>
            </w14:solidFill>
          </w14:textFill>
        </w:rPr>
        <w:t>管理目标</w:t>
      </w:r>
      <w:bookmarkEnd w:id="257"/>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遵照文物工作方针中的“加强管理”要求，以文化价值为导向，依法进行文物管理，支撑文物保护的延续性。</w:t>
      </w:r>
    </w:p>
    <w:p>
      <w:pPr>
        <w:pStyle w:val="5"/>
        <w:rPr>
          <w:color w:val="000000" w:themeColor="text1"/>
          <w:lang w:eastAsia="zh-CN"/>
          <w14:textFill>
            <w14:solidFill>
              <w14:schemeClr w14:val="tx1"/>
            </w14:solidFill>
          </w14:textFill>
        </w:rPr>
      </w:pPr>
      <w:bookmarkStart w:id="258" w:name="_Toc75013366"/>
      <w:r>
        <w:rPr>
          <w:rFonts w:hint="eastAsia"/>
          <w:color w:val="000000" w:themeColor="text1"/>
          <w14:textFill>
            <w14:solidFill>
              <w14:schemeClr w14:val="tx1"/>
            </w14:solidFill>
          </w14:textFill>
        </w:rPr>
        <w:t>管理策略</w:t>
      </w:r>
      <w:bookmarkEnd w:id="258"/>
    </w:p>
    <w:p>
      <w:pPr>
        <w:numPr>
          <w:ilvl w:val="0"/>
          <w:numId w:val="42"/>
        </w:numPr>
        <w:tabs>
          <w:tab w:val="left" w:pos="567"/>
        </w:tabs>
        <w:ind w:left="-3" w:leftChars="-59" w:hanging="139" w:hangingChars="58"/>
        <w:rPr>
          <w:color w:val="000000" w:themeColor="text1"/>
          <w14:textFill>
            <w14:solidFill>
              <w14:schemeClr w14:val="tx1"/>
            </w14:solidFill>
          </w14:textFill>
        </w:rPr>
      </w:pPr>
      <w:r>
        <w:rPr>
          <w:rFonts w:hint="eastAsia"/>
          <w:color w:val="000000" w:themeColor="text1"/>
          <w14:textFill>
            <w14:solidFill>
              <w14:schemeClr w14:val="tx1"/>
            </w14:solidFill>
          </w14:textFill>
        </w:rPr>
        <w:t>以国家相关法律为依据，健全管理体制、完善管理制度、明确执法权限、加强管理工作，建立一支高素质的管理队伍；</w:t>
      </w:r>
    </w:p>
    <w:p>
      <w:pPr>
        <w:numPr>
          <w:ilvl w:val="0"/>
          <w:numId w:val="42"/>
        </w:numPr>
        <w:tabs>
          <w:tab w:val="left" w:pos="567"/>
        </w:tabs>
        <w:ind w:left="-3" w:leftChars="-59" w:hanging="139" w:hangingChars="58"/>
        <w:rPr>
          <w:color w:val="000000" w:themeColor="text1"/>
          <w14:textFill>
            <w14:solidFill>
              <w14:schemeClr w14:val="tx1"/>
            </w14:solidFill>
          </w14:textFill>
        </w:rPr>
      </w:pPr>
      <w:r>
        <w:rPr>
          <w:rFonts w:hint="eastAsia"/>
          <w:color w:val="000000" w:themeColor="text1"/>
          <w14:textFill>
            <w14:solidFill>
              <w14:schemeClr w14:val="tx1"/>
            </w14:solidFill>
          </w14:textFill>
        </w:rPr>
        <w:t>加强对文物保护工作的政策研究，制定科学的管理规章；</w:t>
      </w:r>
    </w:p>
    <w:p>
      <w:pPr>
        <w:numPr>
          <w:ilvl w:val="0"/>
          <w:numId w:val="42"/>
        </w:numPr>
        <w:tabs>
          <w:tab w:val="left" w:pos="567"/>
        </w:tabs>
        <w:ind w:left="-3" w:leftChars="-59" w:hanging="139" w:hangingChars="58"/>
        <w:rPr>
          <w:color w:val="000000" w:themeColor="text1"/>
          <w14:textFill>
            <w14:solidFill>
              <w14:schemeClr w14:val="tx1"/>
            </w14:solidFill>
          </w14:textFill>
        </w:rPr>
      </w:pPr>
      <w:r>
        <w:rPr>
          <w:color w:val="000000" w:themeColor="text1"/>
          <w14:textFill>
            <w14:solidFill>
              <w14:schemeClr w14:val="tx1"/>
            </w14:solidFill>
          </w14:textFill>
        </w:rPr>
        <w:t>逐步开展</w:t>
      </w:r>
      <w:r>
        <w:rPr>
          <w:rFonts w:hint="eastAsia"/>
          <w:color w:val="000000" w:themeColor="text1"/>
          <w14:textFill>
            <w14:solidFill>
              <w14:schemeClr w14:val="tx1"/>
            </w14:solidFill>
          </w14:textFill>
        </w:rPr>
        <w:t>保护区划</w:t>
      </w:r>
      <w:r>
        <w:rPr>
          <w:color w:val="000000" w:themeColor="text1"/>
          <w14:textFill>
            <w14:solidFill>
              <w14:schemeClr w14:val="tx1"/>
            </w14:solidFill>
          </w14:textFill>
        </w:rPr>
        <w:t>内文物建筑的征收</w:t>
      </w:r>
      <w:r>
        <w:rPr>
          <w:rFonts w:hint="eastAsia"/>
          <w:color w:val="000000" w:themeColor="text1"/>
          <w14:textFill>
            <w14:solidFill>
              <w14:schemeClr w14:val="tx1"/>
            </w14:solidFill>
          </w14:textFill>
        </w:rPr>
        <w:t>，以及相关遗存的定级工作；</w:t>
      </w:r>
    </w:p>
    <w:p>
      <w:pPr>
        <w:numPr>
          <w:ilvl w:val="0"/>
          <w:numId w:val="42"/>
        </w:numPr>
        <w:tabs>
          <w:tab w:val="left" w:pos="567"/>
        </w:tabs>
        <w:ind w:left="-3" w:leftChars="-59" w:hanging="139" w:hangingChars="58"/>
        <w:rPr>
          <w:color w:val="000000" w:themeColor="text1"/>
          <w14:textFill>
            <w14:solidFill>
              <w14:schemeClr w14:val="tx1"/>
            </w14:solidFill>
          </w14:textFill>
        </w:rPr>
      </w:pPr>
      <w:r>
        <w:rPr>
          <w:rFonts w:hint="eastAsia"/>
          <w:color w:val="000000" w:themeColor="text1"/>
          <w14:textFill>
            <w14:solidFill>
              <w14:schemeClr w14:val="tx1"/>
            </w14:solidFill>
          </w14:textFill>
        </w:rPr>
        <w:t>建立安防系统，配备消防和防雷设施；</w:t>
      </w:r>
    </w:p>
    <w:p>
      <w:pPr>
        <w:numPr>
          <w:ilvl w:val="0"/>
          <w:numId w:val="42"/>
        </w:numPr>
        <w:tabs>
          <w:tab w:val="left" w:pos="567"/>
        </w:tabs>
        <w:ind w:left="-3" w:leftChars="-59" w:hanging="139" w:hangingChars="58"/>
        <w:rPr>
          <w:color w:val="000000" w:themeColor="text1"/>
          <w14:textFill>
            <w14:solidFill>
              <w14:schemeClr w14:val="tx1"/>
            </w14:solidFill>
          </w14:textFill>
        </w:rPr>
      </w:pPr>
      <w:r>
        <w:rPr>
          <w:rFonts w:hint="eastAsia"/>
          <w:color w:val="000000" w:themeColor="text1"/>
          <w14:textFill>
            <w14:solidFill>
              <w14:schemeClr w14:val="tx1"/>
            </w14:solidFill>
          </w14:textFill>
        </w:rPr>
        <w:t>加强游客管理，提高对游客服务的规范化管理水平；</w:t>
      </w:r>
    </w:p>
    <w:p>
      <w:pPr>
        <w:numPr>
          <w:ilvl w:val="0"/>
          <w:numId w:val="42"/>
        </w:numPr>
        <w:tabs>
          <w:tab w:val="left" w:pos="567"/>
        </w:tabs>
        <w:ind w:left="-3" w:leftChars="-59" w:hanging="139" w:hangingChars="58"/>
        <w:rPr>
          <w:color w:val="000000" w:themeColor="text1"/>
          <w14:textFill>
            <w14:solidFill>
              <w14:schemeClr w14:val="tx1"/>
            </w14:solidFill>
          </w14:textFill>
        </w:rPr>
      </w:pPr>
      <w:r>
        <w:rPr>
          <w:rFonts w:hint="eastAsia"/>
          <w:color w:val="000000" w:themeColor="text1"/>
          <w14:textFill>
            <w14:solidFill>
              <w14:schemeClr w14:val="tx1"/>
            </w14:solidFill>
          </w14:textFill>
        </w:rPr>
        <w:t>积极普及文物知识，宣传文物价值，提高市民的文物保护意识；</w:t>
      </w:r>
    </w:p>
    <w:p>
      <w:pPr>
        <w:numPr>
          <w:ilvl w:val="0"/>
          <w:numId w:val="42"/>
        </w:numPr>
        <w:tabs>
          <w:tab w:val="left" w:pos="567"/>
        </w:tabs>
        <w:ind w:left="-3" w:leftChars="-59" w:hanging="139" w:hangingChars="58"/>
        <w:rPr>
          <w:color w:val="000000" w:themeColor="text1"/>
          <w14:textFill>
            <w14:solidFill>
              <w14:schemeClr w14:val="tx1"/>
            </w14:solidFill>
          </w14:textFill>
        </w:rPr>
      </w:pPr>
      <w:r>
        <w:rPr>
          <w:rFonts w:hint="eastAsia"/>
          <w:color w:val="000000" w:themeColor="text1"/>
          <w14:textFill>
            <w14:solidFill>
              <w14:schemeClr w14:val="tx1"/>
            </w14:solidFill>
          </w14:textFill>
        </w:rPr>
        <w:t>采用政府主导、居民参与、实体运作的管理运行方式，全面有效地进行所城保护和利用。</w:t>
      </w:r>
    </w:p>
    <w:p>
      <w:pPr>
        <w:pStyle w:val="4"/>
        <w:numPr>
          <w:ilvl w:val="0"/>
          <w:numId w:val="41"/>
        </w:numPr>
        <w:spacing w:before="163" w:after="163"/>
        <w:rPr>
          <w:color w:val="000000" w:themeColor="text1"/>
          <w14:textFill>
            <w14:solidFill>
              <w14:schemeClr w14:val="tx1"/>
            </w14:solidFill>
          </w14:textFill>
        </w:rPr>
      </w:pPr>
      <w:bookmarkStart w:id="259" w:name="_Toc75013367"/>
      <w:r>
        <w:rPr>
          <w:rFonts w:hint="eastAsia"/>
          <w:color w:val="000000" w:themeColor="text1"/>
          <w14:textFill>
            <w14:solidFill>
              <w14:schemeClr w14:val="tx1"/>
            </w14:solidFill>
          </w14:textFill>
        </w:rPr>
        <w:t>运营管理</w:t>
      </w:r>
      <w:bookmarkEnd w:id="259"/>
    </w:p>
    <w:p>
      <w:pPr>
        <w:pStyle w:val="5"/>
        <w:rPr>
          <w:color w:val="000000" w:themeColor="text1"/>
          <w:lang w:eastAsia="zh-CN"/>
          <w14:textFill>
            <w14:solidFill>
              <w14:schemeClr w14:val="tx1"/>
            </w14:solidFill>
          </w14:textFill>
        </w:rPr>
      </w:pPr>
      <w:bookmarkStart w:id="260" w:name="_Toc363068729"/>
      <w:bookmarkStart w:id="261" w:name="_Toc363044862"/>
      <w:bookmarkStart w:id="262" w:name="_Toc75013368"/>
      <w:bookmarkStart w:id="263" w:name="_Toc490476290"/>
      <w:bookmarkStart w:id="264" w:name="_Toc373500839"/>
      <w:r>
        <w:rPr>
          <w:rFonts w:hint="eastAsia"/>
          <w:color w:val="000000" w:themeColor="text1"/>
          <w14:textFill>
            <w14:solidFill>
              <w14:schemeClr w14:val="tx1"/>
            </w14:solidFill>
          </w14:textFill>
        </w:rPr>
        <w:t>管理机构</w:t>
      </w:r>
      <w:bookmarkEnd w:id="260"/>
      <w:bookmarkEnd w:id="261"/>
      <w:bookmarkEnd w:id="262"/>
      <w:bookmarkEnd w:id="263"/>
      <w:bookmarkEnd w:id="264"/>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大鹏所城管理机构现为大鹏新区古城博物馆</w:t>
      </w:r>
      <w:r>
        <w:rPr>
          <w:rFonts w:hint="eastAsia"/>
          <w:color w:val="000000" w:themeColor="text1"/>
          <w14:textFill>
            <w14:solidFill>
              <w14:schemeClr w14:val="tx1"/>
            </w14:solidFill>
          </w14:textFill>
        </w:rPr>
        <w:t>，古城博物馆负责大鹏所城的日常保护和管理工作。后期考虑所城的保护和利用的实际需求，古城博物馆委托有管理运营条件的企业，开展所城的活化利用、活动组织等。并设立文物保护专家领导小组，定期举行研讨会、为大鹏所城保护、管理、展示、运营等方面提供意见及建议。</w:t>
      </w:r>
    </w:p>
    <w:p>
      <w:pPr>
        <w:pStyle w:val="5"/>
        <w:rPr>
          <w:color w:val="000000" w:themeColor="text1"/>
          <w:lang w:eastAsia="zh-CN"/>
          <w14:textFill>
            <w14:solidFill>
              <w14:schemeClr w14:val="tx1"/>
            </w14:solidFill>
          </w14:textFill>
        </w:rPr>
      </w:pPr>
      <w:bookmarkStart w:id="265" w:name="_Toc75013369"/>
      <w:bookmarkStart w:id="266" w:name="_Toc373500843"/>
      <w:bookmarkStart w:id="267" w:name="_Toc363068733"/>
      <w:bookmarkStart w:id="268" w:name="_Toc363044866"/>
      <w:bookmarkStart w:id="269" w:name="_Toc490476294"/>
      <w:r>
        <w:rPr>
          <w:rFonts w:hint="eastAsia"/>
          <w:color w:val="000000" w:themeColor="text1"/>
          <w:lang w:eastAsia="zh-CN"/>
          <w14:textFill>
            <w14:solidFill>
              <w14:schemeClr w14:val="tx1"/>
            </w14:solidFill>
          </w14:textFill>
        </w:rPr>
        <w:t>人</w:t>
      </w:r>
      <w:r>
        <w:rPr>
          <w:color w:val="000000" w:themeColor="text1"/>
          <w:lang w:eastAsia="zh-CN"/>
          <w14:textFill>
            <w14:solidFill>
              <w14:schemeClr w14:val="tx1"/>
            </w14:solidFill>
          </w14:textFill>
        </w:rPr>
        <w:t>员</w:t>
      </w:r>
      <w:r>
        <w:rPr>
          <w:rFonts w:hint="eastAsia"/>
          <w:color w:val="000000" w:themeColor="text1"/>
          <w:lang w:eastAsia="zh-CN"/>
          <w14:textFill>
            <w14:solidFill>
              <w14:schemeClr w14:val="tx1"/>
            </w14:solidFill>
          </w14:textFill>
        </w:rPr>
        <w:t>编制</w:t>
      </w:r>
      <w:r>
        <w:rPr>
          <w:color w:val="000000" w:themeColor="text1"/>
          <w:lang w:eastAsia="zh-CN"/>
          <w14:textFill>
            <w14:solidFill>
              <w14:schemeClr w14:val="tx1"/>
            </w14:solidFill>
          </w14:textFill>
        </w:rPr>
        <w:t>及要求</w:t>
      </w:r>
      <w:bookmarkEnd w:id="265"/>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（1）规划建议完善管理机构人员配置，增加大鹏古城博物馆文物保护专业人员编制，无法增加人员编制时，可采用外聘专业人员的方式，需满足文物保护、安全防护、运营管理监督、展示利用的职能要求；</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 xml:space="preserve">（2）规划建议专家委员会由文物保护、城市规划、考古、旅游策划等相关专业的专家共同组成； </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（3）加强保护、管理、运营团队的建设，尤其建立健全消防队伍，以管理人员、技术人员等岗位倾向分类，有针对性地制定员工培训计划和分批、定期培训制度；</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（4）建立人才交流制度，与国内国际其他保护组织机构保持周期性交流，了解最新的保护动态。</w:t>
      </w:r>
    </w:p>
    <w:p>
      <w:pPr>
        <w:pStyle w:val="5"/>
        <w:rPr>
          <w:color w:val="000000" w:themeColor="text1"/>
          <w14:textFill>
            <w14:solidFill>
              <w14:schemeClr w14:val="tx1"/>
            </w14:solidFill>
          </w14:textFill>
        </w:rPr>
      </w:pPr>
      <w:bookmarkStart w:id="270" w:name="_Toc363068730"/>
      <w:bookmarkStart w:id="271" w:name="_Toc363044863"/>
      <w:bookmarkStart w:id="272" w:name="_Toc373500840"/>
      <w:bookmarkStart w:id="273" w:name="_Toc490476291"/>
      <w:bookmarkStart w:id="274" w:name="_Toc75013370"/>
      <w:r>
        <w:rPr>
          <w:rFonts w:hint="eastAsia"/>
          <w:color w:val="000000" w:themeColor="text1"/>
          <w14:textFill>
            <w14:solidFill>
              <w14:schemeClr w14:val="tx1"/>
            </w14:solidFill>
          </w14:textFill>
        </w:rPr>
        <w:t>管理设施</w:t>
      </w:r>
      <w:bookmarkEnd w:id="270"/>
      <w:bookmarkEnd w:id="271"/>
      <w:bookmarkEnd w:id="272"/>
      <w:bookmarkEnd w:id="273"/>
      <w:bookmarkEnd w:id="274"/>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（1）规划保留大鹏古城博物馆目前的管理设施（粮仓及南部办公用房等</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，办公用房设置在粮仓南侧的博物馆办公楼内，分设值班室、消防中心、监测中心等专职办公用房，作为日常保护管理场所。</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（2）加强所城资料的管理与储藏设施，建立专门的资料档案室和查询系统。</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（3）增加管理设施配置，如通讯设备、安防设备、防火设施、避雷设施等，以满足文物保护管理需求，配合管理机构进行所城的保护管理工作。</w:t>
      </w:r>
    </w:p>
    <w:p>
      <w:pPr>
        <w:pStyle w:val="5"/>
        <w:rPr>
          <w:color w:val="000000" w:themeColor="text1"/>
          <w14:textFill>
            <w14:solidFill>
              <w14:schemeClr w14:val="tx1"/>
            </w14:solidFill>
          </w14:textFill>
        </w:rPr>
      </w:pPr>
      <w:bookmarkStart w:id="275" w:name="_Toc373500841"/>
      <w:bookmarkStart w:id="276" w:name="_Toc363044864"/>
      <w:bookmarkStart w:id="277" w:name="_Toc75013371"/>
      <w:bookmarkStart w:id="278" w:name="_Toc490476292"/>
      <w:bookmarkStart w:id="279" w:name="_Toc363068731"/>
      <w:r>
        <w:rPr>
          <w:rFonts w:hint="eastAsia"/>
          <w:color w:val="000000" w:themeColor="text1"/>
          <w14:textFill>
            <w14:solidFill>
              <w14:schemeClr w14:val="tx1"/>
            </w14:solidFill>
          </w14:textFill>
        </w:rPr>
        <w:t>管理法规与规章制度</w:t>
      </w:r>
      <w:bookmarkEnd w:id="275"/>
      <w:bookmarkEnd w:id="276"/>
      <w:bookmarkEnd w:id="277"/>
      <w:bookmarkEnd w:id="278"/>
      <w:bookmarkEnd w:id="279"/>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（1）未制定专门管理条例前大鹏所城文物建筑的保护与管理遵照《中华人民共和国文物保护法》、《广东省实施&lt;中华人民共和国文物保护法&gt;办法》及相关实施条例执行；</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（2）制定《大鹏所城保护管理条例》，按照规定程序，审批并公布实施。《条例》内容应包括：保护范围与建设控制地带的界划、保护管理、利用管理、居民使用管理、管理体制与经费、奖励与处罚等；</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建立、健全各项规章制度，包括“四有”工作完善制度、文物保护责任制度、文物维修与监测制度、日常保养制度、文物保护宣传制度、日常管理规章、安防条例、应急预案、职工教育培训制度、游客安全责任制度等规章；</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（4）建立大鹏所城乡规民约，实现全民参与文物保护工作，提高所城保护水平。</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加快推进政府、社会、个人共同参与大鹏所城及相关文化遗产保护资金筹措工作，合理申报申请国家专项补助、政府财政支持，有效组织境内外单位、个人和其他组织捐赠，并积极探索大鹏所城文化遗产保育、管理等相关经费征收模式。</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6</w:t>
      </w:r>
      <w:r>
        <w:rPr>
          <w:rFonts w:hint="eastAsia"/>
          <w:color w:val="000000" w:themeColor="text1"/>
          <w:lang w:val="zh-CN"/>
          <w14:textFill>
            <w14:solidFill>
              <w14:schemeClr w14:val="tx1"/>
            </w14:solidFill>
          </w14:textFill>
        </w:rPr>
        <w:t>）制定</w:t>
      </w:r>
      <w:r>
        <w:rPr>
          <w:color w:val="000000" w:themeColor="text1"/>
          <w:lang w:val="zh-CN"/>
          <w14:textFill>
            <w14:solidFill>
              <w14:schemeClr w14:val="tx1"/>
            </w14:solidFill>
          </w14:textFill>
        </w:rPr>
        <w:t>并实行《</w:t>
      </w:r>
      <w:r>
        <w:rPr>
          <w:rFonts w:hint="eastAsia"/>
          <w:color w:val="000000" w:themeColor="text1"/>
          <w:lang w:val="zh-CN"/>
          <w14:textFill>
            <w14:solidFill>
              <w14:schemeClr w14:val="tx1"/>
            </w14:solidFill>
          </w14:textFill>
        </w:rPr>
        <w:t>大鹏所城</w:t>
      </w:r>
      <w:r>
        <w:rPr>
          <w:color w:val="000000" w:themeColor="text1"/>
          <w:lang w:val="zh-CN"/>
          <w14:textFill>
            <w14:solidFill>
              <w14:schemeClr w14:val="tx1"/>
            </w14:solidFill>
          </w14:textFill>
        </w:rPr>
        <w:t>文化遗产经营准入证》管理</w:t>
      </w:r>
      <w:r>
        <w:rPr>
          <w:rFonts w:hint="eastAsia"/>
          <w:color w:val="000000" w:themeColor="text1"/>
          <w:lang w:val="zh-CN"/>
          <w14:textFill>
            <w14:solidFill>
              <w14:schemeClr w14:val="tx1"/>
            </w14:solidFill>
          </w14:textFill>
        </w:rPr>
        <w:t>制度</w:t>
      </w:r>
      <w:r>
        <w:rPr>
          <w:color w:val="000000" w:themeColor="text1"/>
          <w:lang w:val="zh-CN"/>
          <w14:textFill>
            <w14:solidFill>
              <w14:schemeClr w14:val="tx1"/>
            </w14:solidFill>
          </w14:textFill>
        </w:rPr>
        <w:t>，社会力量参与必须符合准入条件</w:t>
      </w:r>
      <w:r>
        <w:rPr>
          <w:rFonts w:hint="eastAsia"/>
          <w:color w:val="000000" w:themeColor="text1"/>
          <w:lang w:val="zh-CN"/>
          <w14:textFill>
            <w14:solidFill>
              <w14:schemeClr w14:val="tx1"/>
            </w14:solidFill>
          </w14:textFill>
        </w:rPr>
        <w:t>，相关经营活动须有利于所城文化价值的传播和发展</w:t>
      </w:r>
      <w:r>
        <w:rPr>
          <w:color w:val="000000" w:themeColor="text1"/>
          <w:lang w:val="zh-CN"/>
          <w14:textFill>
            <w14:solidFill>
              <w14:schemeClr w14:val="tx1"/>
            </w14:solidFill>
          </w14:textFill>
        </w:rPr>
        <w:t>。</w:t>
      </w:r>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7</w:t>
      </w:r>
      <w:r>
        <w:rPr>
          <w:rFonts w:hint="eastAsia"/>
          <w:color w:val="000000" w:themeColor="text1"/>
          <w:lang w:val="zh-CN"/>
          <w14:textFill>
            <w14:solidFill>
              <w14:schemeClr w14:val="tx1"/>
            </w14:solidFill>
          </w14:textFill>
        </w:rPr>
        <w:t>）</w:t>
      </w:r>
      <w:r>
        <w:rPr>
          <w:color w:val="000000" w:themeColor="text1"/>
          <w14:textFill>
            <w14:solidFill>
              <w14:schemeClr w14:val="tx1"/>
            </w14:solidFill>
          </w14:textFill>
        </w:rPr>
        <w:t>加快研究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积极推进</w:t>
      </w:r>
      <w:r>
        <w:rPr>
          <w:rFonts w:hint="eastAsia"/>
          <w:color w:val="000000" w:themeColor="text1"/>
          <w14:textFill>
            <w14:solidFill>
              <w14:schemeClr w14:val="tx1"/>
            </w14:solidFill>
          </w14:textFill>
        </w:rPr>
        <w:t>《大鹏所城文化遗产鼓励和限制、禁止经营的项目目录》编制工作，逐步规范经营种类、区域、标准和条件，给予鼓励类项目相应的政策和资金支持。</w:t>
      </w:r>
    </w:p>
    <w:p>
      <w:pPr>
        <w:pStyle w:val="5"/>
        <w:rPr>
          <w:color w:val="000000" w:themeColor="text1"/>
          <w:lang w:eastAsia="zh-CN"/>
          <w14:textFill>
            <w14:solidFill>
              <w14:schemeClr w14:val="tx1"/>
            </w14:solidFill>
          </w14:textFill>
        </w:rPr>
      </w:pPr>
      <w:bookmarkStart w:id="280" w:name="_Toc75013372"/>
      <w:r>
        <w:rPr>
          <w:rFonts w:hint="eastAsia"/>
          <w:color w:val="000000" w:themeColor="text1"/>
          <w14:textFill>
            <w14:solidFill>
              <w14:schemeClr w14:val="tx1"/>
            </w14:solidFill>
          </w14:textFill>
        </w:rPr>
        <w:t>建立政府多部门联动机制</w:t>
      </w:r>
      <w:bookmarkEnd w:id="280"/>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（1）信息沟通制度。整合运用各类信息平台，实现大鹏所城信息共享。</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（2）规划统筹制度。制定涉及多部门所城事项的综合规划。</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（3）联席会商制度。由大鹏新区文体旅游局主要负责人为召集人，相关部门及运营利用主体负责人为成员，共同商定所城重大事务。</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（4）协调服务制度。各相关部门强化主动服务意识，加强合作联动意识。</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（5）跟踪问效制度。建立督办制度，由大鹏新区文体旅游局对涉及多部门的所城重大事项进行跟踪问效、督查督办，确保各项措施落实到位，确保协同联动机制高效运行。</w:t>
      </w:r>
    </w:p>
    <w:p>
      <w:pPr>
        <w:pStyle w:val="5"/>
        <w:rPr>
          <w:color w:val="000000" w:themeColor="text1"/>
          <w14:textFill>
            <w14:solidFill>
              <w14:schemeClr w14:val="tx1"/>
            </w14:solidFill>
          </w14:textFill>
        </w:rPr>
      </w:pPr>
      <w:bookmarkStart w:id="281" w:name="_Toc75013373"/>
      <w:bookmarkStart w:id="282" w:name="_Toc498970431"/>
      <w:r>
        <w:rPr>
          <w:rFonts w:hint="eastAsia"/>
          <w:color w:val="000000" w:themeColor="text1"/>
          <w14:textFill>
            <w14:solidFill>
              <w14:schemeClr w14:val="tx1"/>
            </w14:solidFill>
          </w14:textFill>
        </w:rPr>
        <w:t>审批流程</w:t>
      </w:r>
      <w:bookmarkEnd w:id="281"/>
      <w:bookmarkEnd w:id="282"/>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根据大鹏所城保护区划以及文物建筑的级别，将保护区划内涉及的各类相关工程的审批流程分为以下七类：</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（备注：待规划正式批准后，按照最新的法律法规要求执行）</w:t>
      </w:r>
      <w:r>
        <w:rPr>
          <w:color w:val="000000" w:themeColor="text1"/>
          <w:lang w:val="zh-CN"/>
          <w14:textFill>
            <w14:solidFill>
              <w14:schemeClr w14:val="tx1"/>
            </w14:solidFill>
          </w14:textFill>
        </w:rPr>
        <w:t xml:space="preserve"> </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（1）需报经国家文物局批准的项目类型为：</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1处全国重点文物建筑</w:t>
      </w:r>
      <w:r>
        <w:rPr>
          <w:rFonts w:hint="eastAsia"/>
          <w:color w:val="000000" w:themeColor="text1"/>
          <w:lang w:val="zh-CN"/>
          <w14:textFill>
            <w14:solidFill>
              <w14:schemeClr w14:val="tx1"/>
            </w14:solidFill>
          </w14:textFill>
        </w:rPr>
        <w:t>的保护工程、展示工程、保护性设施建设工程、环境整治工程以及防护工程的计划书；</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21处全国重点文物建筑</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重点建筑遗址</w:t>
      </w:r>
      <w:r>
        <w:rPr>
          <w:rFonts w:hint="eastAsia"/>
          <w:color w:val="000000" w:themeColor="text1"/>
          <w:lang w:val="zh-CN"/>
          <w14:textFill>
            <w14:solidFill>
              <w14:schemeClr w14:val="tx1"/>
            </w14:solidFill>
          </w14:textFill>
        </w:rPr>
        <w:t>、7</w:t>
      </w:r>
      <w:r>
        <w:rPr>
          <w:color w:val="000000" w:themeColor="text1"/>
          <w:lang w:val="zh-CN"/>
          <w14:textFill>
            <w14:solidFill>
              <w14:schemeClr w14:val="tx1"/>
            </w14:solidFill>
          </w14:textFill>
        </w:rPr>
        <w:t>3处未定级不可移动文物建筑</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历史街巷的保护工程</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展示工程</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保护性设施建设工程</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环境整治工程以及防护工程的方案</w:t>
      </w:r>
      <w:r>
        <w:rPr>
          <w:rFonts w:hint="eastAsia"/>
          <w:color w:val="000000" w:themeColor="text1"/>
          <w:lang w:val="zh-CN"/>
          <w14:textFill>
            <w14:solidFill>
              <w14:schemeClr w14:val="tx1"/>
            </w14:solidFill>
          </w14:textFill>
        </w:rPr>
        <w:t>（资金自筹）；</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——21处全国重点文物建筑的抢险加固工程；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（2）需报经国家文物局同意，广东省人民政府批准的项目类型为：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——大鹏所城全国重点文物保护单位的保护范围内的其他建设工程或者爆破、钻探、挖掘等作业；</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（3）需报经广东省文物局批准的项目类型为：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——21处全国重点文物建筑</w:t>
      </w:r>
      <w:r>
        <w:rPr>
          <w:rFonts w:hint="eastAsia"/>
          <w:color w:val="000000" w:themeColor="text1"/>
          <w:lang w:val="zh-CN"/>
          <w14:textFill>
            <w14:solidFill>
              <w14:schemeClr w14:val="tx1"/>
            </w14:solidFill>
          </w14:textFill>
        </w:rPr>
        <w:t>、重点建筑遗址、7</w:t>
      </w:r>
      <w:r>
        <w:rPr>
          <w:color w:val="000000" w:themeColor="text1"/>
          <w:lang w:val="zh-CN"/>
          <w14:textFill>
            <w14:solidFill>
              <w14:schemeClr w14:val="tx1"/>
            </w14:solidFill>
          </w14:textFill>
        </w:rPr>
        <w:t>3处未定级不可移动文物建筑</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历史街巷的</w:t>
      </w:r>
      <w:r>
        <w:rPr>
          <w:rFonts w:hint="eastAsia"/>
          <w:color w:val="000000" w:themeColor="text1"/>
          <w:lang w:val="zh-CN"/>
          <w14:textFill>
            <w14:solidFill>
              <w14:schemeClr w14:val="tx1"/>
            </w14:solidFill>
          </w14:textFill>
        </w:rPr>
        <w:t>保护工程、展示工程、保护性设施建设工程、环境整治工程及防护工程方案（专项资金）</w:t>
      </w:r>
      <w:r>
        <w:rPr>
          <w:rFonts w:hint="eastAsia"/>
          <w:color w:val="000000" w:themeColor="text1"/>
          <w14:textFill>
            <w14:solidFill>
              <w14:schemeClr w14:val="tx1"/>
            </w14:solidFill>
          </w14:textFill>
        </w:rPr>
        <w:t>；</w:t>
      </w:r>
    </w:p>
    <w:p>
      <w:pPr>
        <w:ind w:firstLine="480" w:firstLineChars="200"/>
        <w:rPr>
          <w:color w:val="000000" w:themeColor="text1"/>
          <w14:textFill>
            <w14:solidFill>
              <w14:schemeClr w14:val="tx1"/>
            </w14:solidFill>
          </w14:textFill>
        </w:rPr>
      </w:pPr>
      <w:bookmarkStart w:id="283" w:name="_Hlk39743352"/>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）需报经深圳市规划和自然资源主管部门批准的项目类型为：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大鹏所城保护区内涉及的深圳市历史建筑</w:t>
      </w:r>
      <w:r>
        <w:rPr>
          <w:rFonts w:hint="eastAsia"/>
          <w:color w:val="000000" w:themeColor="text1"/>
          <w14:textFill>
            <w14:solidFill>
              <w14:schemeClr w14:val="tx1"/>
            </w14:solidFill>
          </w14:textFill>
        </w:rPr>
        <w:t>（东山寺住持墓、荣阴桥、登云桥）的保护名录管理和保护规划统筹管理工作。</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（5）需报经深圳市文物管理部门批准的项目类型为：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——大鹏所城保护区内涉及的市级文物保护单位（刘起龙将军墓、东山寺石牌坊、</w:t>
      </w:r>
      <w:r>
        <w:rPr>
          <w:rFonts w:hint="eastAsia"/>
          <w:color w:val="000000" w:themeColor="text1"/>
          <w:lang w:val="zh-CN"/>
          <w14:textFill>
            <w14:solidFill>
              <w14:schemeClr w14:val="tx1"/>
            </w14:solidFill>
          </w14:textFill>
        </w:rPr>
        <w:t>赖太母刘老夫人墓</w:t>
      </w:r>
      <w:r>
        <w:rPr>
          <w:rFonts w:hint="eastAsia"/>
          <w:color w:val="000000" w:themeColor="text1"/>
          <w14:textFill>
            <w14:solidFill>
              <w14:schemeClr w14:val="tx1"/>
            </w14:solidFill>
          </w14:textFill>
        </w:rPr>
        <w:t>）的保护工程、环境整治、展示利用等工程。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）需报经大鹏新区文物管理部门批准的项目类型为：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——大鹏所城保护区划内涉及的未定级不可移动文物建筑的保护工程、环境整治、展示利用等工程；</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）需报经国家文物局同意，大鹏新区规划行政部门批准的项目类型为：</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——大鹏所城全国重点文物保护单位的建设控制地带内涉及的建设工程。</w:t>
      </w:r>
      <w:bookmarkEnd w:id="283"/>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具体详见审批流程表：</w:t>
      </w:r>
    </w:p>
    <w:tbl>
      <w:tblPr>
        <w:tblStyle w:val="88"/>
        <w:tblW w:w="0" w:type="auto"/>
        <w:jc w:val="center"/>
        <w:tblLayout w:type="autofit"/>
        <w:tblCellMar>
          <w:top w:w="0" w:type="dxa"/>
          <w:left w:w="108" w:type="dxa"/>
          <w:bottom w:w="0" w:type="dxa"/>
          <w:right w:w="108" w:type="dxa"/>
        </w:tblCellMar>
      </w:tblPr>
      <w:tblGrid>
        <w:gridCol w:w="9644"/>
      </w:tblGrid>
      <w:tr>
        <w:tblPrEx>
          <w:tblCellMar>
            <w:top w:w="0" w:type="dxa"/>
            <w:left w:w="108" w:type="dxa"/>
            <w:bottom w:w="0" w:type="dxa"/>
            <w:right w:w="108" w:type="dxa"/>
          </w:tblCellMar>
        </w:tblPrEx>
        <w:trPr>
          <w:trHeight w:val="1798" w:hRule="atLeast"/>
          <w:jc w:val="center"/>
        </w:trPr>
        <w:tc>
          <w:tcPr>
            <w:tcW w:w="9644" w:type="dxa"/>
            <w:shd w:val="clear" w:color="auto" w:fill="auto"/>
          </w:tcPr>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689475" cy="5801360"/>
                  <wp:effectExtent l="0" t="0" r="0" b="8890"/>
                  <wp:docPr id="4" name="图片 4" descr="C:\Users\qienguang\Documents\Tencent Files\1039114774\FileRecv\大鹏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qienguang\Documents\Tencent Files\1039114774\FileRecv\大鹏1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94043" cy="5807198"/>
                          </a:xfrm>
                          <a:prstGeom prst="rect">
                            <a:avLst/>
                          </a:prstGeom>
                          <a:noFill/>
                          <a:ln>
                            <a:noFill/>
                          </a:ln>
                        </pic:spPr>
                      </pic:pic>
                    </a:graphicData>
                  </a:graphic>
                </wp:inline>
              </w:drawing>
            </w:r>
          </w:p>
        </w:tc>
      </w:tr>
    </w:tbl>
    <w:p>
      <w:pPr>
        <w:pStyle w:val="5"/>
        <w:rPr>
          <w:color w:val="000000" w:themeColor="text1"/>
          <w14:textFill>
            <w14:solidFill>
              <w14:schemeClr w14:val="tx1"/>
            </w14:solidFill>
          </w14:textFill>
        </w:rPr>
      </w:pPr>
      <w:bookmarkStart w:id="284" w:name="_Toc75013374"/>
      <w:r>
        <w:rPr>
          <w:rFonts w:hint="eastAsia"/>
          <w:color w:val="000000" w:themeColor="text1"/>
          <w14:textFill>
            <w14:solidFill>
              <w14:schemeClr w14:val="tx1"/>
            </w14:solidFill>
          </w14:textFill>
        </w:rPr>
        <w:t>管理经费</w:t>
      </w:r>
      <w:bookmarkEnd w:id="266"/>
      <w:bookmarkEnd w:id="267"/>
      <w:bookmarkEnd w:id="268"/>
      <w:bookmarkEnd w:id="269"/>
      <w:bookmarkEnd w:id="284"/>
    </w:p>
    <w:p>
      <w:pPr>
        <w:numPr>
          <w:ilvl w:val="0"/>
          <w:numId w:val="43"/>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按照国家有关文件，完善财务与资产规范化管理；</w:t>
      </w:r>
    </w:p>
    <w:p>
      <w:pPr>
        <w:numPr>
          <w:ilvl w:val="0"/>
          <w:numId w:val="43"/>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引导政府重视，获得更多的地方财政支持；</w:t>
      </w:r>
    </w:p>
    <w:p>
      <w:pPr>
        <w:numPr>
          <w:ilvl w:val="0"/>
          <w:numId w:val="43"/>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开放社会资助渠道，特别是专业保护机构的捐助；</w:t>
      </w:r>
    </w:p>
    <w:p>
      <w:pPr>
        <w:numPr>
          <w:ilvl w:val="0"/>
          <w:numId w:val="43"/>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筹办“大鹏所城保护基金会”的组建与管理方式；</w:t>
      </w:r>
    </w:p>
    <w:p>
      <w:pPr>
        <w:numPr>
          <w:ilvl w:val="0"/>
          <w:numId w:val="43"/>
        </w:num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吸引民间力量投资建设，并在大鹏古城博物馆的引导和监控下进行；</w:t>
      </w:r>
    </w:p>
    <w:p>
      <w:pPr>
        <w:pStyle w:val="4"/>
        <w:numPr>
          <w:ilvl w:val="0"/>
          <w:numId w:val="41"/>
        </w:numPr>
        <w:spacing w:before="163" w:after="163"/>
        <w:rPr>
          <w:color w:val="000000" w:themeColor="text1"/>
          <w14:textFill>
            <w14:solidFill>
              <w14:schemeClr w14:val="tx1"/>
            </w14:solidFill>
          </w14:textFill>
        </w:rPr>
      </w:pPr>
      <w:bookmarkStart w:id="285" w:name="_Toc75013375"/>
      <w:r>
        <w:rPr>
          <w:rFonts w:hint="eastAsia"/>
          <w:color w:val="000000" w:themeColor="text1"/>
          <w14:textFill>
            <w14:solidFill>
              <w14:schemeClr w14:val="tx1"/>
            </w14:solidFill>
          </w14:textFill>
        </w:rPr>
        <w:t>专项管理</w:t>
      </w:r>
      <w:bookmarkEnd w:id="285"/>
    </w:p>
    <w:p>
      <w:pPr>
        <w:pStyle w:val="5"/>
        <w:rPr>
          <w:color w:val="000000" w:themeColor="text1"/>
          <w:lang w:eastAsia="zh-CN"/>
          <w14:textFill>
            <w14:solidFill>
              <w14:schemeClr w14:val="tx1"/>
            </w14:solidFill>
          </w14:textFill>
        </w:rPr>
      </w:pPr>
      <w:bookmarkStart w:id="286" w:name="_Toc75013376"/>
      <w:r>
        <w:rPr>
          <w:rFonts w:hint="eastAsia"/>
          <w:color w:val="000000" w:themeColor="text1"/>
          <w:lang w:eastAsia="zh-CN"/>
          <w14:textFill>
            <w14:solidFill>
              <w14:schemeClr w14:val="tx1"/>
            </w14:solidFill>
          </w14:textFill>
        </w:rPr>
        <w:t>日常管理</w:t>
      </w:r>
      <w:bookmarkEnd w:id="286"/>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1、古城博物馆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（1）全面负责经过审批的保护规划中各项内容的组织实施和监督管理；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（2）直接负责21处全国重点文物建筑、城墙遗址、城壕遗址、重点建筑遗址及相关保护要素的保护管理、展示设施建设、环境保护与治理、治安和有偿经营服务等事务；</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做好国有全国重点文物建筑、重点建筑遗址及其环境的经常性保养维护工作，提高日常保养工程的技术含量，对可能造成的损伤采取预防性措施；对非国有重点文物建筑、建筑遗址采取所有人负责保养维护的原则，当所有人不具备修缮能力时，由当地人民政府给予帮助。</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（4）建立健全“四有”档案制度，收集、整理大鹏所城相关历史信息及保护工作资料；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（5）开展文物保护宣传教育工作，鼓励社会力量参与大鹏所城保护工作；</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（6）建立自然灾害、文物建筑及载体、环境以及旅游开发强度等监测制度，积累监测数据，为日常保养及保护修缮工作提供科学依据。</w:t>
      </w:r>
    </w:p>
    <w:p>
      <w:pPr>
        <w:ind w:firstLine="48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2、管理运营主体</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（1）在文物保护委员会的监督和引导之下，负责非文物和非历史风貌建筑及其周边环境的改造更新建设，组织实施展示利用与经营管理，同时负责建筑周边环境的保护、治理；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（2）组织制定符合实际的安全及疏散预案，并定期实施演练。</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（3）开展日常保护宣传教育工作，规范游客行为，鼓励社会力量参与大鹏所城保护工作；</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3、村民</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（1）组织消防志愿队，自愿参与到所城的保护中去；</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（2）开展所城民俗活动和传统节日，发扬所城历史文化内涵。</w:t>
      </w:r>
    </w:p>
    <w:p>
      <w:pPr>
        <w:pStyle w:val="5"/>
        <w:rPr>
          <w:color w:val="000000" w:themeColor="text1"/>
          <w:lang w:eastAsia="zh-CN"/>
          <w14:textFill>
            <w14:solidFill>
              <w14:schemeClr w14:val="tx1"/>
            </w14:solidFill>
          </w14:textFill>
        </w:rPr>
      </w:pPr>
      <w:bookmarkStart w:id="287" w:name="_Toc75013377"/>
      <w:r>
        <w:rPr>
          <w:rFonts w:hint="eastAsia"/>
          <w:color w:val="000000" w:themeColor="text1"/>
          <w:lang w:eastAsia="zh-CN"/>
          <w14:textFill>
            <w14:solidFill>
              <w14:schemeClr w14:val="tx1"/>
            </w14:solidFill>
          </w14:textFill>
        </w:rPr>
        <w:t>工程管理</w:t>
      </w:r>
      <w:bookmarkEnd w:id="287"/>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（1）严格执行“不改变文物原状” 、“最小干预”的原则；严格执行文物保护工程管理工作程序；</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（2）全面落实规划报批与公布，推进保护、利用工作的全面协调开展；</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（3）落实保护区划管理规定的实施工作，对保护区划内的建设工程进行严格监督管理；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（4）按照国家各项法律、法规、条例履行管理报批手续；实施所有保护工程勘察设计与施工管理；执行工程资质管理；</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（5）建立规划实施的评估标准，监督实施进展与问题。</w:t>
      </w:r>
    </w:p>
    <w:p>
      <w:pPr>
        <w:pStyle w:val="5"/>
        <w:rPr>
          <w:color w:val="000000" w:themeColor="text1"/>
          <w:lang w:eastAsia="zh-CN"/>
          <w14:textFill>
            <w14:solidFill>
              <w14:schemeClr w14:val="tx1"/>
            </w14:solidFill>
          </w14:textFill>
        </w:rPr>
      </w:pPr>
      <w:bookmarkStart w:id="288" w:name="_Toc75013378"/>
      <w:r>
        <w:rPr>
          <w:color w:val="000000" w:themeColor="text1"/>
          <w14:textFill>
            <w14:solidFill>
              <w14:schemeClr w14:val="tx1"/>
            </w14:solidFill>
          </w14:textFill>
        </w:rPr>
        <w:t>资料管理</w:t>
      </w:r>
      <w:bookmarkEnd w:id="288"/>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（1）建立资料室并建立管理系统，对资料档案实行专人负责、专人管理制度。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（2）建立文物建筑档案。未建立历史建筑档案的，不得进行修缮、迁移保护、拆除等建设活动。</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文物建筑档案应当包括下列内容：</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——建筑艺术特征、历史特征、建设年代及稀有程度；</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——建筑的有关技术资料；</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——建筑的使用现状和权属变化情况；</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——建筑的修缮、装饰装修过程中形成的文字、图纸、图片、影像等资料；</w:t>
      </w:r>
      <w:r>
        <w:rPr>
          <w:color w:val="000000" w:themeColor="text1"/>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——建筑的测绘信息记录和相关资料。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（3）加强文物档案收集整理工作，收集与文物有关的各类基础信息、学术成果、保护方案和政策文件，包括文字、表格、图片、拓片、照片、影像等资料。</w:t>
      </w:r>
    </w:p>
    <w:p>
      <w:pPr>
        <w:pStyle w:val="5"/>
        <w:rPr>
          <w:color w:val="000000" w:themeColor="text1"/>
          <w14:textFill>
            <w14:solidFill>
              <w14:schemeClr w14:val="tx1"/>
            </w14:solidFill>
          </w14:textFill>
        </w:rPr>
      </w:pPr>
      <w:bookmarkStart w:id="289" w:name="_Toc75013379"/>
      <w:r>
        <w:rPr>
          <w:rFonts w:hint="eastAsia"/>
          <w:color w:val="000000" w:themeColor="text1"/>
          <w14:textFill>
            <w14:solidFill>
              <w14:schemeClr w14:val="tx1"/>
            </w14:solidFill>
          </w14:textFill>
        </w:rPr>
        <w:t>宣传教育</w:t>
      </w:r>
      <w:bookmarkEnd w:id="289"/>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（1）在各单位、部门及其他相关的管理机构中开展多形式的《文物保护法》宣传活动。</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）重视、引导公众参与。</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当地民众居住于所城所在的区域内，是所城最直接的利益相关方，且居民对于文物本体、街巷、土地、植被等信息掌握充分，对所城的发展建设更有话语权，古城博物馆应引导居民参与所城的文物保护、日常的巡查、基础设施的改造等工作。</w:t>
      </w:r>
    </w:p>
    <w:p>
      <w:pPr>
        <w:pStyle w:val="3"/>
        <w:spacing w:before="163" w:after="163"/>
        <w:ind w:left="630" w:hanging="630"/>
        <w:rPr>
          <w:color w:val="000000" w:themeColor="text1"/>
          <w14:textFill>
            <w14:solidFill>
              <w14:schemeClr w14:val="tx1"/>
            </w14:solidFill>
          </w14:textFill>
        </w:rPr>
      </w:pPr>
      <w:bookmarkStart w:id="290" w:name="_Toc75013380"/>
      <w:r>
        <w:rPr>
          <w:color w:val="000000" w:themeColor="text1"/>
          <w14:textFill>
            <w14:solidFill>
              <w14:schemeClr w14:val="tx1"/>
            </w14:solidFill>
          </w14:textFill>
        </w:rPr>
        <w:t>与相关规划的衔接</w:t>
      </w:r>
      <w:bookmarkEnd w:id="290"/>
    </w:p>
    <w:p>
      <w:pPr>
        <w:pStyle w:val="5"/>
        <w:rPr>
          <w:color w:val="000000" w:themeColor="text1"/>
          <w14:textFill>
            <w14:solidFill>
              <w14:schemeClr w14:val="tx1"/>
            </w14:solidFill>
          </w14:textFill>
        </w:rPr>
      </w:pPr>
      <w:bookmarkStart w:id="291" w:name="_Toc75013381"/>
      <w:bookmarkStart w:id="292" w:name="_Hlk3063324"/>
      <w:r>
        <w:rPr>
          <w:color w:val="000000" w:themeColor="text1"/>
          <w14:textFill>
            <w14:solidFill>
              <w14:schemeClr w14:val="tx1"/>
            </w14:solidFill>
          </w14:textFill>
        </w:rPr>
        <w:t>与</w:t>
      </w:r>
      <w:r>
        <w:rPr>
          <w:rFonts w:hint="eastAsia"/>
          <w:color w:val="000000" w:themeColor="text1"/>
          <w14:textFill>
            <w14:solidFill>
              <w14:schemeClr w14:val="tx1"/>
            </w14:solidFill>
          </w14:textFill>
        </w:rPr>
        <w:t>《大鹏所城保护规划（2004-2020）》的衔接</w:t>
      </w:r>
      <w:bookmarkEnd w:id="291"/>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（1）与保护对象的衔接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规划（2004-2020）》确定的保护对象包括，街区及周边地区的整体景观、古城的空间格局、各级文物保护建构筑物及典型的风貌建筑、古井、古树、古寺等历史遗迹，本规划在结合该规划提出的保护规划的基础上进行了明确的归类，确定本次保护对象包括文物本体（21处全国重点文物建筑）、文物环境（73处未定级文物建筑、城墙遗址和城壕遗址、重点建筑遗址、古树、古井、城外相关遗存、山-城-海空间格局）。</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（2）与保护区划的衔接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规划（2004-2020）》划定了大鹏所城的保护区划，保护范围原则上沿古城墙外扩展50米，局部地区根据地形调整；建设控制地带原则上从保护范围边界外扩100米，局部根据山势地形确定。该规划保护范围将与本体无关的非文物建筑、用地等一并纳入，不具备具体可操作性，同事也增加了所城保护和管理的复杂程度。本规划在该规划划定的区划的基础上，结合最新确定的保护对象进行保护范围的调整，建设控制地带根据管控内容进行分级。</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）与管理规定的衔接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1）保护范围管理规定</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规划（2004-2020）》提出针对保护范围内，不得进行其他建设工程或者爆破、钻探、挖掘等作业，对所城南城墙遗址以南地区应逐步整理为文物保护用地和绿化保护用地，所城西城墙遗址以西地区的保护范围应严格控制用地建设，所城东城墙遗址和北城墙遗址外围的保护范围为绿化保护用地，不在安排新的建设项目。本规划保护范围管理规定在结合该规划相关规定的基础上，考虑《深圳市龙岗LG</w:t>
      </w:r>
      <w:r>
        <w:rPr>
          <w:color w:val="000000" w:themeColor="text1"/>
          <w14:textFill>
            <w14:solidFill>
              <w14:schemeClr w14:val="tx1"/>
            </w14:solidFill>
          </w14:textFill>
        </w:rPr>
        <w:t>402-03号片区</w:t>
      </w:r>
      <w:r>
        <w:rPr>
          <w:rFonts w:hint="eastAsia"/>
          <w:color w:val="000000" w:themeColor="text1"/>
          <w14:textFill>
            <w14:solidFill>
              <w14:schemeClr w14:val="tx1"/>
            </w14:solidFill>
          </w14:textFill>
        </w:rPr>
        <w:t>【大鹏鹏城地区】法定图则》对所城及周边用地的规划进行调整，将所城范围内用地划定为文化遗产用地。</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2）建设控制地带管理规定</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《大鹏所城保护规划（2004-2020）》提出针对建设控制</w:t>
      </w:r>
      <w:r>
        <w:rPr>
          <w:color w:val="000000" w:themeColor="text1"/>
          <w14:textFill>
            <w14:solidFill>
              <w14:schemeClr w14:val="tx1"/>
            </w14:solidFill>
          </w14:textFill>
        </w:rPr>
        <w:t>地带</w:t>
      </w:r>
      <w:r>
        <w:rPr>
          <w:rFonts w:hint="eastAsia"/>
          <w:color w:val="000000" w:themeColor="text1"/>
          <w14:textFill>
            <w14:solidFill>
              <w14:schemeClr w14:val="tx1"/>
            </w14:solidFill>
          </w14:textFill>
        </w:rPr>
        <w:t>内的建设工程，不得破坏所城的历史风貌，工程设计方案应当经市文物行政主管部门同意后，报规划建设行政部门批准。本规划结合该规划的管理规定，考虑本规划建设控制地带的分级，提出不同的管控要。</w:t>
      </w:r>
    </w:p>
    <w:p>
      <w:pPr>
        <w:pStyle w:val="5"/>
        <w:rPr>
          <w:color w:val="000000" w:themeColor="text1"/>
          <w14:textFill>
            <w14:solidFill>
              <w14:schemeClr w14:val="tx1"/>
            </w14:solidFill>
          </w14:textFill>
        </w:rPr>
      </w:pPr>
      <w:bookmarkStart w:id="293" w:name="_Toc75013382"/>
      <w:r>
        <w:rPr>
          <w:color w:val="000000" w:themeColor="text1"/>
          <w14:textFill>
            <w14:solidFill>
              <w14:schemeClr w14:val="tx1"/>
            </w14:solidFill>
          </w14:textFill>
        </w:rPr>
        <w:t>与</w:t>
      </w:r>
      <w:r>
        <w:rPr>
          <w:rFonts w:hint="eastAsia"/>
          <w:color w:val="000000" w:themeColor="text1"/>
          <w14:textFill>
            <w14:solidFill>
              <w14:schemeClr w14:val="tx1"/>
            </w14:solidFill>
          </w14:textFill>
        </w:rPr>
        <w:t>《全国重点文物保护单位深圳大鹏所城保护规划</w:t>
      </w:r>
      <w:r>
        <w:rPr>
          <w:rFonts w:hint="eastAsia"/>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005-2020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》的衔接</w:t>
      </w:r>
      <w:bookmarkEnd w:id="293"/>
    </w:p>
    <w:p>
      <w:pPr>
        <w:ind w:firstLine="482" w:firstLine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（1）与保护对象的衔接</w:t>
      </w:r>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全国重点文物保护单位深圳大鹏所城保护规划（2005-2020）》根据对现有规划范围内所有建筑的调研，对大鹏所城背景环境的考察和历史背景的研究，确定该规划的保护对象为所城内文物建筑（全国重点文物建筑）及遗址（建筑遗址）、附属文物（古井、墓葬、碑刻、可移动文物）、周边相关文物（古井、碑刻、墓葬、校场、桥梁等）。</w:t>
      </w:r>
      <w:r>
        <w:rPr>
          <w:rFonts w:hint="eastAsia"/>
          <w:color w:val="000000" w:themeColor="text1"/>
          <w14:textFill>
            <w14:solidFill>
              <w14:schemeClr w14:val="tx1"/>
            </w14:solidFill>
          </w14:textFill>
        </w:rPr>
        <w:t>本规划在结合该规划提出的保护规划的基础上进行了明确的归类，确定本次保护对象包括文物本体（21处全国重点文物建筑）、文物环境（73处未定级文物建筑、城墙遗址和城壕遗址、重点建筑遗址、古树、古井、城外相关遗存、山-城-海空间格局）。</w:t>
      </w:r>
    </w:p>
    <w:p>
      <w:pPr>
        <w:ind w:firstLine="482" w:firstLine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（2）与保护区划的衔接</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全国重点文物保护单位深圳大鹏所城保护规划（2005-2020）》划定了大鹏所城的保护区划，重点保护范围包含所城内的一类建筑以及“两横一纵”的道路格局；一般保护范围沿古城本体范围外扩50米，局部根据山势地形确定；一类建设控制地带为东北校场、墓葬群、龙井、西南校场、石桥所在区域；二类建设控制地带，沿古城墙向外100米，局部根据山形地势确定。本规划从保护范围实际的可操作性出发，结合该规划重点保护区的划定，并考虑所城内重点建筑遗迹的保护，统一划入保护范围，</w:t>
      </w:r>
      <w:r>
        <w:rPr>
          <w:rFonts w:hint="eastAsia"/>
          <w:color w:val="000000" w:themeColor="text1"/>
          <w14:textFill>
            <w14:solidFill>
              <w14:schemeClr w14:val="tx1"/>
            </w14:solidFill>
          </w14:textFill>
        </w:rPr>
        <w:t>建设控制地带根据管控内容进行分级。</w:t>
      </w:r>
    </w:p>
    <w:p>
      <w:pPr>
        <w:ind w:firstLine="482" w:firstLine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w:t>
      </w:r>
      <w:r>
        <w:rPr>
          <w:b/>
          <w:color w:val="000000" w:themeColor="text1"/>
          <w:lang w:val="zh-CN"/>
          <w14:textFill>
            <w14:solidFill>
              <w14:schemeClr w14:val="tx1"/>
            </w14:solidFill>
          </w14:textFill>
        </w:rPr>
        <w:t>3</w:t>
      </w:r>
      <w:r>
        <w:rPr>
          <w:rFonts w:hint="eastAsia"/>
          <w:b/>
          <w:color w:val="000000" w:themeColor="text1"/>
          <w:lang w:val="zh-CN"/>
          <w14:textFill>
            <w14:solidFill>
              <w14:schemeClr w14:val="tx1"/>
            </w14:solidFill>
          </w14:textFill>
        </w:rPr>
        <w:t>）与管理规定的衔接</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1）重点保护范围和一般保护范围管理规定</w:t>
      </w:r>
    </w:p>
    <w:p>
      <w:pPr>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全国重点文物保护单位深圳大鹏所城保护规划（2005-2020）》对重点保护范围提出，不得进行爆破、钻探、挖掘等作业；针对一般保护范围，提出范围内的考古发掘或爆破、钻探等作业需要经相应程序批准，对文物本体或环境造成破坏或不利影响的建筑物或设施应予以整治，并对街巷两侧的建筑高度提出相应的控制要求。本规划保护范围管理规定在结合该规划重点保护范围和一般保护范围的基础上，将历史街巷、展示利用的管控要求也统一纳入，使得管理规定更加全面。</w:t>
      </w:r>
    </w:p>
    <w:p>
      <w:pPr>
        <w:ind w:firstLine="48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建设控制地带管理规定</w:t>
      </w:r>
    </w:p>
    <w:p>
      <w:pPr>
        <w:ind w:firstLine="480" w:firstLineChars="20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全国重点文物保护单位深圳大鹏所城保护规划（2005-2020）》对建设控制地带提出，建设工程不得破坏所城的历史风貌，不得建设污染文物保护单位的设施，并对一类建设控制地带内的建设内容，二和建设控制地带内的建筑高度、形制提出具体要求。</w:t>
      </w:r>
      <w:r>
        <w:rPr>
          <w:rFonts w:hint="eastAsia"/>
          <w:color w:val="000000" w:themeColor="text1"/>
          <w14:textFill>
            <w14:solidFill>
              <w14:schemeClr w14:val="tx1"/>
            </w14:solidFill>
          </w14:textFill>
        </w:rPr>
        <w:t>本规划结合该规划的管理规定，考虑本规划建设控制地带的分级，提出不同的管控要。</w:t>
      </w:r>
    </w:p>
    <w:p>
      <w:pPr>
        <w:pStyle w:val="5"/>
        <w:rPr>
          <w:color w:val="000000" w:themeColor="text1"/>
          <w14:textFill>
            <w14:solidFill>
              <w14:schemeClr w14:val="tx1"/>
            </w14:solidFill>
          </w14:textFill>
        </w:rPr>
      </w:pPr>
      <w:bookmarkStart w:id="294" w:name="_Toc75013383"/>
      <w:r>
        <w:rPr>
          <w:color w:val="000000" w:themeColor="text1"/>
          <w14:textFill>
            <w14:solidFill>
              <w14:schemeClr w14:val="tx1"/>
            </w14:solidFill>
          </w14:textFill>
        </w:rPr>
        <w:t>与</w:t>
      </w:r>
      <w:r>
        <w:rPr>
          <w:rFonts w:hint="eastAsia"/>
          <w:color w:val="000000" w:themeColor="text1"/>
          <w14:textFill>
            <w14:solidFill>
              <w14:schemeClr w14:val="tx1"/>
            </w14:solidFill>
          </w14:textFill>
        </w:rPr>
        <w:t>《深圳市龙岗LG</w:t>
      </w:r>
      <w:r>
        <w:rPr>
          <w:color w:val="000000" w:themeColor="text1"/>
          <w14:textFill>
            <w14:solidFill>
              <w14:schemeClr w14:val="tx1"/>
            </w14:solidFill>
          </w14:textFill>
        </w:rPr>
        <w:t>402-03号片区</w:t>
      </w:r>
      <w:r>
        <w:rPr>
          <w:rFonts w:hint="eastAsia"/>
          <w:color w:val="000000" w:themeColor="text1"/>
          <w14:textFill>
            <w14:solidFill>
              <w14:schemeClr w14:val="tx1"/>
            </w14:solidFill>
          </w14:textFill>
        </w:rPr>
        <w:t>【大鹏鹏城地区】法定图则》</w:t>
      </w:r>
      <w:r>
        <w:rPr>
          <w:rFonts w:hint="eastAsia"/>
          <w:color w:val="000000" w:themeColor="text1"/>
          <w:lang w:eastAsia="zh-CN"/>
          <w14:textFill>
            <w14:solidFill>
              <w14:schemeClr w14:val="tx1"/>
            </w14:solidFill>
          </w14:textFill>
        </w:rPr>
        <w:t>的衔接</w:t>
      </w:r>
      <w:bookmarkEnd w:id="294"/>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（1）与土地利用性质的衔接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《深圳市龙岗L</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402-03号片区【大鹏所城地区】法定图则》的土地利用结合《大鹏所城保护规划（2001-2010）》确定的建设要求划定，用地主导用途与文物保护用途相适应。本规划结合考古等相关资料，对所城遗存分布范围进一步明确，建议未来【鹏城片区】法定图则修编时给予落实。</w:t>
      </w:r>
    </w:p>
    <w:p>
      <w:pPr>
        <w:ind w:firstLine="482" w:firstLine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（2）与城市设计及其他有关规定的衔接</w:t>
      </w:r>
    </w:p>
    <w:p>
      <w:pPr>
        <w:ind w:firstLine="480" w:firstLineChars="200"/>
        <w:rPr>
          <w:color w:val="000000" w:themeColor="text1"/>
          <w:lang w:val="zh-CN" w:eastAsia="zh-CN"/>
          <w14:textFill>
            <w14:solidFill>
              <w14:schemeClr w14:val="tx1"/>
            </w14:solidFill>
          </w14:textFill>
        </w:rPr>
      </w:pPr>
      <w:r>
        <w:rPr>
          <w:rFonts w:hint="eastAsia"/>
          <w:color w:val="000000" w:themeColor="text1"/>
          <w14:textFill>
            <w14:solidFill>
              <w14:schemeClr w14:val="tx1"/>
            </w14:solidFill>
          </w14:textFill>
        </w:rPr>
        <w:t>《深圳市龙岗L</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402-03号片区【大鹏所城地区】法定图则》的城市设计及其有关规定中对片区的城市形态、建设高度、公共空间、绿化系统等都提出严格要求，为本规划保护区划管理规定中建筑高度、建筑形态的控制要求提供了参考和借鉴。</w:t>
      </w:r>
    </w:p>
    <w:p>
      <w:pPr>
        <w:pStyle w:val="5"/>
        <w:rPr>
          <w:color w:val="000000" w:themeColor="text1"/>
          <w:lang w:eastAsia="zh-CN"/>
          <w14:textFill>
            <w14:solidFill>
              <w14:schemeClr w14:val="tx1"/>
            </w14:solidFill>
          </w14:textFill>
        </w:rPr>
      </w:pPr>
      <w:bookmarkStart w:id="295" w:name="_Toc75013384"/>
      <w:r>
        <w:rPr>
          <w:color w:val="000000" w:themeColor="text1"/>
          <w14:textFill>
            <w14:solidFill>
              <w14:schemeClr w14:val="tx1"/>
            </w14:solidFill>
          </w14:textFill>
        </w:rPr>
        <w:t>与</w:t>
      </w:r>
      <w:r>
        <w:rPr>
          <w:rFonts w:hint="eastAsia"/>
          <w:color w:val="000000" w:themeColor="text1"/>
          <w:lang w:eastAsia="zh-CN"/>
          <w14:textFill>
            <w14:solidFill>
              <w14:schemeClr w14:val="tx1"/>
            </w14:solidFill>
          </w14:textFill>
        </w:rPr>
        <w:t>《深圳市城市总体规划》的衔接</w:t>
      </w:r>
      <w:bookmarkEnd w:id="295"/>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城市总体规划》在第十七章城市文化特色与遗产保护中提出“大鹏所城：重点保护古城及周边地区的整体景观、古城的空间格局、各级文物保护单位及历史遗迹、地方特色民俗和文化内涵。”本规划的编制呼应了总体规划对大鹏所城遗产保护的要求。</w:t>
      </w:r>
    </w:p>
    <w:p>
      <w:pPr>
        <w:pStyle w:val="5"/>
        <w:rPr>
          <w:color w:val="000000" w:themeColor="text1"/>
          <w14:textFill>
            <w14:solidFill>
              <w14:schemeClr w14:val="tx1"/>
            </w14:solidFill>
          </w14:textFill>
        </w:rPr>
      </w:pPr>
      <w:bookmarkStart w:id="296" w:name="_Toc75013385"/>
      <w:r>
        <w:rPr>
          <w:rFonts w:hint="eastAsia"/>
          <w:color w:val="000000" w:themeColor="text1"/>
          <w14:textFill>
            <w14:solidFill>
              <w14:schemeClr w14:val="tx1"/>
            </w14:solidFill>
          </w14:textFill>
        </w:rPr>
        <w:t>与《深圳市海岸带综合保护与利用规划（2018-2035）》的衔接</w:t>
      </w:r>
      <w:bookmarkEnd w:id="296"/>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（1）与产业布局的衔接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海岸带综合保护与利用规划（2018-2035）》在产业布局中将大鹏所城所在的区域定位为“滨海旅游度假产业带”，为所城未来的活化利用提供了基础的支撑，也为本规划展示利用规划的编制提供了重要的依据。</w:t>
      </w:r>
    </w:p>
    <w:p>
      <w:pPr>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（2）与海岸陆域建设管控及岸带空间设计指引的衔接</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深圳市海岸带综合保护与利用规划（2018-2035）》在第四章精细管控，保障岸带生态安全及公共开放中对海岸带划定海岸建设控制区，提出相应的管控要求，并制定岸带空间设计指引，对滨海街区、滨海道路、滨海建筑形态和高度提出明确的要求，为本规划保护区划管理规定的制定提供了科学可靠的依据。</w:t>
      </w:r>
    </w:p>
    <w:bookmarkEnd w:id="292"/>
    <w:p>
      <w:pPr>
        <w:pStyle w:val="3"/>
        <w:spacing w:before="163" w:after="163"/>
        <w:ind w:left="630" w:hanging="630"/>
        <w:rPr>
          <w:color w:val="000000" w:themeColor="text1"/>
          <w14:textFill>
            <w14:solidFill>
              <w14:schemeClr w14:val="tx1"/>
            </w14:solidFill>
          </w14:textFill>
        </w:rPr>
      </w:pPr>
      <w:r>
        <w:rPr>
          <w:color w:val="000000" w:themeColor="text1"/>
          <w14:textFill>
            <w14:solidFill>
              <w14:schemeClr w14:val="tx1"/>
            </w14:solidFill>
          </w14:textFill>
        </w:rPr>
        <w:br w:type="column"/>
      </w:r>
      <w:bookmarkStart w:id="297" w:name="_Toc75013386"/>
      <w:r>
        <w:rPr>
          <w:rFonts w:hint="eastAsia"/>
          <w:color w:val="000000" w:themeColor="text1"/>
          <w14:textFill>
            <w14:solidFill>
              <w14:schemeClr w14:val="tx1"/>
            </w14:solidFill>
          </w14:textFill>
        </w:rPr>
        <w:t>研究规划</w:t>
      </w:r>
      <w:bookmarkEnd w:id="256"/>
      <w:bookmarkEnd w:id="297"/>
    </w:p>
    <w:p>
      <w:pPr>
        <w:pStyle w:val="5"/>
        <w:rPr>
          <w:color w:val="000000" w:themeColor="text1"/>
          <w14:textFill>
            <w14:solidFill>
              <w14:schemeClr w14:val="tx1"/>
            </w14:solidFill>
          </w14:textFill>
        </w:rPr>
      </w:pPr>
      <w:bookmarkStart w:id="298" w:name="_Toc75013387"/>
      <w:bookmarkStart w:id="299" w:name="_Toc373500845"/>
      <w:r>
        <w:rPr>
          <w:rFonts w:hint="eastAsia"/>
          <w:color w:val="000000" w:themeColor="text1"/>
          <w14:textFill>
            <w14:solidFill>
              <w14:schemeClr w14:val="tx1"/>
            </w14:solidFill>
          </w14:textFill>
        </w:rPr>
        <w:t>考古研究</w:t>
      </w:r>
      <w:bookmarkEnd w:id="298"/>
    </w:p>
    <w:bookmarkEnd w:id="299"/>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开展所城内建筑遗址、所城内外民居搬迁后的区域以及龙岐湾近海区域的勘探，重点勘察城内建筑遗址、城壕遗址及海底小长城的现状、走向及规模，对新发现的历史遗存及时补充划定保护范围。</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前期调查研究的基础上，深化对遗址的性质和文化内涵的考古研究，搞清整体格局，为未来的规划建设预留条件；明确城内的建筑院落及街道的布局及重要遗址的年代、性质与建筑方式。为进一步的保护工作提供依据。</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配合保护和展示工程，进行相应的古城内散落的可移动文物的收集整理、考古勘探、发掘等工作，根据考古工作成果逐步推进，研究大鹏所城的文化内涵及所城范围内的格局文化变迁，为进一步实施保护和展示工程提供专业指导和依据。</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运用多学科先进技术，开展植物、动物、环境考古等科技考古研究，地理与土壤等多学科合作研究等，对所城的发展过程、地貌环境、水系进行研究和复原，为所城保护提供详细信息。</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尽快完成近期已经调查、勘探、发掘资料的整理及出土文物的修复工作，及时完成初步研究并公布资料，出版科学发掘报告，为相关学科的深入研究奠定基础。</w:t>
      </w:r>
    </w:p>
    <w:p>
      <w:pPr>
        <w:pStyle w:val="5"/>
        <w:rPr>
          <w:color w:val="000000" w:themeColor="text1"/>
          <w14:textFill>
            <w14:solidFill>
              <w14:schemeClr w14:val="tx1"/>
            </w14:solidFill>
          </w14:textFill>
        </w:rPr>
      </w:pPr>
      <w:bookmarkStart w:id="300" w:name="_Toc75013388"/>
      <w:r>
        <w:rPr>
          <w:rFonts w:hint="eastAsia"/>
          <w:color w:val="000000" w:themeColor="text1"/>
          <w14:textFill>
            <w14:solidFill>
              <w14:schemeClr w14:val="tx1"/>
            </w14:solidFill>
          </w14:textFill>
        </w:rPr>
        <w:t>相关研究</w:t>
      </w:r>
      <w:bookmarkEnd w:id="30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在大鹏所城历史、建筑技术及周边相关文化资源等方面继续深入开展相关研究；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开展大鹏所城与其明清海防所城的对比研究、大鹏所城的空间特色研究、大鹏所城的科学保护与合理利用研究、大鹏所城所在地——鹏城村的古村形态研究等，扩展大鹏所城的研究广度；</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鼓励国内外研究团体和人员投身大鹏所城相关研究，定期举办“明清海防—</w:t>
      </w:r>
      <w:r>
        <w:rPr>
          <w:color w:val="000000" w:themeColor="text1"/>
          <w14:textFill>
            <w14:solidFill>
              <w14:schemeClr w14:val="tx1"/>
            </w14:solidFill>
          </w14:textFill>
        </w:rPr>
        <w:t>大鹏所城研讨会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论坛</w:t>
      </w:r>
      <w:r>
        <w:rPr>
          <w:rFonts w:hint="eastAsia"/>
          <w:color w:val="000000" w:themeColor="text1"/>
          <w14:textFill>
            <w14:solidFill>
              <w14:schemeClr w14:val="tx1"/>
            </w14:solidFill>
          </w14:textFill>
        </w:rPr>
        <w:t>，研讨会论文结集出版，增强大鹏所城在学术领域的地位；</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与开设考古、建筑、规划、文化遗产保护等相关专业的高校合作，共建实习基地，培养相关人才。</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根据《历史文化名城名镇名村保护条例》开展《大鹏历史文化名村保护规划》。</w:t>
      </w:r>
    </w:p>
    <w:p>
      <w:pPr>
        <w:pStyle w:val="3"/>
        <w:spacing w:before="163" w:after="163"/>
        <w:ind w:left="630" w:hanging="630"/>
        <w:rPr>
          <w:color w:val="000000" w:themeColor="text1"/>
          <w14:textFill>
            <w14:solidFill>
              <w14:schemeClr w14:val="tx1"/>
            </w14:solidFill>
          </w14:textFill>
        </w:rPr>
      </w:pPr>
      <w:bookmarkStart w:id="301" w:name="_Toc373500847"/>
      <w:r>
        <w:rPr>
          <w:color w:val="000000" w:themeColor="text1"/>
          <w14:textFill>
            <w14:solidFill>
              <w14:schemeClr w14:val="tx1"/>
            </w14:solidFill>
          </w14:textFill>
        </w:rPr>
        <w:br w:type="column"/>
      </w:r>
      <w:bookmarkStart w:id="302" w:name="_Toc75013389"/>
      <w:r>
        <w:rPr>
          <w:rFonts w:hint="eastAsia"/>
          <w:color w:val="000000" w:themeColor="text1"/>
          <w14:textFill>
            <w14:solidFill>
              <w14:schemeClr w14:val="tx1"/>
            </w14:solidFill>
          </w14:textFill>
        </w:rPr>
        <w:t>规划分期与投资估算</w:t>
      </w:r>
      <w:bookmarkEnd w:id="301"/>
      <w:bookmarkEnd w:id="302"/>
    </w:p>
    <w:p>
      <w:pPr>
        <w:pStyle w:val="4"/>
        <w:numPr>
          <w:ilvl w:val="0"/>
          <w:numId w:val="41"/>
        </w:numPr>
        <w:spacing w:before="163" w:after="163"/>
        <w:rPr>
          <w:color w:val="000000" w:themeColor="text1"/>
          <w14:textFill>
            <w14:solidFill>
              <w14:schemeClr w14:val="tx1"/>
            </w14:solidFill>
          </w14:textFill>
        </w:rPr>
      </w:pPr>
      <w:bookmarkStart w:id="303" w:name="_Toc75013390"/>
      <w:bookmarkStart w:id="304" w:name="_Toc373500848"/>
      <w:r>
        <w:rPr>
          <w:rFonts w:hint="eastAsia"/>
          <w:color w:val="000000" w:themeColor="text1"/>
          <w14:textFill>
            <w14:solidFill>
              <w14:schemeClr w14:val="tx1"/>
            </w14:solidFill>
          </w14:textFill>
        </w:rPr>
        <w:t>规划分期与实施重点</w:t>
      </w:r>
      <w:bookmarkEnd w:id="303"/>
      <w:bookmarkEnd w:id="304"/>
    </w:p>
    <w:p>
      <w:pPr>
        <w:pStyle w:val="5"/>
        <w:rPr>
          <w:color w:val="000000" w:themeColor="text1"/>
          <w14:textFill>
            <w14:solidFill>
              <w14:schemeClr w14:val="tx1"/>
            </w14:solidFill>
          </w14:textFill>
        </w:rPr>
      </w:pPr>
      <w:bookmarkStart w:id="305" w:name="_Toc362243220"/>
      <w:bookmarkStart w:id="306" w:name="_Toc75013391"/>
      <w:bookmarkStart w:id="307" w:name="_Toc373500849"/>
      <w:bookmarkStart w:id="308" w:name="_Toc372275994"/>
      <w:r>
        <w:rPr>
          <w:rFonts w:hint="eastAsia"/>
          <w:color w:val="000000" w:themeColor="text1"/>
          <w14:textFill>
            <w14:solidFill>
              <w14:schemeClr w14:val="tx1"/>
            </w14:solidFill>
          </w14:textFill>
        </w:rPr>
        <w:t>分期依据</w:t>
      </w:r>
      <w:bookmarkEnd w:id="305"/>
      <w:bookmarkEnd w:id="306"/>
      <w:bookmarkEnd w:id="307"/>
      <w:bookmarkEnd w:id="308"/>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“保护为主、抢救第一、合理利用、加强管理”的文物工作方针与文物保护工作程序；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国家文化遗产保护事业“十三五”规划；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国家经济计划管理规划；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地区相关的经济与社会发展规划等。</w:t>
      </w:r>
    </w:p>
    <w:p>
      <w:pPr>
        <w:pStyle w:val="5"/>
        <w:rPr>
          <w:color w:val="000000" w:themeColor="text1"/>
          <w14:textFill>
            <w14:solidFill>
              <w14:schemeClr w14:val="tx1"/>
            </w14:solidFill>
          </w14:textFill>
        </w:rPr>
      </w:pPr>
      <w:bookmarkStart w:id="309" w:name="_Toc75013392"/>
      <w:bookmarkStart w:id="310" w:name="_Toc372275995"/>
      <w:bookmarkStart w:id="311" w:name="_Toc362243221"/>
      <w:bookmarkStart w:id="312" w:name="_Toc373500850"/>
      <w:r>
        <w:rPr>
          <w:rFonts w:hint="eastAsia"/>
          <w:color w:val="000000" w:themeColor="text1"/>
          <w14:textFill>
            <w14:solidFill>
              <w14:schemeClr w14:val="tx1"/>
            </w14:solidFill>
          </w14:textFill>
        </w:rPr>
        <w:t>规划分期</w:t>
      </w:r>
      <w:bookmarkEnd w:id="309"/>
      <w:bookmarkEnd w:id="310"/>
      <w:bookmarkEnd w:id="311"/>
      <w:bookmarkEnd w:id="312"/>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近期为</w:t>
      </w:r>
      <w:r>
        <w:rPr>
          <w:color w:val="000000" w:themeColor="text1"/>
          <w14:textFill>
            <w14:solidFill>
              <w14:schemeClr w14:val="tx1"/>
            </w14:solidFill>
          </w14:textFill>
        </w:rPr>
        <w:t>2021</w:t>
      </w:r>
      <w:r>
        <w:rPr>
          <w:rFonts w:hint="eastAsia"/>
          <w:color w:val="000000" w:themeColor="text1"/>
          <w14:textFill>
            <w14:solidFill>
              <w14:schemeClr w14:val="tx1"/>
            </w14:solidFill>
          </w14:textFill>
        </w:rPr>
        <w:t>～202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年；中期为202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～2030年；远期为20</w:t>
      </w:r>
      <w:r>
        <w:rPr>
          <w:color w:val="000000" w:themeColor="text1"/>
          <w14:textFill>
            <w14:solidFill>
              <w14:schemeClr w14:val="tx1"/>
            </w14:solidFill>
          </w14:textFill>
        </w:rPr>
        <w:t>31</w:t>
      </w:r>
      <w:r>
        <w:rPr>
          <w:rFonts w:hint="eastAsia"/>
          <w:color w:val="000000" w:themeColor="text1"/>
          <w14:textFill>
            <w14:solidFill>
              <w14:schemeClr w14:val="tx1"/>
            </w14:solidFill>
          </w14:textFill>
        </w:rPr>
        <w:t>～2035年。</w:t>
      </w:r>
    </w:p>
    <w:p>
      <w:pPr>
        <w:pStyle w:val="5"/>
        <w:rPr>
          <w:color w:val="000000" w:themeColor="text1"/>
          <w14:textFill>
            <w14:solidFill>
              <w14:schemeClr w14:val="tx1"/>
            </w14:solidFill>
          </w14:textFill>
        </w:rPr>
      </w:pPr>
      <w:bookmarkStart w:id="313" w:name="_Toc75013393"/>
      <w:bookmarkStart w:id="314" w:name="_Toc373500851"/>
      <w:r>
        <w:rPr>
          <w:rFonts w:hint="eastAsia"/>
          <w:color w:val="000000" w:themeColor="text1"/>
          <w14:textFill>
            <w14:solidFill>
              <w14:schemeClr w14:val="tx1"/>
            </w14:solidFill>
          </w14:textFill>
        </w:rPr>
        <w:t>分期实施重点</w:t>
      </w:r>
      <w:bookmarkEnd w:id="313"/>
      <w:bookmarkEnd w:id="314"/>
    </w:p>
    <w:p>
      <w:pPr>
        <w:pStyle w:val="6"/>
        <w:rPr>
          <w:color w:val="000000" w:themeColor="text1"/>
          <w14:textFill>
            <w14:solidFill>
              <w14:schemeClr w14:val="tx1"/>
            </w14:solidFill>
          </w14:textFill>
        </w:rPr>
      </w:pPr>
      <w:r>
        <w:rPr>
          <w:rFonts w:hint="eastAsia"/>
          <w:color w:val="000000" w:themeColor="text1"/>
          <w14:textFill>
            <w14:solidFill>
              <w14:schemeClr w14:val="tx1"/>
            </w14:solidFill>
          </w14:textFill>
        </w:rPr>
        <w:t>近期实施重点与措施（</w:t>
      </w:r>
      <w:r>
        <w:rPr>
          <w:rFonts w:hint="eastAsia"/>
          <w:color w:val="000000" w:themeColor="text1"/>
          <w:lang w:eastAsia="zh-CN"/>
          <w14:textFill>
            <w14:solidFill>
              <w14:schemeClr w14:val="tx1"/>
            </w14:solidFill>
          </w14:textFill>
        </w:rPr>
        <w:t>20</w:t>
      </w:r>
      <w:r>
        <w:rPr>
          <w:color w:val="000000" w:themeColor="text1"/>
          <w:lang w:eastAsia="zh-CN"/>
          <w14:textFill>
            <w14:solidFill>
              <w14:schemeClr w14:val="tx1"/>
            </w14:solidFill>
          </w14:textFill>
        </w:rPr>
        <w:t>21</w:t>
      </w:r>
      <w:r>
        <w:rPr>
          <w:rFonts w:hint="eastAsia"/>
          <w:color w:val="000000" w:themeColor="text1"/>
          <w:lang w:eastAsia="zh-CN"/>
          <w14:textFill>
            <w14:solidFill>
              <w14:schemeClr w14:val="tx1"/>
            </w14:solidFill>
          </w14:textFill>
        </w:rPr>
        <w:t>年—202</w:t>
      </w:r>
      <w:r>
        <w:rPr>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年）</w:t>
      </w:r>
    </w:p>
    <w:p>
      <w:pPr>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（1）公布、实施《深圳大鹏所城文物保护规划（20</w:t>
      </w:r>
      <w:r>
        <w:rPr>
          <w:color w:val="000000" w:themeColor="text1"/>
          <w:lang w:val="zh-CN"/>
          <w14:textFill>
            <w14:solidFill>
              <w14:schemeClr w14:val="tx1"/>
            </w14:solidFill>
          </w14:textFill>
        </w:rPr>
        <w:t>21</w:t>
      </w:r>
      <w:r>
        <w:rPr>
          <w:rFonts w:hint="eastAsia"/>
          <w:color w:val="000000" w:themeColor="text1"/>
          <w:lang w:val="zh-CN"/>
          <w14:textFill>
            <w14:solidFill>
              <w14:schemeClr w14:val="tx1"/>
            </w14:solidFill>
          </w14:textFill>
        </w:rPr>
        <w:t>-2035）》</w:t>
      </w:r>
    </w:p>
    <w:p>
      <w:pPr>
        <w:ind w:firstLine="48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（2）保护与防护工程：</w:t>
      </w:r>
      <w:r>
        <w:rPr>
          <w:rFonts w:hint="eastAsia"/>
          <w:color w:val="000000" w:themeColor="text1"/>
          <w14:textFill>
            <w14:solidFill>
              <w14:schemeClr w14:val="tx1"/>
            </w14:solidFill>
          </w14:textFill>
        </w:rPr>
        <w:t>完成2</w:t>
      </w:r>
      <w:r>
        <w:rPr>
          <w:color w:val="000000" w:themeColor="text1"/>
          <w14:textFill>
            <w14:solidFill>
              <w14:schemeClr w14:val="tx1"/>
            </w14:solidFill>
          </w14:textFill>
        </w:rPr>
        <w:t>1处全国重点文物建筑</w:t>
      </w:r>
      <w:r>
        <w:rPr>
          <w:rFonts w:hint="eastAsia"/>
          <w:color w:val="000000" w:themeColor="text1"/>
          <w14:textFill>
            <w14:solidFill>
              <w14:schemeClr w14:val="tx1"/>
            </w14:solidFill>
          </w14:textFill>
        </w:rPr>
        <w:t>保养维护、修缮工程；完成城内未定级不可移动文物建筑、重点建筑遗址、古树、古井的保护工程；完善文物的安防、消防、防雷工程。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（3）环境整治：</w:t>
      </w:r>
      <w:r>
        <w:rPr>
          <w:color w:val="000000" w:themeColor="text1"/>
          <w14:textFill>
            <w14:solidFill>
              <w14:schemeClr w14:val="tx1"/>
            </w14:solidFill>
          </w14:textFill>
        </w:rPr>
        <w:t>完成大鹏所城城内范围的建筑的整治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基础设施的改造</w:t>
      </w:r>
      <w:r>
        <w:rPr>
          <w:rFonts w:hint="eastAsia"/>
          <w:color w:val="000000" w:themeColor="text1"/>
          <w14:textFill>
            <w14:solidFill>
              <w14:schemeClr w14:val="tx1"/>
            </w14:solidFill>
          </w14:textFill>
        </w:rPr>
        <w:t>、卫生环境的提升工作。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（4）管理工作：完善管理机构和四有档案，开展遗址信息库建设。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展示工程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完成大鹏所城城内范围的展示设施的建设</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（6）考古研究工作：完成建筑遗址的考古勘探，明确遗址的规模。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）启动</w:t>
      </w:r>
      <w:r>
        <w:rPr>
          <w:color w:val="000000" w:themeColor="text1"/>
          <w14:textFill>
            <w14:solidFill>
              <w14:schemeClr w14:val="tx1"/>
            </w14:solidFill>
          </w14:textFill>
        </w:rPr>
        <w:t>保护范围内占压城墙遗址及破坏所城格局建筑的拆迁</w:t>
      </w:r>
      <w:r>
        <w:rPr>
          <w:rFonts w:hint="eastAsia"/>
          <w:color w:val="000000" w:themeColor="text1"/>
          <w14:textFill>
            <w14:solidFill>
              <w14:schemeClr w14:val="tx1"/>
            </w14:solidFill>
          </w14:textFill>
        </w:rPr>
        <w:t>、安置工作。</w:t>
      </w:r>
    </w:p>
    <w:p>
      <w:pPr>
        <w:pStyle w:val="6"/>
        <w:rPr>
          <w:color w:val="000000" w:themeColor="text1"/>
          <w14:textFill>
            <w14:solidFill>
              <w14:schemeClr w14:val="tx1"/>
            </w14:solidFill>
          </w14:textFill>
        </w:rPr>
      </w:pPr>
      <w:r>
        <w:rPr>
          <w:rFonts w:hint="eastAsia"/>
          <w:color w:val="000000" w:themeColor="text1"/>
          <w14:textFill>
            <w14:solidFill>
              <w14:schemeClr w14:val="tx1"/>
            </w14:solidFill>
          </w14:textFill>
        </w:rPr>
        <w:t>中、远期实施重点与措施（2</w:t>
      </w:r>
      <w:r>
        <w:rPr>
          <w:color w:val="000000" w:themeColor="text1"/>
          <w14:textFill>
            <w14:solidFill>
              <w14:schemeClr w14:val="tx1"/>
            </w14:solidFill>
          </w14:textFill>
        </w:rPr>
        <w:t>026</w:t>
      </w:r>
      <w:r>
        <w:rPr>
          <w:rFonts w:hint="eastAsia"/>
          <w:color w:val="000000" w:themeColor="text1"/>
          <w14:textFill>
            <w14:solidFill>
              <w14:schemeClr w14:val="tx1"/>
            </w14:solidFill>
          </w14:textFill>
        </w:rPr>
        <w:t>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203</w:t>
      </w:r>
      <w:r>
        <w:rPr>
          <w:rFonts w:hint="eastAsia"/>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（1）保护工程：</w:t>
      </w:r>
      <w:r>
        <w:rPr>
          <w:color w:val="000000" w:themeColor="text1"/>
          <w14:textFill>
            <w14:solidFill>
              <w14:schemeClr w14:val="tx1"/>
            </w14:solidFill>
          </w14:textFill>
        </w:rPr>
        <w:t>完成占压城墙遗址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破坏所城格局建筑的拆迁</w:t>
      </w:r>
      <w:r>
        <w:rPr>
          <w:rFonts w:hint="eastAsia"/>
          <w:color w:val="000000" w:themeColor="text1"/>
          <w14:textFill>
            <w14:solidFill>
              <w14:schemeClr w14:val="tx1"/>
            </w14:solidFill>
          </w14:textFill>
        </w:rPr>
        <w:t>、安置工作；完成城外相关遗存的保护和修缮工程。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（2）环境整治：完成规划范围内其他建筑的拆迁安置、立面整治、基础设施的建设等工程。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（3）展示工程：完成整体展示系统的建设。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）管理工作：开展遗产的监测及专业人员的培训工作。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）考古与研究工作：明确大鹏所城城壕、城外海底小长城的走向和范围，明确大鹏所城的历史格局，深入开展大鹏所城的历史文化研究。</w:t>
      </w:r>
    </w:p>
    <w:p>
      <w:pPr>
        <w:pStyle w:val="4"/>
        <w:numPr>
          <w:ilvl w:val="0"/>
          <w:numId w:val="41"/>
        </w:numPr>
        <w:spacing w:before="163" w:after="163"/>
        <w:rPr>
          <w:color w:val="000000" w:themeColor="text1"/>
          <w14:textFill>
            <w14:solidFill>
              <w14:schemeClr w14:val="tx1"/>
            </w14:solidFill>
          </w14:textFill>
        </w:rPr>
      </w:pPr>
      <w:bookmarkStart w:id="315" w:name="_Toc373500852"/>
      <w:bookmarkStart w:id="316" w:name="_Toc75013394"/>
      <w:r>
        <w:rPr>
          <w:rFonts w:hint="eastAsia"/>
          <w:color w:val="000000" w:themeColor="text1"/>
          <w14:textFill>
            <w14:solidFill>
              <w14:schemeClr w14:val="tx1"/>
            </w14:solidFill>
          </w14:textFill>
        </w:rPr>
        <w:t>投资估算</w:t>
      </w:r>
      <w:bookmarkEnd w:id="315"/>
      <w:bookmarkEnd w:id="316"/>
    </w:p>
    <w:p>
      <w:pPr>
        <w:pStyle w:val="5"/>
        <w:rPr>
          <w:color w:val="000000" w:themeColor="text1"/>
          <w14:textFill>
            <w14:solidFill>
              <w14:schemeClr w14:val="tx1"/>
            </w14:solidFill>
          </w14:textFill>
        </w:rPr>
      </w:pPr>
      <w:bookmarkStart w:id="317" w:name="_Toc373500853"/>
      <w:bookmarkStart w:id="318" w:name="_Toc372275998"/>
      <w:bookmarkStart w:id="319" w:name="_Toc75013395"/>
      <w:r>
        <w:rPr>
          <w:rFonts w:hint="eastAsia"/>
          <w:color w:val="000000" w:themeColor="text1"/>
          <w14:textFill>
            <w14:solidFill>
              <w14:schemeClr w14:val="tx1"/>
            </w14:solidFill>
          </w14:textFill>
        </w:rPr>
        <w:t>估算说明</w:t>
      </w:r>
      <w:bookmarkEnd w:id="317"/>
      <w:bookmarkEnd w:id="318"/>
      <w:bookmarkEnd w:id="319"/>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大鹏所城文物保护规划估算以近期重点实施项目为主，其它阶段的规划有待专项详细规划阶段落实。</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考虑到各项目实际工程量在环境整治与文物建筑保护工程中不确定因素较多，规划估算所列项目工程量和估算单价包含管理、设计等计费，各项目的经费核算应以工程设计文件为准，按照法律程序报批通过后方可执行。</w:t>
      </w:r>
    </w:p>
    <w:p>
      <w:pPr>
        <w:pStyle w:val="5"/>
        <w:rPr>
          <w:color w:val="000000" w:themeColor="text1"/>
          <w14:textFill>
            <w14:solidFill>
              <w14:schemeClr w14:val="tx1"/>
            </w14:solidFill>
          </w14:textFill>
        </w:rPr>
      </w:pPr>
      <w:bookmarkStart w:id="320" w:name="_Toc75013396"/>
      <w:bookmarkStart w:id="321" w:name="_Toc362243225"/>
      <w:bookmarkStart w:id="322" w:name="_Toc373500854"/>
      <w:bookmarkStart w:id="323" w:name="_Toc372275999"/>
      <w:r>
        <w:rPr>
          <w:rFonts w:hint="eastAsia"/>
          <w:color w:val="000000" w:themeColor="text1"/>
          <w14:textFill>
            <w14:solidFill>
              <w14:schemeClr w14:val="tx1"/>
            </w14:solidFill>
          </w14:textFill>
        </w:rPr>
        <w:t>近期重点项目投资估算</w:t>
      </w:r>
      <w:bookmarkEnd w:id="320"/>
      <w:bookmarkEnd w:id="321"/>
      <w:bookmarkEnd w:id="322"/>
      <w:bookmarkEnd w:id="323"/>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将近期项目经费分作文物本体保护工程、防护工程、文物环境保护工程、环境整治工程、展示利用工程、管理工作、考古研究工作</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类进行估算，经费估算结果分别是：文物本体保护工程14</w:t>
      </w:r>
      <w:r>
        <w:rPr>
          <w:color w:val="000000" w:themeColor="text1"/>
          <w14:textFill>
            <w14:solidFill>
              <w14:schemeClr w14:val="tx1"/>
            </w14:solidFill>
          </w14:textFill>
        </w:rPr>
        <w:t>90.6</w:t>
      </w:r>
      <w:r>
        <w:rPr>
          <w:rFonts w:hint="eastAsia"/>
          <w:color w:val="000000" w:themeColor="text1"/>
          <w14:textFill>
            <w14:solidFill>
              <w14:schemeClr w14:val="tx1"/>
            </w14:solidFill>
          </w14:textFill>
        </w:rPr>
        <w:t>万元、防护工程</w:t>
      </w:r>
      <w:r>
        <w:rPr>
          <w:color w:val="000000" w:themeColor="text1"/>
          <w14:textFill>
            <w14:solidFill>
              <w14:schemeClr w14:val="tx1"/>
            </w14:solidFill>
          </w14:textFill>
        </w:rPr>
        <w:t>250</w:t>
      </w:r>
      <w:r>
        <w:rPr>
          <w:rFonts w:hint="eastAsia"/>
          <w:color w:val="000000" w:themeColor="text1"/>
          <w14:textFill>
            <w14:solidFill>
              <w14:schemeClr w14:val="tx1"/>
            </w14:solidFill>
          </w14:textFill>
        </w:rPr>
        <w:t>万元、文物环境保护工程1270万元、环境整治工程3</w:t>
      </w:r>
      <w:r>
        <w:rPr>
          <w:color w:val="000000" w:themeColor="text1"/>
          <w14:textFill>
            <w14:solidFill>
              <w14:schemeClr w14:val="tx1"/>
            </w14:solidFill>
          </w14:textFill>
        </w:rPr>
        <w:t>050</w:t>
      </w:r>
      <w:r>
        <w:rPr>
          <w:rFonts w:hint="eastAsia"/>
          <w:color w:val="000000" w:themeColor="text1"/>
          <w14:textFill>
            <w14:solidFill>
              <w14:schemeClr w14:val="tx1"/>
            </w14:solidFill>
          </w14:textFill>
        </w:rPr>
        <w:t>万元、展示利用工程2080万元、管理工作160万元、考古研究工作50万元，合计近期总经费估算为</w:t>
      </w:r>
      <w:r>
        <w:rPr>
          <w:color w:val="000000" w:themeColor="text1"/>
          <w14:textFill>
            <w14:solidFill>
              <w14:schemeClr w14:val="tx1"/>
            </w14:solidFill>
          </w14:textFill>
        </w:rPr>
        <w:t>7250</w:t>
      </w:r>
      <w:r>
        <w:rPr>
          <w:rFonts w:hint="eastAsia"/>
          <w:color w:val="000000" w:themeColor="text1"/>
          <w14:textFill>
            <w14:solidFill>
              <w14:schemeClr w14:val="tx1"/>
            </w14:solidFill>
          </w14:textFill>
        </w:rPr>
        <w:t>万元。（详见附表）</w:t>
      </w:r>
    </w:p>
    <w:p>
      <w:pPr>
        <w:pStyle w:val="3"/>
        <w:spacing w:before="163" w:after="163"/>
        <w:ind w:left="630" w:hanging="630"/>
        <w:rPr>
          <w:color w:val="000000" w:themeColor="text1"/>
          <w14:textFill>
            <w14:solidFill>
              <w14:schemeClr w14:val="tx1"/>
            </w14:solidFill>
          </w14:textFill>
        </w:rPr>
      </w:pPr>
      <w:bookmarkStart w:id="324" w:name="_Toc75013397"/>
      <w:bookmarkStart w:id="325" w:name="_Toc373500855"/>
      <w:r>
        <w:rPr>
          <w:rFonts w:hint="eastAsia"/>
          <w:color w:val="000000" w:themeColor="text1"/>
          <w14:textFill>
            <w14:solidFill>
              <w14:schemeClr w14:val="tx1"/>
            </w14:solidFill>
          </w14:textFill>
        </w:rPr>
        <w:t>规划实施保障</w:t>
      </w:r>
      <w:bookmarkEnd w:id="324"/>
      <w:bookmarkEnd w:id="325"/>
    </w:p>
    <w:p>
      <w:pPr>
        <w:pStyle w:val="5"/>
        <w:rPr>
          <w:color w:val="000000" w:themeColor="text1"/>
          <w14:textFill>
            <w14:solidFill>
              <w14:schemeClr w14:val="tx1"/>
            </w14:solidFill>
          </w14:textFill>
        </w:rPr>
      </w:pPr>
      <w:bookmarkStart w:id="326" w:name="_Toc75013398"/>
      <w:bookmarkStart w:id="327" w:name="_Toc373500856"/>
      <w:r>
        <w:rPr>
          <w:rFonts w:hint="eastAsia"/>
          <w:color w:val="000000" w:themeColor="text1"/>
          <w14:textFill>
            <w14:solidFill>
              <w14:schemeClr w14:val="tx1"/>
            </w14:solidFill>
          </w14:textFill>
        </w:rPr>
        <w:t>经费来源</w:t>
      </w:r>
      <w:bookmarkEnd w:id="326"/>
      <w:bookmarkEnd w:id="327"/>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根据《中华人民共和国文物保护法》第十条要求，国家发展文物保护事业，县级以上人民政府应当将文物保护事业纳入本级国民经济和社会发展规划，所需经费列入本级财政预算。</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大鹏所城保护管理机构应当多渠道筹集资金，采取措施鼓励个人、企业和社会团体对大鹏所城保护的捐赠，设立大鹏所城保护专项资金。专项资金应专款专用于大鹏所城的保护，并接受财政、审计部门的监督。</w:t>
      </w:r>
    </w:p>
    <w:p>
      <w:pPr>
        <w:pStyle w:val="5"/>
        <w:rPr>
          <w:color w:val="000000" w:themeColor="text1"/>
          <w14:textFill>
            <w14:solidFill>
              <w14:schemeClr w14:val="tx1"/>
            </w14:solidFill>
          </w14:textFill>
        </w:rPr>
      </w:pPr>
      <w:bookmarkStart w:id="328" w:name="_Toc75013399"/>
      <w:bookmarkStart w:id="329" w:name="_Toc373500857"/>
      <w:r>
        <w:rPr>
          <w:rFonts w:hint="eastAsia"/>
          <w:color w:val="000000" w:themeColor="text1"/>
          <w14:textFill>
            <w14:solidFill>
              <w14:schemeClr w14:val="tx1"/>
            </w14:solidFill>
          </w14:textFill>
        </w:rPr>
        <w:t>相关规划衔接与要求</w:t>
      </w:r>
      <w:bookmarkEnd w:id="328"/>
      <w:bookmarkEnd w:id="329"/>
    </w:p>
    <w:p>
      <w:pPr>
        <w:spacing w:line="44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本规划的保护区划的边界、管理规定和主要保护措施应纳入《深圳市城市总体规划》及相关规划中。</w:t>
      </w:r>
    </w:p>
    <w:p>
      <w:pPr>
        <w:spacing w:line="44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各类相关规划措施应以符合遗址保护要求为前提。</w:t>
      </w:r>
    </w:p>
    <w:p>
      <w:pPr>
        <w:pStyle w:val="3"/>
        <w:spacing w:before="163" w:after="163"/>
        <w:ind w:left="630" w:hanging="630"/>
        <w:rPr>
          <w:color w:val="000000" w:themeColor="text1"/>
          <w14:textFill>
            <w14:solidFill>
              <w14:schemeClr w14:val="tx1"/>
            </w14:solidFill>
          </w14:textFill>
        </w:rPr>
      </w:pPr>
      <w:bookmarkStart w:id="330" w:name="_Toc373500858"/>
      <w:bookmarkStart w:id="331" w:name="_Toc75013400"/>
      <w:r>
        <w:rPr>
          <w:rFonts w:hint="eastAsia"/>
          <w:color w:val="000000" w:themeColor="text1"/>
          <w14:textFill>
            <w14:solidFill>
              <w14:schemeClr w14:val="tx1"/>
            </w14:solidFill>
          </w14:textFill>
        </w:rPr>
        <w:t>附则</w:t>
      </w:r>
      <w:bookmarkEnd w:id="330"/>
      <w:bookmarkEnd w:id="331"/>
    </w:p>
    <w:p>
      <w:pPr>
        <w:pStyle w:val="5"/>
        <w:rPr>
          <w:color w:val="000000" w:themeColor="text1"/>
          <w14:textFill>
            <w14:solidFill>
              <w14:schemeClr w14:val="tx1"/>
            </w14:solidFill>
          </w14:textFill>
        </w:rPr>
      </w:pPr>
      <w:bookmarkStart w:id="332" w:name="_Toc75013401"/>
      <w:bookmarkStart w:id="333" w:name="_Toc373500859"/>
      <w:r>
        <w:rPr>
          <w:rFonts w:hint="eastAsia"/>
          <w:color w:val="000000" w:themeColor="text1"/>
          <w14:textFill>
            <w14:solidFill>
              <w14:schemeClr w14:val="tx1"/>
            </w14:solidFill>
          </w14:textFill>
        </w:rPr>
        <w:t>规划成果</w:t>
      </w:r>
      <w:bookmarkEnd w:id="332"/>
      <w:bookmarkEnd w:id="333"/>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本规划由规划文本、规划图纸、规划说明、基础资料汇编4部分组成，其中规划文本与规划图纸具有同等的规范性指导意义。</w:t>
      </w:r>
    </w:p>
    <w:p>
      <w:pPr>
        <w:pStyle w:val="5"/>
        <w:rPr>
          <w:color w:val="000000" w:themeColor="text1"/>
          <w14:textFill>
            <w14:solidFill>
              <w14:schemeClr w14:val="tx1"/>
            </w14:solidFill>
          </w14:textFill>
        </w:rPr>
      </w:pPr>
      <w:bookmarkStart w:id="334" w:name="_Toc372276005"/>
      <w:bookmarkStart w:id="335" w:name="_Toc75013402"/>
      <w:bookmarkStart w:id="336" w:name="_Toc373500860"/>
      <w:r>
        <w:rPr>
          <w:rFonts w:hint="eastAsia"/>
          <w:color w:val="000000" w:themeColor="text1"/>
          <w14:textFill>
            <w14:solidFill>
              <w14:schemeClr w14:val="tx1"/>
            </w14:solidFill>
          </w14:textFill>
        </w:rPr>
        <w:t>实施程序</w:t>
      </w:r>
      <w:bookmarkEnd w:id="334"/>
      <w:bookmarkEnd w:id="335"/>
      <w:bookmarkEnd w:id="336"/>
    </w:p>
    <w:p>
      <w:pPr>
        <w:ind w:firstLine="560"/>
        <w:rPr>
          <w:color w:val="000000" w:themeColor="text1"/>
          <w14:textFill>
            <w14:solidFill>
              <w14:schemeClr w14:val="tx1"/>
            </w14:solidFill>
          </w14:textFill>
        </w:rPr>
      </w:pPr>
      <w:bookmarkStart w:id="337" w:name="_Toc372276006"/>
      <w:r>
        <w:rPr>
          <w:rFonts w:hint="eastAsia"/>
          <w:color w:val="000000" w:themeColor="text1"/>
          <w14:textFill>
            <w14:solidFill>
              <w14:schemeClr w14:val="tx1"/>
            </w14:solidFill>
          </w14:textFill>
        </w:rPr>
        <w:t>本规划编制完成后，由省文物部门会同相关部门组织评审，经国家文物局同意，由广东省人民政府批准公布。</w:t>
      </w:r>
    </w:p>
    <w:p>
      <w:pPr>
        <w:pStyle w:val="5"/>
        <w:rPr>
          <w:color w:val="000000" w:themeColor="text1"/>
          <w14:textFill>
            <w14:solidFill>
              <w14:schemeClr w14:val="tx1"/>
            </w14:solidFill>
          </w14:textFill>
        </w:rPr>
      </w:pPr>
      <w:bookmarkStart w:id="338" w:name="_Toc75013403"/>
      <w:bookmarkStart w:id="339" w:name="_Toc373500861"/>
      <w:r>
        <w:rPr>
          <w:rFonts w:hint="eastAsia"/>
          <w:color w:val="000000" w:themeColor="text1"/>
          <w14:textFill>
            <w14:solidFill>
              <w14:schemeClr w14:val="tx1"/>
            </w14:solidFill>
          </w14:textFill>
        </w:rPr>
        <w:t>规划解释</w:t>
      </w:r>
      <w:bookmarkEnd w:id="337"/>
      <w:bookmarkEnd w:id="338"/>
      <w:bookmarkEnd w:id="339"/>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本规划由国家文物局负责解释。</w:t>
      </w:r>
    </w:p>
    <w:p>
      <w:pPr>
        <w:pStyle w:val="5"/>
        <w:rPr>
          <w:color w:val="000000" w:themeColor="text1"/>
          <w14:textFill>
            <w14:solidFill>
              <w14:schemeClr w14:val="tx1"/>
            </w14:solidFill>
          </w14:textFill>
        </w:rPr>
      </w:pPr>
      <w:bookmarkStart w:id="340" w:name="_Toc373500862"/>
      <w:bookmarkStart w:id="341" w:name="_Toc372276007"/>
      <w:bookmarkStart w:id="342" w:name="_Toc75013404"/>
      <w:r>
        <w:rPr>
          <w:rFonts w:hint="eastAsia"/>
          <w:color w:val="000000" w:themeColor="text1"/>
          <w14:textFill>
            <w14:solidFill>
              <w14:schemeClr w14:val="tx1"/>
            </w14:solidFill>
          </w14:textFill>
        </w:rPr>
        <w:t>修改程序</w:t>
      </w:r>
      <w:bookmarkEnd w:id="340"/>
      <w:bookmarkEnd w:id="341"/>
      <w:bookmarkEnd w:id="342"/>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本规划的调整或修改，应按照《全国重点文物保护单位保护规划编制审批办法》的规定，履行相关报批程序。</w:t>
      </w:r>
    </w:p>
    <w:p>
      <w:pPr>
        <w:pStyle w:val="5"/>
        <w:rPr>
          <w:color w:val="000000" w:themeColor="text1"/>
          <w14:textFill>
            <w14:solidFill>
              <w14:schemeClr w14:val="tx1"/>
            </w14:solidFill>
          </w14:textFill>
        </w:rPr>
      </w:pPr>
      <w:bookmarkStart w:id="343" w:name="_Toc373500863"/>
      <w:bookmarkStart w:id="344" w:name="_Toc75013405"/>
      <w:r>
        <w:rPr>
          <w:rFonts w:hint="eastAsia"/>
          <w:color w:val="000000" w:themeColor="text1"/>
          <w14:textFill>
            <w14:solidFill>
              <w14:schemeClr w14:val="tx1"/>
            </w14:solidFill>
          </w14:textFill>
        </w:rPr>
        <w:t>实施时间</w:t>
      </w:r>
      <w:bookmarkEnd w:id="343"/>
      <w:bookmarkEnd w:id="344"/>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本规划自广东省人民政府公布之日起执行。</w:t>
      </w:r>
    </w:p>
    <w:p>
      <w:pPr>
        <w:ind w:firstLine="480" w:firstLineChars="200"/>
        <w:rPr>
          <w:color w:val="000000" w:themeColor="text1"/>
          <w14:textFill>
            <w14:solidFill>
              <w14:schemeClr w14:val="tx1"/>
            </w14:solidFill>
          </w14:textFill>
        </w:rPr>
        <w:sectPr>
          <w:footerReference r:id="rId8" w:type="default"/>
          <w:footerReference r:id="rId9" w:type="even"/>
          <w:pgSz w:w="23814" w:h="16839" w:orient="landscape"/>
          <w:pgMar w:top="1800" w:right="1440" w:bottom="1800" w:left="1440" w:header="851" w:footer="992" w:gutter="0"/>
          <w:pgNumType w:start="1"/>
          <w:cols w:space="720" w:num="2"/>
          <w:docGrid w:type="lines" w:linePitch="326" w:charSpace="0"/>
        </w:sectPr>
      </w:pPr>
    </w:p>
    <w:p>
      <w:pPr>
        <w:pStyle w:val="3"/>
        <w:numPr>
          <w:ilvl w:val="0"/>
          <w:numId w:val="0"/>
        </w:numPr>
        <w:spacing w:before="0" w:beforeLines="0" w:after="0" w:afterLines="0" w:line="240" w:lineRule="auto"/>
        <w:ind w:left="629"/>
        <w:jc w:val="both"/>
        <w:rPr>
          <w:color w:val="000000" w:themeColor="text1"/>
          <w:sz w:val="32"/>
          <w14:textFill>
            <w14:solidFill>
              <w14:schemeClr w14:val="tx1"/>
            </w14:solidFill>
          </w14:textFill>
        </w:rPr>
      </w:pPr>
      <w:bookmarkStart w:id="345" w:name="_Toc75013406"/>
      <w:r>
        <w:rPr>
          <w:rFonts w:hint="eastAsia"/>
          <w:color w:val="000000" w:themeColor="text1"/>
          <w:sz w:val="32"/>
          <w14:textFill>
            <w14:solidFill>
              <w14:schemeClr w14:val="tx1"/>
            </w14:solidFill>
          </w14:textFill>
        </w:rPr>
        <w:t>附件：大鹏所城近期项目经费估算表</w:t>
      </w:r>
      <w:bookmarkEnd w:id="345"/>
    </w:p>
    <w:tbl>
      <w:tblPr>
        <w:tblStyle w:val="88"/>
        <w:tblW w:w="102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779"/>
        <w:gridCol w:w="850"/>
        <w:gridCol w:w="2835"/>
        <w:gridCol w:w="1311"/>
        <w:gridCol w:w="853"/>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right"/>
        </w:trPr>
        <w:tc>
          <w:tcPr>
            <w:tcW w:w="1477" w:type="dxa"/>
            <w:shd w:val="clear" w:color="auto" w:fill="D9D9D9"/>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项目性质</w:t>
            </w:r>
          </w:p>
        </w:tc>
        <w:tc>
          <w:tcPr>
            <w:tcW w:w="1779" w:type="dxa"/>
            <w:shd w:val="clear" w:color="auto" w:fill="D9D9D9"/>
            <w:tcMar>
              <w:left w:w="0" w:type="dxa"/>
              <w:right w:w="0" w:type="dxa"/>
            </w:tcMar>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项目类型</w:t>
            </w:r>
          </w:p>
        </w:tc>
        <w:tc>
          <w:tcPr>
            <w:tcW w:w="850" w:type="dxa"/>
            <w:shd w:val="clear" w:color="auto" w:fill="D9D9D9"/>
            <w:tcMar>
              <w:left w:w="0" w:type="dxa"/>
              <w:right w:w="0" w:type="dxa"/>
            </w:tcMar>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2835" w:type="dxa"/>
            <w:shd w:val="clear" w:color="auto" w:fill="D9D9D9"/>
            <w:tcMar>
              <w:left w:w="0" w:type="dxa"/>
              <w:right w:w="0" w:type="dxa"/>
            </w:tcMar>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项目名称</w:t>
            </w:r>
          </w:p>
        </w:tc>
        <w:tc>
          <w:tcPr>
            <w:tcW w:w="1311" w:type="dxa"/>
            <w:shd w:val="clear" w:color="auto" w:fill="D9D9D9"/>
            <w:tcMar>
              <w:left w:w="0" w:type="dxa"/>
              <w:right w:w="0" w:type="dxa"/>
            </w:tcMar>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工程量</w:t>
            </w:r>
          </w:p>
        </w:tc>
        <w:tc>
          <w:tcPr>
            <w:tcW w:w="853" w:type="dxa"/>
            <w:shd w:val="clear" w:color="auto" w:fill="D9D9D9"/>
            <w:tcMar>
              <w:left w:w="0" w:type="dxa"/>
              <w:right w:w="0" w:type="dxa"/>
            </w:tcMar>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单价（元）</w:t>
            </w:r>
          </w:p>
        </w:tc>
        <w:tc>
          <w:tcPr>
            <w:tcW w:w="1095" w:type="dxa"/>
            <w:shd w:val="clear" w:color="auto" w:fill="D9D9D9"/>
            <w:tcMar>
              <w:left w:w="0" w:type="dxa"/>
              <w:right w:w="0" w:type="dxa"/>
            </w:tcMar>
            <w:vAlign w:val="center"/>
          </w:tcPr>
          <w:p>
            <w:pPr>
              <w:spacing w:line="276"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合计（万）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477" w:type="dxa"/>
            <w:vMerge w:val="restart"/>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文物本体保护工程</w:t>
            </w:r>
          </w:p>
        </w:tc>
        <w:tc>
          <w:tcPr>
            <w:tcW w:w="1779" w:type="dxa"/>
            <w:vMerge w:val="restart"/>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全国重点文物建筑保护工程</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01</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保养维护工程</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6780㎡</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r>
              <w:rPr>
                <w:rFonts w:ascii="宋体" w:hAnsi="宋体" w:eastAsia="宋体" w:cs="宋体"/>
                <w:color w:val="000000" w:themeColor="text1"/>
                <w14:textFill>
                  <w14:solidFill>
                    <w14:schemeClr w14:val="tx1"/>
                  </w14:solidFill>
                </w14:textFill>
              </w:rPr>
              <w:t>2</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修缮工程</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1276㎡</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r>
              <w:rPr>
                <w:rFonts w:ascii="宋体" w:hAnsi="宋体" w:eastAsia="宋体" w:cs="宋体"/>
                <w:color w:val="000000" w:themeColor="text1"/>
                <w14:textFill>
                  <w14:solidFill>
                    <w14:schemeClr w14:val="tx1"/>
                  </w14:solidFill>
                </w14:textFill>
              </w:rPr>
              <w:t>3</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监测工程</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8596㎡</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小计</w:t>
            </w:r>
          </w:p>
        </w:tc>
        <w:tc>
          <w:tcPr>
            <w:tcW w:w="7628" w:type="dxa"/>
            <w:gridSpan w:val="5"/>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Merge w:val="restart"/>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防护工程</w:t>
            </w:r>
          </w:p>
        </w:tc>
        <w:tc>
          <w:tcPr>
            <w:tcW w:w="1779" w:type="dxa"/>
            <w:vMerge w:val="restart"/>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防护工程</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r>
              <w:rPr>
                <w:rFonts w:ascii="宋体" w:hAnsi="宋体" w:eastAsia="宋体" w:cs="宋体"/>
                <w:color w:val="000000" w:themeColor="text1"/>
                <w14:textFill>
                  <w14:solidFill>
                    <w14:schemeClr w14:val="tx1"/>
                  </w14:solidFill>
                </w14:textFill>
              </w:rPr>
              <w:t>5</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安防、消防系统升级</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20</w:t>
            </w:r>
            <w:r>
              <w:rPr>
                <w:rFonts w:hint="eastAsia" w:ascii="宋体" w:hAnsi="宋体" w:eastAsia="宋体" w:cs="宋体"/>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06</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防雷系统建设</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小计</w:t>
            </w:r>
          </w:p>
        </w:tc>
        <w:tc>
          <w:tcPr>
            <w:tcW w:w="7628" w:type="dxa"/>
            <w:gridSpan w:val="5"/>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Merge w:val="restart"/>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文物环境的保护工程</w:t>
            </w:r>
          </w:p>
        </w:tc>
        <w:tc>
          <w:tcPr>
            <w:tcW w:w="1779" w:type="dxa"/>
            <w:vMerge w:val="restart"/>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未定级不可移动文物建筑</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07</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保养维护工程</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6400㎡</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95" w:type="dxa"/>
            <w:vMerge w:val="restart"/>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08</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监测工程</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6400</w:t>
            </w:r>
            <w:r>
              <w:rPr>
                <w:rFonts w:hint="eastAsia"/>
                <w:color w:val="000000" w:themeColor="text1"/>
                <w:sz w:val="21"/>
                <w:szCs w:val="2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95"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建筑遗址</w:t>
            </w:r>
          </w:p>
        </w:tc>
        <w:tc>
          <w:tcPr>
            <w:tcW w:w="850"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09</w:t>
            </w:r>
          </w:p>
        </w:tc>
        <w:tc>
          <w:tcPr>
            <w:tcW w:w="2835"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保护工程</w:t>
            </w:r>
          </w:p>
        </w:tc>
        <w:tc>
          <w:tcPr>
            <w:tcW w:w="1311"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古树、古井</w:t>
            </w:r>
          </w:p>
        </w:tc>
        <w:tc>
          <w:tcPr>
            <w:tcW w:w="850"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10</w:t>
            </w:r>
          </w:p>
        </w:tc>
        <w:tc>
          <w:tcPr>
            <w:tcW w:w="2835"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保护名录建设、挂牌</w:t>
            </w:r>
          </w:p>
        </w:tc>
        <w:tc>
          <w:tcPr>
            <w:tcW w:w="1311"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095"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小计</w:t>
            </w:r>
          </w:p>
        </w:tc>
        <w:tc>
          <w:tcPr>
            <w:tcW w:w="7628" w:type="dxa"/>
            <w:gridSpan w:val="5"/>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095"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restart"/>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环境整治工程</w:t>
            </w:r>
          </w:p>
        </w:tc>
        <w:tc>
          <w:tcPr>
            <w:tcW w:w="1779" w:type="dxa"/>
            <w:vMerge w:val="restart"/>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建筑整治</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11</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保留建筑（局部改善）</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万㎡</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00</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12</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建筑整治改造</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5000</w:t>
            </w:r>
            <w:r>
              <w:rPr>
                <w:rFonts w:hint="eastAsia"/>
                <w:color w:val="000000" w:themeColor="text1"/>
                <w:sz w:val="21"/>
                <w:szCs w:val="2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13</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更新建筑</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2000</w:t>
            </w:r>
            <w:r>
              <w:rPr>
                <w:rFonts w:hint="eastAsia"/>
                <w:color w:val="000000" w:themeColor="text1"/>
                <w:sz w:val="21"/>
                <w:szCs w:val="2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4000</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基础设施</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16</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给排水、电力、电信等改造</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卫生环境</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17</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垃圾桶</w:t>
            </w:r>
            <w:r>
              <w:rPr>
                <w:rFonts w:hint="eastAsia" w:ascii="宋体" w:hAnsi="宋体" w:eastAsia="宋体" w:cs="宋体"/>
                <w:color w:val="000000" w:themeColor="text1"/>
                <w14:textFill>
                  <w14:solidFill>
                    <w14:schemeClr w14:val="tx1"/>
                  </w14:solidFill>
                </w14:textFill>
              </w:rPr>
              <w:t>、卫生间</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小计</w:t>
            </w:r>
          </w:p>
        </w:tc>
        <w:tc>
          <w:tcPr>
            <w:tcW w:w="7628" w:type="dxa"/>
            <w:gridSpan w:val="5"/>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restart"/>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展示利用工程</w:t>
            </w: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项目筹备</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18</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展示设施的提升</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restart"/>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宣传策划</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19</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宣传出版</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vMerge w:val="continue"/>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20</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项目策划</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小计</w:t>
            </w:r>
          </w:p>
        </w:tc>
        <w:tc>
          <w:tcPr>
            <w:tcW w:w="7628" w:type="dxa"/>
            <w:gridSpan w:val="5"/>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restart"/>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管理工作</w:t>
            </w: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信息库建设</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21</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网络建设</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档案建设</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四有档案</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Merge w:val="continue"/>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标志牌</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标志牌</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小计</w:t>
            </w:r>
          </w:p>
        </w:tc>
        <w:tc>
          <w:tcPr>
            <w:tcW w:w="7628" w:type="dxa"/>
            <w:gridSpan w:val="5"/>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77" w:type="dxa"/>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考古研究工作</w:t>
            </w:r>
          </w:p>
        </w:tc>
        <w:tc>
          <w:tcPr>
            <w:tcW w:w="1779"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考古勘探</w:t>
            </w:r>
          </w:p>
        </w:tc>
        <w:tc>
          <w:tcPr>
            <w:tcW w:w="850"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283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建筑遗址的考古勘探</w:t>
            </w:r>
          </w:p>
        </w:tc>
        <w:tc>
          <w:tcPr>
            <w:tcW w:w="1311"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53"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105" w:type="dxa"/>
            <w:gridSpan w:val="6"/>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总计</w:t>
            </w:r>
          </w:p>
        </w:tc>
        <w:tc>
          <w:tcPr>
            <w:tcW w:w="1095" w:type="dxa"/>
            <w:tcMar>
              <w:left w:w="0" w:type="dxa"/>
              <w:right w:w="0" w:type="dxa"/>
            </w:tcMar>
            <w:vAlign w:val="center"/>
          </w:tcPr>
          <w:p>
            <w:pPr>
              <w:spacing w:line="276"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7250</w:t>
            </w:r>
          </w:p>
        </w:tc>
      </w:tr>
    </w:tbl>
    <w:p>
      <w:pPr>
        <w:rPr>
          <w:color w:val="000000" w:themeColor="text1"/>
          <w14:textFill>
            <w14:solidFill>
              <w14:schemeClr w14:val="tx1"/>
            </w14:solidFill>
          </w14:textFill>
        </w:rPr>
      </w:pPr>
    </w:p>
    <w:sectPr>
      <w:pgSz w:w="23814" w:h="16839" w:orient="landscape"/>
      <w:pgMar w:top="1800" w:right="1440" w:bottom="1800" w:left="1440" w:header="851" w:footer="992" w:gutter="0"/>
      <w:cols w:space="720" w:num="2"/>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Arial-Black">
    <w:altName w:val="Times New Roman"/>
    <w:panose1 w:val="00000000000000000000"/>
    <w:charset w:val="00"/>
    <w:family w:val="swiss"/>
    <w:pitch w:val="default"/>
    <w:sig w:usb0="00000000" w:usb1="00000000" w:usb2="00000000" w:usb3="00000000" w:csb0="00000001" w:csb1="00000000"/>
  </w:font>
  <w:font w:name="华文细黑籴.">
    <w:altName w:val="黑体"/>
    <w:panose1 w:val="00000000000000000000"/>
    <w:charset w:val="86"/>
    <w:family w:val="swiss"/>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ZWAdobeF">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480"/>
      <w:jc w:val="center"/>
      <w:rPr>
        <w:lang w:val="zh-CN" w:eastAsia="zh-CN"/>
      </w:rPr>
    </w:pPr>
    <w:r>
      <w:fldChar w:fldCharType="begin"/>
    </w:r>
    <w:r>
      <w:instrText xml:space="preserve"> PAGE   \* MERGEFORMAT </w:instrText>
    </w:r>
    <w:r>
      <w:fldChar w:fldCharType="separate"/>
    </w:r>
    <w:r>
      <w:rPr>
        <w:lang w:val="zh-CN"/>
      </w:rPr>
      <w:t>I</w:t>
    </w:r>
    <w:r>
      <w:rPr>
        <w:lang w:val="zh-CN"/>
      </w:rPr>
      <w:fldChar w:fldCharType="end"/>
    </w:r>
  </w:p>
  <w:p>
    <w:pPr>
      <w:pStyle w:val="55"/>
      <w:ind w:left="480"/>
      <w:rPr>
        <w:lang w:eastAsia="zh-CN"/>
      </w:rPr>
    </w:pPr>
    <w:r>
      <w:rPr>
        <w:rFonts w:hint="eastAsia"/>
        <w:lang w:val="zh-CN" w:eastAsia="zh-CN"/>
      </w:rPr>
      <w:t xml:space="preserve">北京清华同衡规划设计研究院有限公司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ind w:left="480"/>
      <w:rPr>
        <w:rStyle w:val="96"/>
      </w:rPr>
    </w:pPr>
    <w:r>
      <w:rPr>
        <w:rStyle w:val="96"/>
      </w:rPr>
      <w:fldChar w:fldCharType="begin"/>
    </w:r>
    <w:r>
      <w:rPr>
        <w:rStyle w:val="96"/>
      </w:rPr>
      <w:instrText xml:space="preserve">PAGE  </w:instrText>
    </w:r>
    <w:r>
      <w:rPr>
        <w:rStyle w:val="96"/>
      </w:rPr>
      <w:fldChar w:fldCharType="separate"/>
    </w:r>
    <w:r>
      <w:rPr>
        <w:rStyle w:val="96"/>
      </w:rPr>
      <w:t>CXXXV</w:t>
    </w:r>
    <w:r>
      <w:rPr>
        <w:rStyle w:val="96"/>
      </w:rPr>
      <w:fldChar w:fldCharType="end"/>
    </w:r>
  </w:p>
  <w:p>
    <w:pPr>
      <w:pStyle w:val="55"/>
      <w:ind w:left="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lang w:val="zh-CN" w:eastAsia="zh-CN"/>
      </w:rPr>
    </w:pPr>
    <w:r>
      <w:fldChar w:fldCharType="begin"/>
    </w:r>
    <w:r>
      <w:instrText xml:space="preserve"> PAGE   \* MERGEFORMAT </w:instrText>
    </w:r>
    <w:r>
      <w:fldChar w:fldCharType="separate"/>
    </w:r>
    <w:r>
      <w:rPr>
        <w:lang w:val="zh-CN"/>
      </w:rPr>
      <w:t>18</w:t>
    </w:r>
    <w:r>
      <w:rPr>
        <w:lang w:val="zh-CN"/>
      </w:rPr>
      <w:fldChar w:fldCharType="end"/>
    </w:r>
  </w:p>
  <w:p>
    <w:pPr>
      <w:pStyle w:val="55"/>
      <w:rPr>
        <w:lang w:eastAsia="zh-CN"/>
      </w:rPr>
    </w:pPr>
    <w:r>
      <w:rPr>
        <w:rFonts w:hint="eastAsia"/>
        <w:lang w:val="zh-CN" w:eastAsia="zh-CN"/>
      </w:rPr>
      <w:t>北京清华同衡规划设计研究院有限公司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6"/>
      </w:rPr>
    </w:pPr>
    <w:r>
      <w:rPr>
        <w:rStyle w:val="96"/>
      </w:rPr>
      <w:fldChar w:fldCharType="begin"/>
    </w:r>
    <w:r>
      <w:rPr>
        <w:rStyle w:val="96"/>
      </w:rPr>
      <w:instrText xml:space="preserve">PAGE  </w:instrText>
    </w:r>
    <w:r>
      <w:rPr>
        <w:rStyle w:val="96"/>
      </w:rPr>
      <w:fldChar w:fldCharType="separate"/>
    </w:r>
    <w:r>
      <w:rPr>
        <w:rStyle w:val="96"/>
      </w:rPr>
      <w:t>CXXXV</w:t>
    </w:r>
    <w:r>
      <w:rPr>
        <w:rStyle w:val="96"/>
      </w:rPr>
      <w:fldChar w:fldCharType="end"/>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pPr>
      <w:r>
        <w:separator/>
      </w:r>
    </w:p>
  </w:footnote>
  <w:footnote w:type="continuationSeparator" w:id="3">
    <w:p>
      <w:pPr>
        <w:spacing w:line="360" w:lineRule="auto"/>
      </w:pPr>
      <w:r>
        <w:continuationSeparator/>
      </w:r>
    </w:p>
  </w:footnote>
  <w:footnote w:id="0">
    <w:p>
      <w:pPr>
        <w:pStyle w:val="67"/>
        <w:rPr>
          <w:lang w:eastAsia="zh-CN"/>
        </w:rPr>
      </w:pPr>
      <w:r>
        <w:rPr>
          <w:rStyle w:val="100"/>
        </w:rPr>
        <w:footnoteRef/>
      </w:r>
      <w:r>
        <w:t xml:space="preserve"> </w:t>
      </w:r>
      <w:r>
        <w:rPr>
          <w:rFonts w:hint="eastAsia"/>
          <w:lang w:eastAsia="zh-CN"/>
        </w:rPr>
        <w:t>目前未收集到此阶段相应考古资料。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right"/>
    </w:pPr>
    <w:r>
      <w:rPr>
        <w:rFonts w:hint="eastAsia"/>
        <w:lang w:eastAsia="zh-CN"/>
      </w:rPr>
      <w:t>全国重点文物保护单位——</w:t>
    </w:r>
    <w:r>
      <w:rPr>
        <w:rFonts w:hint="eastAsia"/>
      </w:rPr>
      <w:t>深圳大鹏所城</w:t>
    </w:r>
    <w:r>
      <w:rPr>
        <w:rFonts w:hint="eastAsia"/>
        <w:lang w:eastAsia="zh-CN"/>
      </w:rPr>
      <w:t>文物</w:t>
    </w:r>
    <w:r>
      <w:rPr>
        <w:rFonts w:hint="eastAsia"/>
      </w:rPr>
      <w:t>保护规划（</w:t>
    </w:r>
    <w:r>
      <w:rPr>
        <w:rFonts w:hint="eastAsia"/>
        <w:lang w:eastAsia="zh-CN"/>
      </w:rPr>
      <w:t>20</w:t>
    </w:r>
    <w:r>
      <w:rPr>
        <w:lang w:eastAsia="zh-CN"/>
      </w:rPr>
      <w:t>21</w:t>
    </w:r>
    <w:r>
      <w:rPr>
        <w:rFonts w:hint="eastAsia"/>
        <w:lang w:eastAsia="zh-CN"/>
      </w:rPr>
      <w:t>-2035</w:t>
    </w:r>
    <w:r>
      <w:rPr>
        <w:rFonts w:hint="eastAsia"/>
      </w:rPr>
      <w:t>）·规划文本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00000016"/>
    <w:multiLevelType w:val="multilevel"/>
    <w:tmpl w:val="0000001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1111EED"/>
    <w:multiLevelType w:val="multilevel"/>
    <w:tmpl w:val="01111EED"/>
    <w:lvl w:ilvl="0" w:tentative="0">
      <w:start w:val="1"/>
      <w:numFmt w:val="decimal"/>
      <w:lvlText w:val="（%1）"/>
      <w:lvlJc w:val="left"/>
      <w:pPr>
        <w:ind w:left="1620" w:hanging="72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3">
    <w:nsid w:val="02C27ABA"/>
    <w:multiLevelType w:val="multilevel"/>
    <w:tmpl w:val="02C27ABA"/>
    <w:lvl w:ilvl="0" w:tentative="0">
      <w:start w:val="1"/>
      <w:numFmt w:val="decimal"/>
      <w:lvlText w:val="（%1）"/>
      <w:lvlJc w:val="left"/>
      <w:pPr>
        <w:ind w:left="902" w:hanging="420"/>
      </w:pPr>
      <w:rPr>
        <w:rFonts w:hint="eastAsia"/>
      </w:rPr>
    </w:lvl>
    <w:lvl w:ilvl="1" w:tentative="0">
      <w:start w:val="1"/>
      <w:numFmt w:val="decimalEnclosedCircle"/>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0A575A98"/>
    <w:multiLevelType w:val="multilevel"/>
    <w:tmpl w:val="0A575A98"/>
    <w:lvl w:ilvl="0" w:tentative="0">
      <w:start w:val="1"/>
      <w:numFmt w:val="decimal"/>
      <w:lvlText w:val="（%1）"/>
      <w:lvlJc w:val="left"/>
      <w:pPr>
        <w:ind w:left="1620" w:hanging="72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5">
    <w:nsid w:val="0D0D51AE"/>
    <w:multiLevelType w:val="multilevel"/>
    <w:tmpl w:val="0D0D51AE"/>
    <w:lvl w:ilvl="0" w:tentative="0">
      <w:start w:val="1"/>
      <w:numFmt w:val="decimal"/>
      <w:lvlText w:val="%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10DB676D"/>
    <w:multiLevelType w:val="multilevel"/>
    <w:tmpl w:val="10DB676D"/>
    <w:lvl w:ilvl="0" w:tentative="0">
      <w:start w:val="1"/>
      <w:numFmt w:val="chineseCountingThousand"/>
      <w:pStyle w:val="3"/>
      <w:lvlText w:val="第%1章"/>
      <w:lvlJc w:val="left"/>
      <w:pPr>
        <w:ind w:left="6090" w:hanging="420"/>
      </w:pPr>
      <w:rPr>
        <w:rFonts w:hint="eastAsia"/>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tentative="0">
      <w:start w:val="1"/>
      <w:numFmt w:val="decimal"/>
      <w:lvlText w:val="%1.%2.%3.%4"/>
      <w:lvlJc w:val="left"/>
      <w:pPr>
        <w:tabs>
          <w:tab w:val="left" w:pos="864"/>
        </w:tabs>
        <w:ind w:left="864" w:hanging="864"/>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7">
    <w:nsid w:val="117318ED"/>
    <w:multiLevelType w:val="multilevel"/>
    <w:tmpl w:val="117318ED"/>
    <w:lvl w:ilvl="0" w:tentative="0">
      <w:start w:val="1"/>
      <w:numFmt w:val="decimal"/>
      <w:lvlText w:val="（%1）"/>
      <w:lvlJc w:val="left"/>
      <w:pPr>
        <w:ind w:left="1620" w:hanging="72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8">
    <w:nsid w:val="148E32F1"/>
    <w:multiLevelType w:val="multilevel"/>
    <w:tmpl w:val="148E32F1"/>
    <w:lvl w:ilvl="0" w:tentative="0">
      <w:start w:val="1"/>
      <w:numFmt w:val="chineseCountingThousand"/>
      <w:lvlText w:val="第%1节"/>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5521CE4"/>
    <w:multiLevelType w:val="multilevel"/>
    <w:tmpl w:val="15521CE4"/>
    <w:lvl w:ilvl="0" w:tentative="0">
      <w:start w:val="1"/>
      <w:numFmt w:val="decimal"/>
      <w:lvlText w:val="（%1）"/>
      <w:lvlJc w:val="left"/>
      <w:pPr>
        <w:ind w:left="1620" w:hanging="72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0">
    <w:nsid w:val="20EA5E5E"/>
    <w:multiLevelType w:val="multilevel"/>
    <w:tmpl w:val="20EA5E5E"/>
    <w:lvl w:ilvl="0" w:tentative="0">
      <w:start w:val="1"/>
      <w:numFmt w:val="bullet"/>
      <w:lvlText w:val="-"/>
      <w:lvlJc w:val="left"/>
      <w:pPr>
        <w:ind w:left="900" w:hanging="420"/>
      </w:pPr>
      <w:rPr>
        <w:rFonts w:hint="eastAsia" w:ascii="宋体" w:hAnsi="宋体" w:eastAsia="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1">
    <w:nsid w:val="22B81B05"/>
    <w:multiLevelType w:val="multilevel"/>
    <w:tmpl w:val="22B81B05"/>
    <w:lvl w:ilvl="0" w:tentative="0">
      <w:start w:val="1"/>
      <w:numFmt w:val="bullet"/>
      <w:lvlText w:val="-"/>
      <w:lvlJc w:val="left"/>
      <w:pPr>
        <w:ind w:left="902" w:hanging="420"/>
      </w:pPr>
      <w:rPr>
        <w:rFonts w:hint="eastAsia" w:ascii="宋体" w:hAnsi="宋体"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2">
    <w:nsid w:val="31FC4854"/>
    <w:multiLevelType w:val="multilevel"/>
    <w:tmpl w:val="31FC4854"/>
    <w:lvl w:ilvl="0" w:tentative="0">
      <w:start w:val="1"/>
      <w:numFmt w:val="decimal"/>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3">
    <w:nsid w:val="3BF85574"/>
    <w:multiLevelType w:val="multilevel"/>
    <w:tmpl w:val="3BF85574"/>
    <w:lvl w:ilvl="0" w:tentative="0">
      <w:start w:val="1"/>
      <w:numFmt w:val="decimal"/>
      <w:lvlText w:val="（%1）"/>
      <w:lvlJc w:val="left"/>
      <w:pPr>
        <w:ind w:left="902" w:hanging="420"/>
      </w:pPr>
      <w:rPr>
        <w:rFonts w:hint="eastAsia"/>
      </w:rPr>
    </w:lvl>
    <w:lvl w:ilvl="1" w:tentative="0">
      <w:start w:val="1"/>
      <w:numFmt w:val="decimalEnclosedCircle"/>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4">
    <w:nsid w:val="3CC168FA"/>
    <w:multiLevelType w:val="multilevel"/>
    <w:tmpl w:val="3CC168FA"/>
    <w:lvl w:ilvl="0" w:tentative="0">
      <w:start w:val="1"/>
      <w:numFmt w:val="bullet"/>
      <w:pStyle w:val="129"/>
      <w:suff w:val="space"/>
      <w:lvlText w:val="―"/>
      <w:lvlJc w:val="left"/>
      <w:pPr>
        <w:ind w:left="988" w:hanging="420"/>
      </w:pPr>
      <w:rPr>
        <w:rFonts w:hint="eastAsia" w:ascii="仿宋" w:hAnsi="仿宋" w:eastAsia="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56A3C3F"/>
    <w:multiLevelType w:val="multilevel"/>
    <w:tmpl w:val="456A3C3F"/>
    <w:lvl w:ilvl="0" w:tentative="0">
      <w:start w:val="1"/>
      <w:numFmt w:val="bullet"/>
      <w:lvlText w:val="-"/>
      <w:lvlJc w:val="left"/>
      <w:pPr>
        <w:ind w:left="900" w:hanging="420"/>
      </w:pPr>
      <w:rPr>
        <w:rFonts w:hint="eastAsia" w:ascii="宋体" w:hAnsi="宋体" w:eastAsia="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6">
    <w:nsid w:val="47781CA5"/>
    <w:multiLevelType w:val="multilevel"/>
    <w:tmpl w:val="47781CA5"/>
    <w:lvl w:ilvl="0" w:tentative="0">
      <w:start w:val="1"/>
      <w:numFmt w:val="decimal"/>
      <w:pStyle w:val="7"/>
      <w:lvlText w:val="%1."/>
      <w:lvlJc w:val="left"/>
      <w:pPr>
        <w:ind w:left="846"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7">
    <w:nsid w:val="4F4C5FE2"/>
    <w:multiLevelType w:val="multilevel"/>
    <w:tmpl w:val="4F4C5FE2"/>
    <w:lvl w:ilvl="0" w:tentative="0">
      <w:start w:val="1"/>
      <w:numFmt w:val="bullet"/>
      <w:lvlText w:val="-"/>
      <w:lvlJc w:val="left"/>
      <w:pPr>
        <w:ind w:left="900" w:hanging="420"/>
      </w:pPr>
      <w:rPr>
        <w:rFonts w:hint="eastAsia" w:ascii="宋体" w:hAnsi="宋体" w:eastAsia="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51E50716"/>
    <w:multiLevelType w:val="multilevel"/>
    <w:tmpl w:val="51E50716"/>
    <w:lvl w:ilvl="0" w:tentative="0">
      <w:start w:val="1"/>
      <w:numFmt w:val="bullet"/>
      <w:pStyle w:val="6"/>
      <w:lvlText w:val="-"/>
      <w:lvlJc w:val="left"/>
      <w:pPr>
        <w:ind w:left="980" w:hanging="420"/>
      </w:pPr>
      <w:rPr>
        <w:rFonts w:hint="eastAsia" w:ascii="宋体" w:hAnsi="宋体" w:eastAsia="宋体"/>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9">
    <w:nsid w:val="58A62185"/>
    <w:multiLevelType w:val="multilevel"/>
    <w:tmpl w:val="58A62185"/>
    <w:lvl w:ilvl="0" w:tentative="0">
      <w:start w:val="1"/>
      <w:numFmt w:val="decimal"/>
      <w:lvlText w:val="%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5A5F27B4"/>
    <w:multiLevelType w:val="multilevel"/>
    <w:tmpl w:val="5A5F27B4"/>
    <w:lvl w:ilvl="0" w:tentative="0">
      <w:start w:val="1"/>
      <w:numFmt w:val="decimal"/>
      <w:lvlText w:val="%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1">
    <w:nsid w:val="5BDA0FC7"/>
    <w:multiLevelType w:val="multilevel"/>
    <w:tmpl w:val="5BDA0FC7"/>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5C2302FE"/>
    <w:multiLevelType w:val="multilevel"/>
    <w:tmpl w:val="5C2302F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5C741C01"/>
    <w:multiLevelType w:val="multilevel"/>
    <w:tmpl w:val="5C741C01"/>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5D3866BD"/>
    <w:multiLevelType w:val="multilevel"/>
    <w:tmpl w:val="5D3866BD"/>
    <w:lvl w:ilvl="0" w:tentative="0">
      <w:start w:val="1"/>
      <w:numFmt w:val="decimal"/>
      <w:lvlText w:val="（%1）"/>
      <w:lvlJc w:val="left"/>
      <w:pPr>
        <w:ind w:left="980" w:hanging="420"/>
      </w:pPr>
      <w:rPr>
        <w:rFonts w:hint="eastAsia"/>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5">
    <w:nsid w:val="609B5DB7"/>
    <w:multiLevelType w:val="multilevel"/>
    <w:tmpl w:val="609B5DB7"/>
    <w:lvl w:ilvl="0" w:tentative="0">
      <w:start w:val="1"/>
      <w:numFmt w:val="chineseCountingThousand"/>
      <w:lvlText w:val="第%1节"/>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4335322"/>
    <w:multiLevelType w:val="multilevel"/>
    <w:tmpl w:val="64335322"/>
    <w:lvl w:ilvl="0" w:tentative="0">
      <w:start w:val="1"/>
      <w:numFmt w:val="decimal"/>
      <w:pStyle w:val="5"/>
      <w:lvlText w:val="第%1条 "/>
      <w:lvlJc w:val="left"/>
      <w:pPr>
        <w:ind w:left="420" w:hanging="420"/>
      </w:pPr>
      <w:rPr>
        <w:rFonts w:hint="eastAsia"/>
      </w:rPr>
    </w:lvl>
    <w:lvl w:ilvl="1" w:tentative="0">
      <w:start w:val="3"/>
      <w:numFmt w:val="decimal"/>
      <w:lvlText w:val="%2）"/>
      <w:lvlJc w:val="left"/>
      <w:pPr>
        <w:ind w:left="795" w:hanging="3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8C81D75"/>
    <w:multiLevelType w:val="multilevel"/>
    <w:tmpl w:val="68C81D75"/>
    <w:lvl w:ilvl="0" w:tentative="0">
      <w:start w:val="1"/>
      <w:numFmt w:val="chineseCountingThousand"/>
      <w:lvlText w:val="第%1节"/>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AC136D7"/>
    <w:multiLevelType w:val="multilevel"/>
    <w:tmpl w:val="6AC136D7"/>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9">
    <w:nsid w:val="6BDF2388"/>
    <w:multiLevelType w:val="multilevel"/>
    <w:tmpl w:val="6BDF2388"/>
    <w:lvl w:ilvl="0" w:tentative="0">
      <w:start w:val="1"/>
      <w:numFmt w:val="chineseCountingThousand"/>
      <w:lvlText w:val="第%1节"/>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F377106"/>
    <w:multiLevelType w:val="multilevel"/>
    <w:tmpl w:val="6F377106"/>
    <w:lvl w:ilvl="0" w:tentative="0">
      <w:start w:val="1"/>
      <w:numFmt w:val="chineseCountingThousand"/>
      <w:lvlText w:val="第%1节"/>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FC22649"/>
    <w:multiLevelType w:val="multilevel"/>
    <w:tmpl w:val="6FC22649"/>
    <w:lvl w:ilvl="0" w:tentative="0">
      <w:start w:val="1"/>
      <w:numFmt w:val="decimal"/>
      <w:lvlText w:val="（%1）"/>
      <w:lvlJc w:val="left"/>
      <w:pPr>
        <w:ind w:left="987" w:hanging="4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2">
    <w:nsid w:val="78E836D5"/>
    <w:multiLevelType w:val="multilevel"/>
    <w:tmpl w:val="78E836D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6"/>
  </w:num>
  <w:num w:numId="2">
    <w:abstractNumId w:val="36"/>
  </w:num>
  <w:num w:numId="3">
    <w:abstractNumId w:val="28"/>
  </w:num>
  <w:num w:numId="4">
    <w:abstractNumId w:val="26"/>
  </w:num>
  <w:num w:numId="5">
    <w:abstractNumId w:val="3"/>
  </w:num>
  <w:num w:numId="6">
    <w:abstractNumId w:val="5"/>
  </w:num>
  <w:num w:numId="7">
    <w:abstractNumId w:val="8"/>
  </w:num>
  <w:num w:numId="8">
    <w:abstractNumId w:val="9"/>
  </w:num>
  <w:num w:numId="9">
    <w:abstractNumId w:val="6"/>
  </w:num>
  <w:num w:numId="10">
    <w:abstractNumId w:val="2"/>
  </w:num>
  <w:num w:numId="11">
    <w:abstractNumId w:val="7"/>
  </w:num>
  <w:num w:numId="12">
    <w:abstractNumId w:val="4"/>
  </w:num>
  <w:num w:numId="13">
    <w:abstractNumId w:val="1"/>
  </w:num>
  <w:num w:numId="14">
    <w:abstractNumId w:val="0"/>
  </w:num>
  <w:num w:numId="15">
    <w:abstractNumId w:val="24"/>
  </w:num>
  <w:num w:numId="16">
    <w:abstractNumId w:val="31"/>
  </w:num>
  <w:num w:numId="17">
    <w:abstractNumId w:val="35"/>
  </w:num>
  <w:num w:numId="18">
    <w:abstractNumId w:val="34"/>
  </w:num>
  <w:num w:numId="19">
    <w:abstractNumId w:val="21"/>
  </w:num>
  <w:num w:numId="20">
    <w:abstractNumId w:val="27"/>
  </w:num>
  <w:num w:numId="21">
    <w:abstractNumId w:val="25"/>
  </w:num>
  <w:num w:numId="22">
    <w:abstractNumId w:val="42"/>
  </w:num>
  <w:num w:numId="23">
    <w:abstractNumId w:val="20"/>
  </w:num>
  <w:num w:numId="24">
    <w:abstractNumId w:val="39"/>
  </w:num>
  <w:num w:numId="25">
    <w:abstractNumId w:val="41"/>
  </w:num>
  <w:num w:numId="26">
    <w:abstractNumId w:val="38"/>
  </w:num>
  <w:num w:numId="27">
    <w:abstractNumId w:val="30"/>
  </w:num>
  <w:num w:numId="28">
    <w:abstractNumId w:val="29"/>
  </w:num>
  <w:num w:numId="29">
    <w:abstractNumId w:val="15"/>
  </w:num>
  <w:num w:numId="30">
    <w:abstractNumId w:val="19"/>
  </w:num>
  <w:num w:numId="31">
    <w:abstractNumId w:val="17"/>
  </w:num>
  <w:num w:numId="32">
    <w:abstractNumId w:val="14"/>
  </w:num>
  <w:num w:numId="33">
    <w:abstractNumId w:val="12"/>
  </w:num>
  <w:num w:numId="34">
    <w:abstractNumId w:val="40"/>
  </w:num>
  <w:num w:numId="35">
    <w:abstractNumId w:val="37"/>
  </w:num>
  <w:num w:numId="36">
    <w:abstractNumId w:val="13"/>
  </w:num>
  <w:num w:numId="37">
    <w:abstractNumId w:val="32"/>
  </w:num>
  <w:num w:numId="38">
    <w:abstractNumId w:val="23"/>
  </w:num>
  <w:num w:numId="39">
    <w:abstractNumId w:val="22"/>
  </w:num>
  <w:num w:numId="40">
    <w:abstractNumId w:val="33"/>
  </w:num>
  <w:num w:numId="41">
    <w:abstractNumId w:val="18"/>
    <w:lvlOverride w:ilvl="0">
      <w:startOverride w:val="1"/>
    </w:lvlOverride>
  </w:num>
  <w:num w:numId="42">
    <w:abstractNumId w:val="1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20"/>
  <w:drawingGridVerticalSpacing w:val="381"/>
  <w:displayHorizontalDrawingGridEvery w:val="0"/>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1MGNjZjBiNjFiNTdlZGJlODM0MjkyMTY0OTdkNjgifQ=="/>
    <w:docVar w:name="ne_docsoft" w:val="MSWord"/>
    <w:docVar w:name="ne_docversion" w:val="NoteExpress 2.0"/>
  </w:docVars>
  <w:rsids>
    <w:rsidRoot w:val="00B71B49"/>
    <w:rsid w:val="000000BC"/>
    <w:rsid w:val="000004D5"/>
    <w:rsid w:val="00000938"/>
    <w:rsid w:val="00000A46"/>
    <w:rsid w:val="00000CC5"/>
    <w:rsid w:val="0000123F"/>
    <w:rsid w:val="0000147F"/>
    <w:rsid w:val="00001807"/>
    <w:rsid w:val="0000191B"/>
    <w:rsid w:val="0000193D"/>
    <w:rsid w:val="00001C79"/>
    <w:rsid w:val="00001F14"/>
    <w:rsid w:val="000021DC"/>
    <w:rsid w:val="00002408"/>
    <w:rsid w:val="00002443"/>
    <w:rsid w:val="0000299F"/>
    <w:rsid w:val="00002BC7"/>
    <w:rsid w:val="00003314"/>
    <w:rsid w:val="00003354"/>
    <w:rsid w:val="00004355"/>
    <w:rsid w:val="000044F3"/>
    <w:rsid w:val="00004B27"/>
    <w:rsid w:val="00004B42"/>
    <w:rsid w:val="00004B92"/>
    <w:rsid w:val="00005128"/>
    <w:rsid w:val="00005314"/>
    <w:rsid w:val="000058D7"/>
    <w:rsid w:val="00005A88"/>
    <w:rsid w:val="00005E26"/>
    <w:rsid w:val="00006272"/>
    <w:rsid w:val="000068F0"/>
    <w:rsid w:val="00006A67"/>
    <w:rsid w:val="00006C9D"/>
    <w:rsid w:val="00006E4C"/>
    <w:rsid w:val="00006E4E"/>
    <w:rsid w:val="00007182"/>
    <w:rsid w:val="00007301"/>
    <w:rsid w:val="00007A48"/>
    <w:rsid w:val="00007E32"/>
    <w:rsid w:val="0001052A"/>
    <w:rsid w:val="00010579"/>
    <w:rsid w:val="000105D2"/>
    <w:rsid w:val="00010C8A"/>
    <w:rsid w:val="00010D2F"/>
    <w:rsid w:val="00011139"/>
    <w:rsid w:val="0001135B"/>
    <w:rsid w:val="000117C4"/>
    <w:rsid w:val="000117F8"/>
    <w:rsid w:val="00011A9A"/>
    <w:rsid w:val="000120A4"/>
    <w:rsid w:val="0001224F"/>
    <w:rsid w:val="000126F4"/>
    <w:rsid w:val="00012CE0"/>
    <w:rsid w:val="00012D92"/>
    <w:rsid w:val="00012EC7"/>
    <w:rsid w:val="00012F83"/>
    <w:rsid w:val="000132E4"/>
    <w:rsid w:val="00013700"/>
    <w:rsid w:val="00013740"/>
    <w:rsid w:val="0001396D"/>
    <w:rsid w:val="00013C80"/>
    <w:rsid w:val="00013CD1"/>
    <w:rsid w:val="00013FA6"/>
    <w:rsid w:val="000140A3"/>
    <w:rsid w:val="0001433A"/>
    <w:rsid w:val="00014553"/>
    <w:rsid w:val="000146A7"/>
    <w:rsid w:val="00014781"/>
    <w:rsid w:val="00014BB3"/>
    <w:rsid w:val="00014BF5"/>
    <w:rsid w:val="00014C47"/>
    <w:rsid w:val="00014DE6"/>
    <w:rsid w:val="00014E6D"/>
    <w:rsid w:val="0001521D"/>
    <w:rsid w:val="00015716"/>
    <w:rsid w:val="000157DF"/>
    <w:rsid w:val="00015817"/>
    <w:rsid w:val="00015D6A"/>
    <w:rsid w:val="0001618A"/>
    <w:rsid w:val="0001634D"/>
    <w:rsid w:val="000164E4"/>
    <w:rsid w:val="00016FE6"/>
    <w:rsid w:val="000208D6"/>
    <w:rsid w:val="00020C42"/>
    <w:rsid w:val="00020DFB"/>
    <w:rsid w:val="0002123B"/>
    <w:rsid w:val="0002147B"/>
    <w:rsid w:val="000215A8"/>
    <w:rsid w:val="000216BE"/>
    <w:rsid w:val="000216E1"/>
    <w:rsid w:val="00021DFC"/>
    <w:rsid w:val="000221AD"/>
    <w:rsid w:val="000225EC"/>
    <w:rsid w:val="0002283D"/>
    <w:rsid w:val="0002295E"/>
    <w:rsid w:val="00022B83"/>
    <w:rsid w:val="00022D61"/>
    <w:rsid w:val="00022D66"/>
    <w:rsid w:val="00022DC7"/>
    <w:rsid w:val="000230AB"/>
    <w:rsid w:val="000232E6"/>
    <w:rsid w:val="000235BA"/>
    <w:rsid w:val="000237C1"/>
    <w:rsid w:val="0002385C"/>
    <w:rsid w:val="0002399A"/>
    <w:rsid w:val="00023BC7"/>
    <w:rsid w:val="00023FCE"/>
    <w:rsid w:val="00024278"/>
    <w:rsid w:val="00024777"/>
    <w:rsid w:val="00024931"/>
    <w:rsid w:val="00024965"/>
    <w:rsid w:val="00024A6F"/>
    <w:rsid w:val="00024B29"/>
    <w:rsid w:val="00024D9F"/>
    <w:rsid w:val="00024DB4"/>
    <w:rsid w:val="0002568B"/>
    <w:rsid w:val="00025D20"/>
    <w:rsid w:val="00025DC2"/>
    <w:rsid w:val="000261EC"/>
    <w:rsid w:val="000262F6"/>
    <w:rsid w:val="00026798"/>
    <w:rsid w:val="00026835"/>
    <w:rsid w:val="00026A68"/>
    <w:rsid w:val="00026F2D"/>
    <w:rsid w:val="00027227"/>
    <w:rsid w:val="0002726B"/>
    <w:rsid w:val="000272DE"/>
    <w:rsid w:val="00027DA7"/>
    <w:rsid w:val="00027F2B"/>
    <w:rsid w:val="00027FE1"/>
    <w:rsid w:val="00030675"/>
    <w:rsid w:val="000306E1"/>
    <w:rsid w:val="000308EA"/>
    <w:rsid w:val="00030AE2"/>
    <w:rsid w:val="00030F60"/>
    <w:rsid w:val="0003128C"/>
    <w:rsid w:val="00031C50"/>
    <w:rsid w:val="00031E86"/>
    <w:rsid w:val="00032034"/>
    <w:rsid w:val="00032317"/>
    <w:rsid w:val="00032547"/>
    <w:rsid w:val="000328B5"/>
    <w:rsid w:val="00032D23"/>
    <w:rsid w:val="000332B4"/>
    <w:rsid w:val="0003350D"/>
    <w:rsid w:val="000338EB"/>
    <w:rsid w:val="00033AA4"/>
    <w:rsid w:val="00033AC8"/>
    <w:rsid w:val="00033C70"/>
    <w:rsid w:val="000342EF"/>
    <w:rsid w:val="000346B0"/>
    <w:rsid w:val="000347BE"/>
    <w:rsid w:val="00034985"/>
    <w:rsid w:val="000349B4"/>
    <w:rsid w:val="00035151"/>
    <w:rsid w:val="00035335"/>
    <w:rsid w:val="00035346"/>
    <w:rsid w:val="00035828"/>
    <w:rsid w:val="0003593D"/>
    <w:rsid w:val="00035BBA"/>
    <w:rsid w:val="00035CD5"/>
    <w:rsid w:val="000361A5"/>
    <w:rsid w:val="00036480"/>
    <w:rsid w:val="00036605"/>
    <w:rsid w:val="000366B3"/>
    <w:rsid w:val="000368ED"/>
    <w:rsid w:val="000369A3"/>
    <w:rsid w:val="00036B95"/>
    <w:rsid w:val="00036CB2"/>
    <w:rsid w:val="00036CDD"/>
    <w:rsid w:val="00036DA2"/>
    <w:rsid w:val="00037177"/>
    <w:rsid w:val="00037258"/>
    <w:rsid w:val="00037779"/>
    <w:rsid w:val="000379EB"/>
    <w:rsid w:val="000401E5"/>
    <w:rsid w:val="00040215"/>
    <w:rsid w:val="0004047E"/>
    <w:rsid w:val="00040A71"/>
    <w:rsid w:val="00040BD0"/>
    <w:rsid w:val="00040D5B"/>
    <w:rsid w:val="00040D5D"/>
    <w:rsid w:val="0004126F"/>
    <w:rsid w:val="00041A3C"/>
    <w:rsid w:val="00041D90"/>
    <w:rsid w:val="00041E07"/>
    <w:rsid w:val="00042088"/>
    <w:rsid w:val="0004221D"/>
    <w:rsid w:val="00042273"/>
    <w:rsid w:val="00042321"/>
    <w:rsid w:val="00042E5C"/>
    <w:rsid w:val="00043350"/>
    <w:rsid w:val="000433AF"/>
    <w:rsid w:val="000433F0"/>
    <w:rsid w:val="000436BD"/>
    <w:rsid w:val="00043A20"/>
    <w:rsid w:val="00043D79"/>
    <w:rsid w:val="00043DBC"/>
    <w:rsid w:val="00044939"/>
    <w:rsid w:val="00044A2B"/>
    <w:rsid w:val="00044BBD"/>
    <w:rsid w:val="00044BC2"/>
    <w:rsid w:val="00044CE1"/>
    <w:rsid w:val="00044D6F"/>
    <w:rsid w:val="00044DC7"/>
    <w:rsid w:val="00044E01"/>
    <w:rsid w:val="00044E5D"/>
    <w:rsid w:val="00044EEF"/>
    <w:rsid w:val="00045239"/>
    <w:rsid w:val="00045295"/>
    <w:rsid w:val="00045296"/>
    <w:rsid w:val="00045867"/>
    <w:rsid w:val="00045BAB"/>
    <w:rsid w:val="00045D88"/>
    <w:rsid w:val="00045EED"/>
    <w:rsid w:val="0004615C"/>
    <w:rsid w:val="0004628E"/>
    <w:rsid w:val="00046708"/>
    <w:rsid w:val="000468E7"/>
    <w:rsid w:val="00046DE1"/>
    <w:rsid w:val="00047349"/>
    <w:rsid w:val="000502DA"/>
    <w:rsid w:val="00050433"/>
    <w:rsid w:val="0005076A"/>
    <w:rsid w:val="000509D8"/>
    <w:rsid w:val="00050B8F"/>
    <w:rsid w:val="00050BD0"/>
    <w:rsid w:val="00051AD7"/>
    <w:rsid w:val="00051C9C"/>
    <w:rsid w:val="00051FCF"/>
    <w:rsid w:val="00052D84"/>
    <w:rsid w:val="00053509"/>
    <w:rsid w:val="000536C4"/>
    <w:rsid w:val="0005402D"/>
    <w:rsid w:val="000540E0"/>
    <w:rsid w:val="000541C9"/>
    <w:rsid w:val="00054380"/>
    <w:rsid w:val="000546DB"/>
    <w:rsid w:val="0005479B"/>
    <w:rsid w:val="00054AEE"/>
    <w:rsid w:val="00054BE7"/>
    <w:rsid w:val="00054D58"/>
    <w:rsid w:val="00054D90"/>
    <w:rsid w:val="0005533A"/>
    <w:rsid w:val="000554B7"/>
    <w:rsid w:val="000556BA"/>
    <w:rsid w:val="00055A01"/>
    <w:rsid w:val="00055B6D"/>
    <w:rsid w:val="0005620A"/>
    <w:rsid w:val="0005633C"/>
    <w:rsid w:val="00056522"/>
    <w:rsid w:val="000566D3"/>
    <w:rsid w:val="000577E7"/>
    <w:rsid w:val="0005792A"/>
    <w:rsid w:val="00057AFA"/>
    <w:rsid w:val="00057C0C"/>
    <w:rsid w:val="00057E9B"/>
    <w:rsid w:val="00057F2C"/>
    <w:rsid w:val="00060409"/>
    <w:rsid w:val="00060450"/>
    <w:rsid w:val="000606BF"/>
    <w:rsid w:val="00060711"/>
    <w:rsid w:val="000609D1"/>
    <w:rsid w:val="00061074"/>
    <w:rsid w:val="000610C2"/>
    <w:rsid w:val="00061183"/>
    <w:rsid w:val="000611FF"/>
    <w:rsid w:val="000613D1"/>
    <w:rsid w:val="000613F6"/>
    <w:rsid w:val="0006143B"/>
    <w:rsid w:val="00061470"/>
    <w:rsid w:val="00061595"/>
    <w:rsid w:val="00061686"/>
    <w:rsid w:val="000617B5"/>
    <w:rsid w:val="00061A88"/>
    <w:rsid w:val="00061D78"/>
    <w:rsid w:val="0006203C"/>
    <w:rsid w:val="0006222A"/>
    <w:rsid w:val="000627FF"/>
    <w:rsid w:val="000629BA"/>
    <w:rsid w:val="00062DCD"/>
    <w:rsid w:val="00062E1B"/>
    <w:rsid w:val="00062FF5"/>
    <w:rsid w:val="000630CD"/>
    <w:rsid w:val="000630F6"/>
    <w:rsid w:val="00063173"/>
    <w:rsid w:val="00063357"/>
    <w:rsid w:val="000636A3"/>
    <w:rsid w:val="0006376F"/>
    <w:rsid w:val="000638FA"/>
    <w:rsid w:val="00063D1A"/>
    <w:rsid w:val="00063D47"/>
    <w:rsid w:val="00063DD4"/>
    <w:rsid w:val="000644F2"/>
    <w:rsid w:val="000646BF"/>
    <w:rsid w:val="00064990"/>
    <w:rsid w:val="00064AA2"/>
    <w:rsid w:val="00064EE8"/>
    <w:rsid w:val="00065375"/>
    <w:rsid w:val="00065B07"/>
    <w:rsid w:val="00065B54"/>
    <w:rsid w:val="00065D72"/>
    <w:rsid w:val="00066091"/>
    <w:rsid w:val="000661D1"/>
    <w:rsid w:val="000662CF"/>
    <w:rsid w:val="00066336"/>
    <w:rsid w:val="0006669F"/>
    <w:rsid w:val="00066BB9"/>
    <w:rsid w:val="00066E2B"/>
    <w:rsid w:val="0006709B"/>
    <w:rsid w:val="00067607"/>
    <w:rsid w:val="00067744"/>
    <w:rsid w:val="00067746"/>
    <w:rsid w:val="00067E14"/>
    <w:rsid w:val="00067F76"/>
    <w:rsid w:val="0007012D"/>
    <w:rsid w:val="000704FE"/>
    <w:rsid w:val="00070B6B"/>
    <w:rsid w:val="00071C51"/>
    <w:rsid w:val="000720B2"/>
    <w:rsid w:val="000727EC"/>
    <w:rsid w:val="00072EA1"/>
    <w:rsid w:val="00072EAB"/>
    <w:rsid w:val="000732A1"/>
    <w:rsid w:val="000735BC"/>
    <w:rsid w:val="0007374A"/>
    <w:rsid w:val="00073D62"/>
    <w:rsid w:val="00073EED"/>
    <w:rsid w:val="000743FE"/>
    <w:rsid w:val="000745F1"/>
    <w:rsid w:val="000746A9"/>
    <w:rsid w:val="000746BF"/>
    <w:rsid w:val="00074790"/>
    <w:rsid w:val="00074AE2"/>
    <w:rsid w:val="00075113"/>
    <w:rsid w:val="0007590A"/>
    <w:rsid w:val="000759F6"/>
    <w:rsid w:val="00075A3C"/>
    <w:rsid w:val="00075B3F"/>
    <w:rsid w:val="000769D7"/>
    <w:rsid w:val="00076A0E"/>
    <w:rsid w:val="000772C3"/>
    <w:rsid w:val="000774F2"/>
    <w:rsid w:val="00077C2B"/>
    <w:rsid w:val="00077ECA"/>
    <w:rsid w:val="000805D7"/>
    <w:rsid w:val="0008093F"/>
    <w:rsid w:val="00080A42"/>
    <w:rsid w:val="00080A9C"/>
    <w:rsid w:val="00080AAB"/>
    <w:rsid w:val="00080B99"/>
    <w:rsid w:val="00080D66"/>
    <w:rsid w:val="00080EBF"/>
    <w:rsid w:val="00080F77"/>
    <w:rsid w:val="0008112A"/>
    <w:rsid w:val="000812ED"/>
    <w:rsid w:val="00081384"/>
    <w:rsid w:val="000817A1"/>
    <w:rsid w:val="00081D17"/>
    <w:rsid w:val="000824B6"/>
    <w:rsid w:val="0008250A"/>
    <w:rsid w:val="0008268D"/>
    <w:rsid w:val="00082ADD"/>
    <w:rsid w:val="00082E0B"/>
    <w:rsid w:val="000832FF"/>
    <w:rsid w:val="0008333A"/>
    <w:rsid w:val="00083520"/>
    <w:rsid w:val="0008357D"/>
    <w:rsid w:val="000835BF"/>
    <w:rsid w:val="000835E3"/>
    <w:rsid w:val="0008374A"/>
    <w:rsid w:val="00083974"/>
    <w:rsid w:val="00083A57"/>
    <w:rsid w:val="00083CAA"/>
    <w:rsid w:val="000840D4"/>
    <w:rsid w:val="000843B9"/>
    <w:rsid w:val="0008445E"/>
    <w:rsid w:val="00084740"/>
    <w:rsid w:val="000853F6"/>
    <w:rsid w:val="00085557"/>
    <w:rsid w:val="00085695"/>
    <w:rsid w:val="000857BC"/>
    <w:rsid w:val="00085C11"/>
    <w:rsid w:val="00085CC3"/>
    <w:rsid w:val="00086015"/>
    <w:rsid w:val="0008624E"/>
    <w:rsid w:val="0008672C"/>
    <w:rsid w:val="00086E4D"/>
    <w:rsid w:val="00087900"/>
    <w:rsid w:val="00087BBA"/>
    <w:rsid w:val="00087E08"/>
    <w:rsid w:val="00087E58"/>
    <w:rsid w:val="00087F51"/>
    <w:rsid w:val="0009003A"/>
    <w:rsid w:val="0009040B"/>
    <w:rsid w:val="00090448"/>
    <w:rsid w:val="00090B86"/>
    <w:rsid w:val="00091590"/>
    <w:rsid w:val="00091961"/>
    <w:rsid w:val="00091A25"/>
    <w:rsid w:val="00091B67"/>
    <w:rsid w:val="000920D8"/>
    <w:rsid w:val="00092186"/>
    <w:rsid w:val="000923FE"/>
    <w:rsid w:val="0009260F"/>
    <w:rsid w:val="000928D1"/>
    <w:rsid w:val="000928F6"/>
    <w:rsid w:val="00092900"/>
    <w:rsid w:val="00092CBD"/>
    <w:rsid w:val="00092D86"/>
    <w:rsid w:val="00092F9D"/>
    <w:rsid w:val="00092FA3"/>
    <w:rsid w:val="00093589"/>
    <w:rsid w:val="00093642"/>
    <w:rsid w:val="000939FA"/>
    <w:rsid w:val="00093DEA"/>
    <w:rsid w:val="00093F0D"/>
    <w:rsid w:val="00094166"/>
    <w:rsid w:val="00094719"/>
    <w:rsid w:val="00094742"/>
    <w:rsid w:val="000947FD"/>
    <w:rsid w:val="00094DCA"/>
    <w:rsid w:val="00094E96"/>
    <w:rsid w:val="00094EEB"/>
    <w:rsid w:val="00094F3D"/>
    <w:rsid w:val="00095026"/>
    <w:rsid w:val="00095083"/>
    <w:rsid w:val="00095158"/>
    <w:rsid w:val="000953DC"/>
    <w:rsid w:val="00095595"/>
    <w:rsid w:val="0009622B"/>
    <w:rsid w:val="00096883"/>
    <w:rsid w:val="000968AA"/>
    <w:rsid w:val="000979D3"/>
    <w:rsid w:val="00097C20"/>
    <w:rsid w:val="00097FB1"/>
    <w:rsid w:val="00097FEF"/>
    <w:rsid w:val="000A0023"/>
    <w:rsid w:val="000A0A58"/>
    <w:rsid w:val="000A0CD6"/>
    <w:rsid w:val="000A10AC"/>
    <w:rsid w:val="000A12E5"/>
    <w:rsid w:val="000A16B2"/>
    <w:rsid w:val="000A1734"/>
    <w:rsid w:val="000A189B"/>
    <w:rsid w:val="000A1986"/>
    <w:rsid w:val="000A198C"/>
    <w:rsid w:val="000A1D73"/>
    <w:rsid w:val="000A1E04"/>
    <w:rsid w:val="000A2078"/>
    <w:rsid w:val="000A262C"/>
    <w:rsid w:val="000A2900"/>
    <w:rsid w:val="000A2CCF"/>
    <w:rsid w:val="000A2D26"/>
    <w:rsid w:val="000A3335"/>
    <w:rsid w:val="000A350A"/>
    <w:rsid w:val="000A3814"/>
    <w:rsid w:val="000A3BDC"/>
    <w:rsid w:val="000A3DFE"/>
    <w:rsid w:val="000A40CD"/>
    <w:rsid w:val="000A450F"/>
    <w:rsid w:val="000A4ED4"/>
    <w:rsid w:val="000A4FE0"/>
    <w:rsid w:val="000A51CE"/>
    <w:rsid w:val="000A541F"/>
    <w:rsid w:val="000A54A9"/>
    <w:rsid w:val="000A55C1"/>
    <w:rsid w:val="000A5600"/>
    <w:rsid w:val="000A56F4"/>
    <w:rsid w:val="000A5746"/>
    <w:rsid w:val="000A6678"/>
    <w:rsid w:val="000A692E"/>
    <w:rsid w:val="000A6A23"/>
    <w:rsid w:val="000A6A2C"/>
    <w:rsid w:val="000A6D30"/>
    <w:rsid w:val="000A70F5"/>
    <w:rsid w:val="000A7192"/>
    <w:rsid w:val="000A766A"/>
    <w:rsid w:val="000A776E"/>
    <w:rsid w:val="000A7825"/>
    <w:rsid w:val="000A7C87"/>
    <w:rsid w:val="000A7DA7"/>
    <w:rsid w:val="000B0077"/>
    <w:rsid w:val="000B00B8"/>
    <w:rsid w:val="000B02B3"/>
    <w:rsid w:val="000B039B"/>
    <w:rsid w:val="000B046D"/>
    <w:rsid w:val="000B051E"/>
    <w:rsid w:val="000B05F2"/>
    <w:rsid w:val="000B066F"/>
    <w:rsid w:val="000B072C"/>
    <w:rsid w:val="000B11E9"/>
    <w:rsid w:val="000B1271"/>
    <w:rsid w:val="000B156A"/>
    <w:rsid w:val="000B1A96"/>
    <w:rsid w:val="000B2111"/>
    <w:rsid w:val="000B23C6"/>
    <w:rsid w:val="000B26F2"/>
    <w:rsid w:val="000B270B"/>
    <w:rsid w:val="000B2729"/>
    <w:rsid w:val="000B2956"/>
    <w:rsid w:val="000B295B"/>
    <w:rsid w:val="000B2DC0"/>
    <w:rsid w:val="000B2E6A"/>
    <w:rsid w:val="000B316B"/>
    <w:rsid w:val="000B3528"/>
    <w:rsid w:val="000B35CA"/>
    <w:rsid w:val="000B36E3"/>
    <w:rsid w:val="000B37B6"/>
    <w:rsid w:val="000B39E8"/>
    <w:rsid w:val="000B3F9C"/>
    <w:rsid w:val="000B40ED"/>
    <w:rsid w:val="000B416D"/>
    <w:rsid w:val="000B43DE"/>
    <w:rsid w:val="000B4A7C"/>
    <w:rsid w:val="000B4B84"/>
    <w:rsid w:val="000B4D18"/>
    <w:rsid w:val="000B55D1"/>
    <w:rsid w:val="000B578E"/>
    <w:rsid w:val="000B5E49"/>
    <w:rsid w:val="000B5FAF"/>
    <w:rsid w:val="000B6386"/>
    <w:rsid w:val="000B697B"/>
    <w:rsid w:val="000B6C7E"/>
    <w:rsid w:val="000B6CF1"/>
    <w:rsid w:val="000B7075"/>
    <w:rsid w:val="000B7086"/>
    <w:rsid w:val="000B7369"/>
    <w:rsid w:val="000B7848"/>
    <w:rsid w:val="000B7F25"/>
    <w:rsid w:val="000C027F"/>
    <w:rsid w:val="000C02C6"/>
    <w:rsid w:val="000C05FB"/>
    <w:rsid w:val="000C081F"/>
    <w:rsid w:val="000C09A5"/>
    <w:rsid w:val="000C0B2E"/>
    <w:rsid w:val="000C0C31"/>
    <w:rsid w:val="000C1161"/>
    <w:rsid w:val="000C14A8"/>
    <w:rsid w:val="000C16B6"/>
    <w:rsid w:val="000C1884"/>
    <w:rsid w:val="000C18D0"/>
    <w:rsid w:val="000C18D6"/>
    <w:rsid w:val="000C1A7C"/>
    <w:rsid w:val="000C1CFC"/>
    <w:rsid w:val="000C1F20"/>
    <w:rsid w:val="000C292F"/>
    <w:rsid w:val="000C2B3C"/>
    <w:rsid w:val="000C2CCC"/>
    <w:rsid w:val="000C2DB9"/>
    <w:rsid w:val="000C3512"/>
    <w:rsid w:val="000C3937"/>
    <w:rsid w:val="000C398D"/>
    <w:rsid w:val="000C3D1D"/>
    <w:rsid w:val="000C3F62"/>
    <w:rsid w:val="000C415F"/>
    <w:rsid w:val="000C4431"/>
    <w:rsid w:val="000C46F7"/>
    <w:rsid w:val="000C4996"/>
    <w:rsid w:val="000C4CF3"/>
    <w:rsid w:val="000C4D27"/>
    <w:rsid w:val="000C4FBB"/>
    <w:rsid w:val="000C52F2"/>
    <w:rsid w:val="000C535E"/>
    <w:rsid w:val="000C55F5"/>
    <w:rsid w:val="000C587A"/>
    <w:rsid w:val="000C6086"/>
    <w:rsid w:val="000C6183"/>
    <w:rsid w:val="000C6BE6"/>
    <w:rsid w:val="000C6D27"/>
    <w:rsid w:val="000C6DC1"/>
    <w:rsid w:val="000C70A5"/>
    <w:rsid w:val="000C7487"/>
    <w:rsid w:val="000C7986"/>
    <w:rsid w:val="000D02DC"/>
    <w:rsid w:val="000D038C"/>
    <w:rsid w:val="000D03F1"/>
    <w:rsid w:val="000D04D0"/>
    <w:rsid w:val="000D06CF"/>
    <w:rsid w:val="000D0745"/>
    <w:rsid w:val="000D0799"/>
    <w:rsid w:val="000D085D"/>
    <w:rsid w:val="000D094C"/>
    <w:rsid w:val="000D0A41"/>
    <w:rsid w:val="000D0AD1"/>
    <w:rsid w:val="000D0B72"/>
    <w:rsid w:val="000D0BA3"/>
    <w:rsid w:val="000D0BB5"/>
    <w:rsid w:val="000D0F72"/>
    <w:rsid w:val="000D1125"/>
    <w:rsid w:val="000D1217"/>
    <w:rsid w:val="000D148A"/>
    <w:rsid w:val="000D1569"/>
    <w:rsid w:val="000D193E"/>
    <w:rsid w:val="000D1998"/>
    <w:rsid w:val="000D199B"/>
    <w:rsid w:val="000D1E15"/>
    <w:rsid w:val="000D1E40"/>
    <w:rsid w:val="000D1EA2"/>
    <w:rsid w:val="000D22B4"/>
    <w:rsid w:val="000D2713"/>
    <w:rsid w:val="000D2C6B"/>
    <w:rsid w:val="000D2CB5"/>
    <w:rsid w:val="000D2CBD"/>
    <w:rsid w:val="000D2CEC"/>
    <w:rsid w:val="000D2E80"/>
    <w:rsid w:val="000D2EEE"/>
    <w:rsid w:val="000D339A"/>
    <w:rsid w:val="000D3482"/>
    <w:rsid w:val="000D3749"/>
    <w:rsid w:val="000D388D"/>
    <w:rsid w:val="000D3B3C"/>
    <w:rsid w:val="000D3B6C"/>
    <w:rsid w:val="000D3F38"/>
    <w:rsid w:val="000D4106"/>
    <w:rsid w:val="000D416E"/>
    <w:rsid w:val="000D41F9"/>
    <w:rsid w:val="000D422C"/>
    <w:rsid w:val="000D44C7"/>
    <w:rsid w:val="000D47C0"/>
    <w:rsid w:val="000D4867"/>
    <w:rsid w:val="000D4998"/>
    <w:rsid w:val="000D4AE0"/>
    <w:rsid w:val="000D4C1B"/>
    <w:rsid w:val="000D5329"/>
    <w:rsid w:val="000D5352"/>
    <w:rsid w:val="000D5665"/>
    <w:rsid w:val="000D57B9"/>
    <w:rsid w:val="000D5A02"/>
    <w:rsid w:val="000D5CB1"/>
    <w:rsid w:val="000D5F75"/>
    <w:rsid w:val="000D62E5"/>
    <w:rsid w:val="000D6315"/>
    <w:rsid w:val="000D6B03"/>
    <w:rsid w:val="000D6C16"/>
    <w:rsid w:val="000D6D40"/>
    <w:rsid w:val="000D70D8"/>
    <w:rsid w:val="000D71F5"/>
    <w:rsid w:val="000D73EE"/>
    <w:rsid w:val="000D7442"/>
    <w:rsid w:val="000D7A84"/>
    <w:rsid w:val="000D7BE2"/>
    <w:rsid w:val="000D7F76"/>
    <w:rsid w:val="000E014A"/>
    <w:rsid w:val="000E019B"/>
    <w:rsid w:val="000E0435"/>
    <w:rsid w:val="000E0AC7"/>
    <w:rsid w:val="000E0D25"/>
    <w:rsid w:val="000E0D8A"/>
    <w:rsid w:val="000E14C8"/>
    <w:rsid w:val="000E150A"/>
    <w:rsid w:val="000E19BA"/>
    <w:rsid w:val="000E1E56"/>
    <w:rsid w:val="000E1F81"/>
    <w:rsid w:val="000E20B6"/>
    <w:rsid w:val="000E20E9"/>
    <w:rsid w:val="000E256B"/>
    <w:rsid w:val="000E278B"/>
    <w:rsid w:val="000E2A91"/>
    <w:rsid w:val="000E2FF9"/>
    <w:rsid w:val="000E3CE8"/>
    <w:rsid w:val="000E3FC1"/>
    <w:rsid w:val="000E41C7"/>
    <w:rsid w:val="000E4906"/>
    <w:rsid w:val="000E4996"/>
    <w:rsid w:val="000E49EC"/>
    <w:rsid w:val="000E4AAD"/>
    <w:rsid w:val="000E4EB1"/>
    <w:rsid w:val="000E524E"/>
    <w:rsid w:val="000E586E"/>
    <w:rsid w:val="000E5DD3"/>
    <w:rsid w:val="000E65F1"/>
    <w:rsid w:val="000E660F"/>
    <w:rsid w:val="000E6732"/>
    <w:rsid w:val="000E69CD"/>
    <w:rsid w:val="000E6B67"/>
    <w:rsid w:val="000E6C5D"/>
    <w:rsid w:val="000E6CAA"/>
    <w:rsid w:val="000E6D59"/>
    <w:rsid w:val="000E6E23"/>
    <w:rsid w:val="000E70AB"/>
    <w:rsid w:val="000E74D4"/>
    <w:rsid w:val="000E7621"/>
    <w:rsid w:val="000E7DA5"/>
    <w:rsid w:val="000F00BA"/>
    <w:rsid w:val="000F0158"/>
    <w:rsid w:val="000F0468"/>
    <w:rsid w:val="000F056E"/>
    <w:rsid w:val="000F05F3"/>
    <w:rsid w:val="000F0850"/>
    <w:rsid w:val="000F0ABE"/>
    <w:rsid w:val="000F0D09"/>
    <w:rsid w:val="000F0ED0"/>
    <w:rsid w:val="000F1121"/>
    <w:rsid w:val="000F14C9"/>
    <w:rsid w:val="000F15A6"/>
    <w:rsid w:val="000F165C"/>
    <w:rsid w:val="000F1855"/>
    <w:rsid w:val="000F1972"/>
    <w:rsid w:val="000F1A7E"/>
    <w:rsid w:val="000F1BCB"/>
    <w:rsid w:val="000F2051"/>
    <w:rsid w:val="000F20E5"/>
    <w:rsid w:val="000F21D8"/>
    <w:rsid w:val="000F25CF"/>
    <w:rsid w:val="000F26ED"/>
    <w:rsid w:val="000F291B"/>
    <w:rsid w:val="000F30D0"/>
    <w:rsid w:val="000F3B4D"/>
    <w:rsid w:val="000F3CB7"/>
    <w:rsid w:val="000F3D47"/>
    <w:rsid w:val="000F3F32"/>
    <w:rsid w:val="000F3F95"/>
    <w:rsid w:val="000F424B"/>
    <w:rsid w:val="000F42F3"/>
    <w:rsid w:val="000F45BB"/>
    <w:rsid w:val="000F45CD"/>
    <w:rsid w:val="000F4686"/>
    <w:rsid w:val="000F46F5"/>
    <w:rsid w:val="000F4F33"/>
    <w:rsid w:val="000F5299"/>
    <w:rsid w:val="000F56B0"/>
    <w:rsid w:val="000F603F"/>
    <w:rsid w:val="000F64A7"/>
    <w:rsid w:val="000F67FF"/>
    <w:rsid w:val="000F681A"/>
    <w:rsid w:val="000F6E95"/>
    <w:rsid w:val="000F7043"/>
    <w:rsid w:val="000F71D6"/>
    <w:rsid w:val="000F7388"/>
    <w:rsid w:val="000F7C6F"/>
    <w:rsid w:val="000F7C9F"/>
    <w:rsid w:val="000F7DF2"/>
    <w:rsid w:val="00100069"/>
    <w:rsid w:val="001002DA"/>
    <w:rsid w:val="00100AF3"/>
    <w:rsid w:val="00100B0C"/>
    <w:rsid w:val="00100CC4"/>
    <w:rsid w:val="00100F65"/>
    <w:rsid w:val="001012C0"/>
    <w:rsid w:val="00101879"/>
    <w:rsid w:val="00101954"/>
    <w:rsid w:val="00101A04"/>
    <w:rsid w:val="00101C9D"/>
    <w:rsid w:val="001020DB"/>
    <w:rsid w:val="0010220A"/>
    <w:rsid w:val="0010244E"/>
    <w:rsid w:val="00102564"/>
    <w:rsid w:val="001026B5"/>
    <w:rsid w:val="00102727"/>
    <w:rsid w:val="0010310B"/>
    <w:rsid w:val="00103331"/>
    <w:rsid w:val="00103395"/>
    <w:rsid w:val="001033F4"/>
    <w:rsid w:val="00103D49"/>
    <w:rsid w:val="001040C4"/>
    <w:rsid w:val="001045FB"/>
    <w:rsid w:val="00104606"/>
    <w:rsid w:val="001047E4"/>
    <w:rsid w:val="00104A88"/>
    <w:rsid w:val="00104F4C"/>
    <w:rsid w:val="00105077"/>
    <w:rsid w:val="0010545F"/>
    <w:rsid w:val="00105D6E"/>
    <w:rsid w:val="00105DBA"/>
    <w:rsid w:val="00105E27"/>
    <w:rsid w:val="0010620A"/>
    <w:rsid w:val="001065D9"/>
    <w:rsid w:val="00106891"/>
    <w:rsid w:val="00106CE2"/>
    <w:rsid w:val="00106F9B"/>
    <w:rsid w:val="001072B6"/>
    <w:rsid w:val="00110070"/>
    <w:rsid w:val="0011027B"/>
    <w:rsid w:val="0011042E"/>
    <w:rsid w:val="001108E0"/>
    <w:rsid w:val="001109AD"/>
    <w:rsid w:val="00110A31"/>
    <w:rsid w:val="0011108A"/>
    <w:rsid w:val="0011113B"/>
    <w:rsid w:val="00111B99"/>
    <w:rsid w:val="00111BD3"/>
    <w:rsid w:val="00112146"/>
    <w:rsid w:val="00112802"/>
    <w:rsid w:val="00112D38"/>
    <w:rsid w:val="00112D6B"/>
    <w:rsid w:val="00113AD9"/>
    <w:rsid w:val="00113B07"/>
    <w:rsid w:val="00113DA9"/>
    <w:rsid w:val="00113DCE"/>
    <w:rsid w:val="00113E98"/>
    <w:rsid w:val="0011410E"/>
    <w:rsid w:val="0011453C"/>
    <w:rsid w:val="0011458E"/>
    <w:rsid w:val="00114B4A"/>
    <w:rsid w:val="00114F14"/>
    <w:rsid w:val="0011547F"/>
    <w:rsid w:val="00115504"/>
    <w:rsid w:val="00115895"/>
    <w:rsid w:val="00115C85"/>
    <w:rsid w:val="00115DA4"/>
    <w:rsid w:val="00115E43"/>
    <w:rsid w:val="00115E5B"/>
    <w:rsid w:val="00116129"/>
    <w:rsid w:val="00116403"/>
    <w:rsid w:val="0011676D"/>
    <w:rsid w:val="0011706B"/>
    <w:rsid w:val="001171CF"/>
    <w:rsid w:val="00117368"/>
    <w:rsid w:val="0011789B"/>
    <w:rsid w:val="00117D2F"/>
    <w:rsid w:val="00117EFE"/>
    <w:rsid w:val="00117F21"/>
    <w:rsid w:val="00117F3D"/>
    <w:rsid w:val="0012027E"/>
    <w:rsid w:val="00120435"/>
    <w:rsid w:val="0012084E"/>
    <w:rsid w:val="00120977"/>
    <w:rsid w:val="00120A2D"/>
    <w:rsid w:val="00120A4F"/>
    <w:rsid w:val="00120BC1"/>
    <w:rsid w:val="00120DF6"/>
    <w:rsid w:val="00121268"/>
    <w:rsid w:val="001218A8"/>
    <w:rsid w:val="001218ED"/>
    <w:rsid w:val="00121A9E"/>
    <w:rsid w:val="00121C8A"/>
    <w:rsid w:val="00121E7E"/>
    <w:rsid w:val="00122347"/>
    <w:rsid w:val="00122436"/>
    <w:rsid w:val="00122457"/>
    <w:rsid w:val="0012266F"/>
    <w:rsid w:val="00122800"/>
    <w:rsid w:val="001228B4"/>
    <w:rsid w:val="00122AE5"/>
    <w:rsid w:val="00122FA5"/>
    <w:rsid w:val="00123133"/>
    <w:rsid w:val="001231B2"/>
    <w:rsid w:val="00123279"/>
    <w:rsid w:val="0012350F"/>
    <w:rsid w:val="0012361F"/>
    <w:rsid w:val="00124100"/>
    <w:rsid w:val="0012418F"/>
    <w:rsid w:val="0012438A"/>
    <w:rsid w:val="001250B6"/>
    <w:rsid w:val="001253B0"/>
    <w:rsid w:val="00125544"/>
    <w:rsid w:val="00125AFE"/>
    <w:rsid w:val="00125F02"/>
    <w:rsid w:val="00126170"/>
    <w:rsid w:val="00126228"/>
    <w:rsid w:val="001262F6"/>
    <w:rsid w:val="001268A3"/>
    <w:rsid w:val="00126E54"/>
    <w:rsid w:val="001273DD"/>
    <w:rsid w:val="001279F1"/>
    <w:rsid w:val="00127AB6"/>
    <w:rsid w:val="00127B5A"/>
    <w:rsid w:val="00127BDF"/>
    <w:rsid w:val="00127BFC"/>
    <w:rsid w:val="00127E24"/>
    <w:rsid w:val="00127F1D"/>
    <w:rsid w:val="00127F73"/>
    <w:rsid w:val="0013008C"/>
    <w:rsid w:val="001301BE"/>
    <w:rsid w:val="001307C1"/>
    <w:rsid w:val="00130AFD"/>
    <w:rsid w:val="00130B55"/>
    <w:rsid w:val="00130DC2"/>
    <w:rsid w:val="00130E22"/>
    <w:rsid w:val="00131485"/>
    <w:rsid w:val="00131578"/>
    <w:rsid w:val="00131644"/>
    <w:rsid w:val="00131887"/>
    <w:rsid w:val="0013197A"/>
    <w:rsid w:val="00131B6D"/>
    <w:rsid w:val="00131CBB"/>
    <w:rsid w:val="00131EC2"/>
    <w:rsid w:val="001320F4"/>
    <w:rsid w:val="001323AF"/>
    <w:rsid w:val="00132607"/>
    <w:rsid w:val="00132696"/>
    <w:rsid w:val="001328BD"/>
    <w:rsid w:val="00132997"/>
    <w:rsid w:val="00132AAB"/>
    <w:rsid w:val="00132BE9"/>
    <w:rsid w:val="00132D6A"/>
    <w:rsid w:val="0013326B"/>
    <w:rsid w:val="001333E9"/>
    <w:rsid w:val="001335AA"/>
    <w:rsid w:val="00133759"/>
    <w:rsid w:val="001337BE"/>
    <w:rsid w:val="00133F8D"/>
    <w:rsid w:val="00133F99"/>
    <w:rsid w:val="00134690"/>
    <w:rsid w:val="0013480F"/>
    <w:rsid w:val="00134988"/>
    <w:rsid w:val="00134991"/>
    <w:rsid w:val="00134A3D"/>
    <w:rsid w:val="00134A90"/>
    <w:rsid w:val="00134E6B"/>
    <w:rsid w:val="00135054"/>
    <w:rsid w:val="0013559B"/>
    <w:rsid w:val="00135C32"/>
    <w:rsid w:val="00135EDC"/>
    <w:rsid w:val="00135F39"/>
    <w:rsid w:val="0013639E"/>
    <w:rsid w:val="001367BE"/>
    <w:rsid w:val="00136B53"/>
    <w:rsid w:val="00136C54"/>
    <w:rsid w:val="00136FC0"/>
    <w:rsid w:val="001371D5"/>
    <w:rsid w:val="001373C8"/>
    <w:rsid w:val="001373F2"/>
    <w:rsid w:val="001376EA"/>
    <w:rsid w:val="001377D2"/>
    <w:rsid w:val="001378EB"/>
    <w:rsid w:val="00137B72"/>
    <w:rsid w:val="00137E6E"/>
    <w:rsid w:val="001400CB"/>
    <w:rsid w:val="00140181"/>
    <w:rsid w:val="0014031C"/>
    <w:rsid w:val="0014039E"/>
    <w:rsid w:val="001403B9"/>
    <w:rsid w:val="001404E4"/>
    <w:rsid w:val="0014062F"/>
    <w:rsid w:val="001406B3"/>
    <w:rsid w:val="00140763"/>
    <w:rsid w:val="00140CA4"/>
    <w:rsid w:val="00141933"/>
    <w:rsid w:val="0014199B"/>
    <w:rsid w:val="00141BF8"/>
    <w:rsid w:val="00141E9B"/>
    <w:rsid w:val="001422C0"/>
    <w:rsid w:val="001425B9"/>
    <w:rsid w:val="00142AFE"/>
    <w:rsid w:val="00142CC7"/>
    <w:rsid w:val="00142E73"/>
    <w:rsid w:val="00142E96"/>
    <w:rsid w:val="001431CD"/>
    <w:rsid w:val="001432AB"/>
    <w:rsid w:val="0014336F"/>
    <w:rsid w:val="001434BE"/>
    <w:rsid w:val="00143595"/>
    <w:rsid w:val="00143BDD"/>
    <w:rsid w:val="00144234"/>
    <w:rsid w:val="001444ED"/>
    <w:rsid w:val="001447AC"/>
    <w:rsid w:val="00144CAC"/>
    <w:rsid w:val="001450B8"/>
    <w:rsid w:val="00145442"/>
    <w:rsid w:val="00145756"/>
    <w:rsid w:val="001457DB"/>
    <w:rsid w:val="001464AA"/>
    <w:rsid w:val="00146522"/>
    <w:rsid w:val="001467A2"/>
    <w:rsid w:val="00146968"/>
    <w:rsid w:val="00147401"/>
    <w:rsid w:val="001474EF"/>
    <w:rsid w:val="00147E99"/>
    <w:rsid w:val="00150345"/>
    <w:rsid w:val="001506FD"/>
    <w:rsid w:val="0015081E"/>
    <w:rsid w:val="001509C8"/>
    <w:rsid w:val="00150CE0"/>
    <w:rsid w:val="00150DCF"/>
    <w:rsid w:val="00150ED4"/>
    <w:rsid w:val="001514F4"/>
    <w:rsid w:val="001516A1"/>
    <w:rsid w:val="00151953"/>
    <w:rsid w:val="00151D10"/>
    <w:rsid w:val="00151EE1"/>
    <w:rsid w:val="001523CE"/>
    <w:rsid w:val="001524D4"/>
    <w:rsid w:val="001525F5"/>
    <w:rsid w:val="00152860"/>
    <w:rsid w:val="00152964"/>
    <w:rsid w:val="00152E8D"/>
    <w:rsid w:val="00152F4D"/>
    <w:rsid w:val="00153528"/>
    <w:rsid w:val="00153616"/>
    <w:rsid w:val="001538D3"/>
    <w:rsid w:val="001538F2"/>
    <w:rsid w:val="00153B77"/>
    <w:rsid w:val="0015429C"/>
    <w:rsid w:val="0015460E"/>
    <w:rsid w:val="00154BCF"/>
    <w:rsid w:val="00154F17"/>
    <w:rsid w:val="001551F9"/>
    <w:rsid w:val="001555EA"/>
    <w:rsid w:val="00155628"/>
    <w:rsid w:val="0015599B"/>
    <w:rsid w:val="00155C63"/>
    <w:rsid w:val="00155D1B"/>
    <w:rsid w:val="00155E8F"/>
    <w:rsid w:val="00155FD5"/>
    <w:rsid w:val="001567A8"/>
    <w:rsid w:val="001569DB"/>
    <w:rsid w:val="00156E79"/>
    <w:rsid w:val="0015700C"/>
    <w:rsid w:val="001573FA"/>
    <w:rsid w:val="00157574"/>
    <w:rsid w:val="00157B03"/>
    <w:rsid w:val="00157EC0"/>
    <w:rsid w:val="001600A5"/>
    <w:rsid w:val="001602BC"/>
    <w:rsid w:val="00160761"/>
    <w:rsid w:val="00160D2C"/>
    <w:rsid w:val="00160DB6"/>
    <w:rsid w:val="00160FE9"/>
    <w:rsid w:val="00161075"/>
    <w:rsid w:val="0016121F"/>
    <w:rsid w:val="001613BC"/>
    <w:rsid w:val="00161C89"/>
    <w:rsid w:val="00161F6C"/>
    <w:rsid w:val="00162798"/>
    <w:rsid w:val="0016289D"/>
    <w:rsid w:val="00162F8C"/>
    <w:rsid w:val="001630A4"/>
    <w:rsid w:val="00163186"/>
    <w:rsid w:val="00163306"/>
    <w:rsid w:val="001633CD"/>
    <w:rsid w:val="001637D3"/>
    <w:rsid w:val="00163871"/>
    <w:rsid w:val="001638C7"/>
    <w:rsid w:val="001638EA"/>
    <w:rsid w:val="001638FC"/>
    <w:rsid w:val="0016398E"/>
    <w:rsid w:val="00163B35"/>
    <w:rsid w:val="00164003"/>
    <w:rsid w:val="00164438"/>
    <w:rsid w:val="0016445C"/>
    <w:rsid w:val="00164623"/>
    <w:rsid w:val="00165191"/>
    <w:rsid w:val="00165431"/>
    <w:rsid w:val="0016593B"/>
    <w:rsid w:val="00165A2E"/>
    <w:rsid w:val="00165C28"/>
    <w:rsid w:val="00165C65"/>
    <w:rsid w:val="00165F69"/>
    <w:rsid w:val="00166401"/>
    <w:rsid w:val="0016644F"/>
    <w:rsid w:val="00166641"/>
    <w:rsid w:val="001668B8"/>
    <w:rsid w:val="001669B6"/>
    <w:rsid w:val="001669C6"/>
    <w:rsid w:val="00166C88"/>
    <w:rsid w:val="00166EFF"/>
    <w:rsid w:val="00166FA9"/>
    <w:rsid w:val="0016704F"/>
    <w:rsid w:val="00167275"/>
    <w:rsid w:val="00167695"/>
    <w:rsid w:val="00167B2C"/>
    <w:rsid w:val="00167F9E"/>
    <w:rsid w:val="001708A2"/>
    <w:rsid w:val="00170AD7"/>
    <w:rsid w:val="00170DFD"/>
    <w:rsid w:val="00171356"/>
    <w:rsid w:val="00171392"/>
    <w:rsid w:val="00171AD6"/>
    <w:rsid w:val="00171BA5"/>
    <w:rsid w:val="00172082"/>
    <w:rsid w:val="00172852"/>
    <w:rsid w:val="00172F4B"/>
    <w:rsid w:val="001730C5"/>
    <w:rsid w:val="00173617"/>
    <w:rsid w:val="00173B6D"/>
    <w:rsid w:val="00173CE9"/>
    <w:rsid w:val="00174079"/>
    <w:rsid w:val="00174235"/>
    <w:rsid w:val="00174310"/>
    <w:rsid w:val="00174AA6"/>
    <w:rsid w:val="00174C40"/>
    <w:rsid w:val="00174D7A"/>
    <w:rsid w:val="00174E45"/>
    <w:rsid w:val="001750CC"/>
    <w:rsid w:val="001750D5"/>
    <w:rsid w:val="00175503"/>
    <w:rsid w:val="001756D7"/>
    <w:rsid w:val="00175711"/>
    <w:rsid w:val="00175A8D"/>
    <w:rsid w:val="00175EA9"/>
    <w:rsid w:val="0017644A"/>
    <w:rsid w:val="00176556"/>
    <w:rsid w:val="00177051"/>
    <w:rsid w:val="0017762E"/>
    <w:rsid w:val="00177A4A"/>
    <w:rsid w:val="00177FE6"/>
    <w:rsid w:val="0018010F"/>
    <w:rsid w:val="0018031A"/>
    <w:rsid w:val="00180364"/>
    <w:rsid w:val="00180780"/>
    <w:rsid w:val="00180781"/>
    <w:rsid w:val="00180B12"/>
    <w:rsid w:val="00180D93"/>
    <w:rsid w:val="00180EC7"/>
    <w:rsid w:val="001810B7"/>
    <w:rsid w:val="0018154D"/>
    <w:rsid w:val="00181853"/>
    <w:rsid w:val="00181913"/>
    <w:rsid w:val="00181C67"/>
    <w:rsid w:val="00181D82"/>
    <w:rsid w:val="001822DE"/>
    <w:rsid w:val="00182875"/>
    <w:rsid w:val="00182931"/>
    <w:rsid w:val="00182ABA"/>
    <w:rsid w:val="00182B23"/>
    <w:rsid w:val="00182D34"/>
    <w:rsid w:val="001833F7"/>
    <w:rsid w:val="00183797"/>
    <w:rsid w:val="001837B1"/>
    <w:rsid w:val="00183E2E"/>
    <w:rsid w:val="00183E96"/>
    <w:rsid w:val="00184418"/>
    <w:rsid w:val="00184667"/>
    <w:rsid w:val="00184DF0"/>
    <w:rsid w:val="00184F4C"/>
    <w:rsid w:val="001854CA"/>
    <w:rsid w:val="0018552F"/>
    <w:rsid w:val="00185A5F"/>
    <w:rsid w:val="00185A94"/>
    <w:rsid w:val="00185DB6"/>
    <w:rsid w:val="00186630"/>
    <w:rsid w:val="00186749"/>
    <w:rsid w:val="00186A7C"/>
    <w:rsid w:val="00186C1C"/>
    <w:rsid w:val="00186F30"/>
    <w:rsid w:val="00187B98"/>
    <w:rsid w:val="00187F1F"/>
    <w:rsid w:val="00187FCF"/>
    <w:rsid w:val="0019006A"/>
    <w:rsid w:val="001901B1"/>
    <w:rsid w:val="0019083A"/>
    <w:rsid w:val="00190FE3"/>
    <w:rsid w:val="001912B3"/>
    <w:rsid w:val="001912B9"/>
    <w:rsid w:val="001914E6"/>
    <w:rsid w:val="00192264"/>
    <w:rsid w:val="00192594"/>
    <w:rsid w:val="00192595"/>
    <w:rsid w:val="00192741"/>
    <w:rsid w:val="00192CC6"/>
    <w:rsid w:val="00192E12"/>
    <w:rsid w:val="00193AAE"/>
    <w:rsid w:val="00193ACE"/>
    <w:rsid w:val="00193B91"/>
    <w:rsid w:val="00194045"/>
    <w:rsid w:val="00194067"/>
    <w:rsid w:val="00194523"/>
    <w:rsid w:val="00194D4D"/>
    <w:rsid w:val="00195014"/>
    <w:rsid w:val="00195044"/>
    <w:rsid w:val="0019509F"/>
    <w:rsid w:val="0019536B"/>
    <w:rsid w:val="001953EE"/>
    <w:rsid w:val="001955CC"/>
    <w:rsid w:val="00195B11"/>
    <w:rsid w:val="00195FD4"/>
    <w:rsid w:val="00196001"/>
    <w:rsid w:val="00196135"/>
    <w:rsid w:val="001967DE"/>
    <w:rsid w:val="00196C6D"/>
    <w:rsid w:val="00196C92"/>
    <w:rsid w:val="00196D12"/>
    <w:rsid w:val="00196DC4"/>
    <w:rsid w:val="001972E9"/>
    <w:rsid w:val="001973BC"/>
    <w:rsid w:val="001973D9"/>
    <w:rsid w:val="0019754B"/>
    <w:rsid w:val="00197A73"/>
    <w:rsid w:val="00197B5F"/>
    <w:rsid w:val="00197B6A"/>
    <w:rsid w:val="00197BF3"/>
    <w:rsid w:val="001A0300"/>
    <w:rsid w:val="001A099F"/>
    <w:rsid w:val="001A0FDD"/>
    <w:rsid w:val="001A1188"/>
    <w:rsid w:val="001A122E"/>
    <w:rsid w:val="001A1302"/>
    <w:rsid w:val="001A130E"/>
    <w:rsid w:val="001A169E"/>
    <w:rsid w:val="001A17A8"/>
    <w:rsid w:val="001A1A9A"/>
    <w:rsid w:val="001A1B95"/>
    <w:rsid w:val="001A1E05"/>
    <w:rsid w:val="001A1E0C"/>
    <w:rsid w:val="001A2201"/>
    <w:rsid w:val="001A2561"/>
    <w:rsid w:val="001A32EC"/>
    <w:rsid w:val="001A3350"/>
    <w:rsid w:val="001A467E"/>
    <w:rsid w:val="001A493C"/>
    <w:rsid w:val="001A4B83"/>
    <w:rsid w:val="001A4E32"/>
    <w:rsid w:val="001A517D"/>
    <w:rsid w:val="001A54D2"/>
    <w:rsid w:val="001A557A"/>
    <w:rsid w:val="001A6018"/>
    <w:rsid w:val="001A613C"/>
    <w:rsid w:val="001A6158"/>
    <w:rsid w:val="001A6183"/>
    <w:rsid w:val="001A62AE"/>
    <w:rsid w:val="001A644E"/>
    <w:rsid w:val="001A719F"/>
    <w:rsid w:val="001A7287"/>
    <w:rsid w:val="001A728F"/>
    <w:rsid w:val="001B01B1"/>
    <w:rsid w:val="001B0424"/>
    <w:rsid w:val="001B04CC"/>
    <w:rsid w:val="001B0981"/>
    <w:rsid w:val="001B0A5A"/>
    <w:rsid w:val="001B0A8D"/>
    <w:rsid w:val="001B0BA9"/>
    <w:rsid w:val="001B0C94"/>
    <w:rsid w:val="001B10A4"/>
    <w:rsid w:val="001B1169"/>
    <w:rsid w:val="001B16B9"/>
    <w:rsid w:val="001B16E3"/>
    <w:rsid w:val="001B192E"/>
    <w:rsid w:val="001B1CED"/>
    <w:rsid w:val="001B1E43"/>
    <w:rsid w:val="001B23D1"/>
    <w:rsid w:val="001B2832"/>
    <w:rsid w:val="001B28B2"/>
    <w:rsid w:val="001B2B16"/>
    <w:rsid w:val="001B2B23"/>
    <w:rsid w:val="001B2BF5"/>
    <w:rsid w:val="001B2DE0"/>
    <w:rsid w:val="001B2FA6"/>
    <w:rsid w:val="001B331C"/>
    <w:rsid w:val="001B3894"/>
    <w:rsid w:val="001B3986"/>
    <w:rsid w:val="001B399C"/>
    <w:rsid w:val="001B40EE"/>
    <w:rsid w:val="001B4184"/>
    <w:rsid w:val="001B4251"/>
    <w:rsid w:val="001B47BF"/>
    <w:rsid w:val="001B4EC9"/>
    <w:rsid w:val="001B5394"/>
    <w:rsid w:val="001B5703"/>
    <w:rsid w:val="001B5B47"/>
    <w:rsid w:val="001B5BA1"/>
    <w:rsid w:val="001B5FD1"/>
    <w:rsid w:val="001B603C"/>
    <w:rsid w:val="001B6215"/>
    <w:rsid w:val="001B637E"/>
    <w:rsid w:val="001B6604"/>
    <w:rsid w:val="001B6605"/>
    <w:rsid w:val="001B6648"/>
    <w:rsid w:val="001B674B"/>
    <w:rsid w:val="001B6B90"/>
    <w:rsid w:val="001B6C49"/>
    <w:rsid w:val="001B7186"/>
    <w:rsid w:val="001B71DE"/>
    <w:rsid w:val="001B7F2F"/>
    <w:rsid w:val="001C012D"/>
    <w:rsid w:val="001C04FA"/>
    <w:rsid w:val="001C05D6"/>
    <w:rsid w:val="001C0729"/>
    <w:rsid w:val="001C0765"/>
    <w:rsid w:val="001C0CBD"/>
    <w:rsid w:val="001C0F8D"/>
    <w:rsid w:val="001C101F"/>
    <w:rsid w:val="001C125D"/>
    <w:rsid w:val="001C12B9"/>
    <w:rsid w:val="001C1CF7"/>
    <w:rsid w:val="001C221A"/>
    <w:rsid w:val="001C269D"/>
    <w:rsid w:val="001C277C"/>
    <w:rsid w:val="001C3661"/>
    <w:rsid w:val="001C394E"/>
    <w:rsid w:val="001C3A16"/>
    <w:rsid w:val="001C3B7B"/>
    <w:rsid w:val="001C3DCE"/>
    <w:rsid w:val="001C3F34"/>
    <w:rsid w:val="001C4145"/>
    <w:rsid w:val="001C41B1"/>
    <w:rsid w:val="001C41E8"/>
    <w:rsid w:val="001C453E"/>
    <w:rsid w:val="001C4A6A"/>
    <w:rsid w:val="001C4C38"/>
    <w:rsid w:val="001C5125"/>
    <w:rsid w:val="001C53C9"/>
    <w:rsid w:val="001C55A2"/>
    <w:rsid w:val="001C55B0"/>
    <w:rsid w:val="001C5B7B"/>
    <w:rsid w:val="001C5B98"/>
    <w:rsid w:val="001C5D24"/>
    <w:rsid w:val="001C5E22"/>
    <w:rsid w:val="001C6CDF"/>
    <w:rsid w:val="001C6DED"/>
    <w:rsid w:val="001C739D"/>
    <w:rsid w:val="001C744E"/>
    <w:rsid w:val="001C7588"/>
    <w:rsid w:val="001C7796"/>
    <w:rsid w:val="001C789F"/>
    <w:rsid w:val="001C78D2"/>
    <w:rsid w:val="001C7BD2"/>
    <w:rsid w:val="001D0063"/>
    <w:rsid w:val="001D0119"/>
    <w:rsid w:val="001D0594"/>
    <w:rsid w:val="001D07B8"/>
    <w:rsid w:val="001D07DB"/>
    <w:rsid w:val="001D0816"/>
    <w:rsid w:val="001D0BBC"/>
    <w:rsid w:val="001D0CA0"/>
    <w:rsid w:val="001D0E2E"/>
    <w:rsid w:val="001D15A8"/>
    <w:rsid w:val="001D1B04"/>
    <w:rsid w:val="001D1BAE"/>
    <w:rsid w:val="001D1CEA"/>
    <w:rsid w:val="001D222B"/>
    <w:rsid w:val="001D225E"/>
    <w:rsid w:val="001D26CD"/>
    <w:rsid w:val="001D2712"/>
    <w:rsid w:val="001D2D79"/>
    <w:rsid w:val="001D2D86"/>
    <w:rsid w:val="001D3333"/>
    <w:rsid w:val="001D3677"/>
    <w:rsid w:val="001D3B53"/>
    <w:rsid w:val="001D3B91"/>
    <w:rsid w:val="001D3FBB"/>
    <w:rsid w:val="001D43A8"/>
    <w:rsid w:val="001D45D2"/>
    <w:rsid w:val="001D4ADC"/>
    <w:rsid w:val="001D4B8C"/>
    <w:rsid w:val="001D4C99"/>
    <w:rsid w:val="001D51E8"/>
    <w:rsid w:val="001D5930"/>
    <w:rsid w:val="001D59FA"/>
    <w:rsid w:val="001D59FB"/>
    <w:rsid w:val="001D5B1F"/>
    <w:rsid w:val="001D5FA3"/>
    <w:rsid w:val="001D637B"/>
    <w:rsid w:val="001D656E"/>
    <w:rsid w:val="001D6630"/>
    <w:rsid w:val="001D6D0D"/>
    <w:rsid w:val="001D6FF8"/>
    <w:rsid w:val="001D70D4"/>
    <w:rsid w:val="001D7150"/>
    <w:rsid w:val="001D725E"/>
    <w:rsid w:val="001D749A"/>
    <w:rsid w:val="001D74BF"/>
    <w:rsid w:val="001D79BB"/>
    <w:rsid w:val="001D7B59"/>
    <w:rsid w:val="001D7B93"/>
    <w:rsid w:val="001D7F03"/>
    <w:rsid w:val="001E0064"/>
    <w:rsid w:val="001E0266"/>
    <w:rsid w:val="001E02A0"/>
    <w:rsid w:val="001E05EE"/>
    <w:rsid w:val="001E0ED4"/>
    <w:rsid w:val="001E1080"/>
    <w:rsid w:val="001E1567"/>
    <w:rsid w:val="001E1735"/>
    <w:rsid w:val="001E17EC"/>
    <w:rsid w:val="001E1BC5"/>
    <w:rsid w:val="001E1BFB"/>
    <w:rsid w:val="001E1F01"/>
    <w:rsid w:val="001E1FF1"/>
    <w:rsid w:val="001E202F"/>
    <w:rsid w:val="001E20CE"/>
    <w:rsid w:val="001E226C"/>
    <w:rsid w:val="001E2752"/>
    <w:rsid w:val="001E28A1"/>
    <w:rsid w:val="001E2BB7"/>
    <w:rsid w:val="001E31D4"/>
    <w:rsid w:val="001E3636"/>
    <w:rsid w:val="001E3AA7"/>
    <w:rsid w:val="001E3B80"/>
    <w:rsid w:val="001E3D9E"/>
    <w:rsid w:val="001E3EA6"/>
    <w:rsid w:val="001E3F17"/>
    <w:rsid w:val="001E3FBD"/>
    <w:rsid w:val="001E4AA1"/>
    <w:rsid w:val="001E4CD2"/>
    <w:rsid w:val="001E5057"/>
    <w:rsid w:val="001E5103"/>
    <w:rsid w:val="001E524E"/>
    <w:rsid w:val="001E53FB"/>
    <w:rsid w:val="001E5709"/>
    <w:rsid w:val="001E5726"/>
    <w:rsid w:val="001E5D9B"/>
    <w:rsid w:val="001E6173"/>
    <w:rsid w:val="001E622C"/>
    <w:rsid w:val="001E62BB"/>
    <w:rsid w:val="001E65DE"/>
    <w:rsid w:val="001E6A14"/>
    <w:rsid w:val="001E6A92"/>
    <w:rsid w:val="001E6DBF"/>
    <w:rsid w:val="001E74A3"/>
    <w:rsid w:val="001E7A7A"/>
    <w:rsid w:val="001E7C59"/>
    <w:rsid w:val="001E7CB5"/>
    <w:rsid w:val="001E7FEA"/>
    <w:rsid w:val="001F00F3"/>
    <w:rsid w:val="001F03F7"/>
    <w:rsid w:val="001F04CA"/>
    <w:rsid w:val="001F0542"/>
    <w:rsid w:val="001F080F"/>
    <w:rsid w:val="001F0BD5"/>
    <w:rsid w:val="001F12CF"/>
    <w:rsid w:val="001F137A"/>
    <w:rsid w:val="001F1493"/>
    <w:rsid w:val="001F1A96"/>
    <w:rsid w:val="001F2599"/>
    <w:rsid w:val="001F31D9"/>
    <w:rsid w:val="001F37CA"/>
    <w:rsid w:val="001F39D6"/>
    <w:rsid w:val="001F3A7D"/>
    <w:rsid w:val="001F3C5F"/>
    <w:rsid w:val="001F3E88"/>
    <w:rsid w:val="001F45D8"/>
    <w:rsid w:val="001F4651"/>
    <w:rsid w:val="001F475B"/>
    <w:rsid w:val="001F49D0"/>
    <w:rsid w:val="001F4ABA"/>
    <w:rsid w:val="001F54EB"/>
    <w:rsid w:val="001F5F83"/>
    <w:rsid w:val="001F6207"/>
    <w:rsid w:val="001F6408"/>
    <w:rsid w:val="001F670B"/>
    <w:rsid w:val="001F6BFF"/>
    <w:rsid w:val="001F6EF3"/>
    <w:rsid w:val="001F7512"/>
    <w:rsid w:val="001F7B5D"/>
    <w:rsid w:val="001F7E78"/>
    <w:rsid w:val="002000DA"/>
    <w:rsid w:val="002000DB"/>
    <w:rsid w:val="00200440"/>
    <w:rsid w:val="00200BE0"/>
    <w:rsid w:val="00200CDF"/>
    <w:rsid w:val="002011FA"/>
    <w:rsid w:val="0020121B"/>
    <w:rsid w:val="002012A5"/>
    <w:rsid w:val="00201ABB"/>
    <w:rsid w:val="0020217E"/>
    <w:rsid w:val="00202568"/>
    <w:rsid w:val="00202C0E"/>
    <w:rsid w:val="00202E86"/>
    <w:rsid w:val="00203154"/>
    <w:rsid w:val="00203398"/>
    <w:rsid w:val="0020345A"/>
    <w:rsid w:val="00203543"/>
    <w:rsid w:val="002036F6"/>
    <w:rsid w:val="002037CD"/>
    <w:rsid w:val="0020428C"/>
    <w:rsid w:val="002044B2"/>
    <w:rsid w:val="00204DCC"/>
    <w:rsid w:val="002053B0"/>
    <w:rsid w:val="002056C5"/>
    <w:rsid w:val="002056EE"/>
    <w:rsid w:val="00205754"/>
    <w:rsid w:val="0020586B"/>
    <w:rsid w:val="002058AA"/>
    <w:rsid w:val="00205E22"/>
    <w:rsid w:val="00205FF2"/>
    <w:rsid w:val="00206536"/>
    <w:rsid w:val="00206635"/>
    <w:rsid w:val="00206718"/>
    <w:rsid w:val="00206953"/>
    <w:rsid w:val="00206C51"/>
    <w:rsid w:val="002071A8"/>
    <w:rsid w:val="002071B5"/>
    <w:rsid w:val="0020749D"/>
    <w:rsid w:val="00207C4E"/>
    <w:rsid w:val="00210223"/>
    <w:rsid w:val="002102FD"/>
    <w:rsid w:val="00210307"/>
    <w:rsid w:val="002105DC"/>
    <w:rsid w:val="00210980"/>
    <w:rsid w:val="00210A36"/>
    <w:rsid w:val="00211125"/>
    <w:rsid w:val="0021141A"/>
    <w:rsid w:val="002115C3"/>
    <w:rsid w:val="0021174C"/>
    <w:rsid w:val="00211F60"/>
    <w:rsid w:val="00212303"/>
    <w:rsid w:val="00212726"/>
    <w:rsid w:val="0021275A"/>
    <w:rsid w:val="002128E5"/>
    <w:rsid w:val="00212F6E"/>
    <w:rsid w:val="00213050"/>
    <w:rsid w:val="002133D6"/>
    <w:rsid w:val="002134E9"/>
    <w:rsid w:val="00213611"/>
    <w:rsid w:val="00213AD0"/>
    <w:rsid w:val="00213D0B"/>
    <w:rsid w:val="00213E3F"/>
    <w:rsid w:val="0021445B"/>
    <w:rsid w:val="002145FF"/>
    <w:rsid w:val="0021488B"/>
    <w:rsid w:val="00214AB9"/>
    <w:rsid w:val="00214CED"/>
    <w:rsid w:val="00214E81"/>
    <w:rsid w:val="0021505E"/>
    <w:rsid w:val="00215072"/>
    <w:rsid w:val="0021530D"/>
    <w:rsid w:val="0021545D"/>
    <w:rsid w:val="002158A2"/>
    <w:rsid w:val="0021608E"/>
    <w:rsid w:val="002167F0"/>
    <w:rsid w:val="0021683D"/>
    <w:rsid w:val="002176D9"/>
    <w:rsid w:val="002179DC"/>
    <w:rsid w:val="002179F5"/>
    <w:rsid w:val="00217C93"/>
    <w:rsid w:val="00217CE4"/>
    <w:rsid w:val="00217E65"/>
    <w:rsid w:val="00217FC3"/>
    <w:rsid w:val="00220081"/>
    <w:rsid w:val="002201F9"/>
    <w:rsid w:val="00220279"/>
    <w:rsid w:val="00220963"/>
    <w:rsid w:val="00220AEF"/>
    <w:rsid w:val="00220F42"/>
    <w:rsid w:val="00220F83"/>
    <w:rsid w:val="002210EB"/>
    <w:rsid w:val="0022113E"/>
    <w:rsid w:val="002211BB"/>
    <w:rsid w:val="0022165E"/>
    <w:rsid w:val="0022173E"/>
    <w:rsid w:val="00221895"/>
    <w:rsid w:val="00221CA0"/>
    <w:rsid w:val="00222284"/>
    <w:rsid w:val="002222E5"/>
    <w:rsid w:val="0022231A"/>
    <w:rsid w:val="00222537"/>
    <w:rsid w:val="00222A40"/>
    <w:rsid w:val="00222B24"/>
    <w:rsid w:val="002230AB"/>
    <w:rsid w:val="00223685"/>
    <w:rsid w:val="00223B34"/>
    <w:rsid w:val="00223D6E"/>
    <w:rsid w:val="00223EA9"/>
    <w:rsid w:val="00223EBF"/>
    <w:rsid w:val="00223EEE"/>
    <w:rsid w:val="0022496D"/>
    <w:rsid w:val="002249E6"/>
    <w:rsid w:val="00224F36"/>
    <w:rsid w:val="002250FA"/>
    <w:rsid w:val="00225234"/>
    <w:rsid w:val="002253C3"/>
    <w:rsid w:val="002253F4"/>
    <w:rsid w:val="002256B6"/>
    <w:rsid w:val="00225749"/>
    <w:rsid w:val="00225E63"/>
    <w:rsid w:val="00225EF1"/>
    <w:rsid w:val="00225EFB"/>
    <w:rsid w:val="00225F95"/>
    <w:rsid w:val="00226099"/>
    <w:rsid w:val="00226A6E"/>
    <w:rsid w:val="002273B7"/>
    <w:rsid w:val="002274E5"/>
    <w:rsid w:val="002279E1"/>
    <w:rsid w:val="002279FE"/>
    <w:rsid w:val="00227ACF"/>
    <w:rsid w:val="00227AF6"/>
    <w:rsid w:val="00227C5A"/>
    <w:rsid w:val="00227D33"/>
    <w:rsid w:val="00227EB2"/>
    <w:rsid w:val="00230421"/>
    <w:rsid w:val="00230964"/>
    <w:rsid w:val="00230AD1"/>
    <w:rsid w:val="00230C02"/>
    <w:rsid w:val="00230EAF"/>
    <w:rsid w:val="00231500"/>
    <w:rsid w:val="0023196E"/>
    <w:rsid w:val="00231B96"/>
    <w:rsid w:val="00232021"/>
    <w:rsid w:val="00232119"/>
    <w:rsid w:val="002324E1"/>
    <w:rsid w:val="002328A0"/>
    <w:rsid w:val="0023290D"/>
    <w:rsid w:val="00232A00"/>
    <w:rsid w:val="00232AE3"/>
    <w:rsid w:val="00232C82"/>
    <w:rsid w:val="0023320E"/>
    <w:rsid w:val="002332CE"/>
    <w:rsid w:val="00233584"/>
    <w:rsid w:val="002336D7"/>
    <w:rsid w:val="002337BE"/>
    <w:rsid w:val="00234273"/>
    <w:rsid w:val="00234348"/>
    <w:rsid w:val="00234CE6"/>
    <w:rsid w:val="00234E7F"/>
    <w:rsid w:val="002350E4"/>
    <w:rsid w:val="00235377"/>
    <w:rsid w:val="002356D2"/>
    <w:rsid w:val="00235B98"/>
    <w:rsid w:val="00235E65"/>
    <w:rsid w:val="00235F6F"/>
    <w:rsid w:val="0023612D"/>
    <w:rsid w:val="002361C1"/>
    <w:rsid w:val="002362CF"/>
    <w:rsid w:val="0023666D"/>
    <w:rsid w:val="00236CF0"/>
    <w:rsid w:val="00236E76"/>
    <w:rsid w:val="0023705F"/>
    <w:rsid w:val="002372AB"/>
    <w:rsid w:val="0023755B"/>
    <w:rsid w:val="00237696"/>
    <w:rsid w:val="002376B1"/>
    <w:rsid w:val="00237878"/>
    <w:rsid w:val="00237969"/>
    <w:rsid w:val="00237A91"/>
    <w:rsid w:val="00237BCA"/>
    <w:rsid w:val="00237C56"/>
    <w:rsid w:val="00237DFB"/>
    <w:rsid w:val="00237FD9"/>
    <w:rsid w:val="0024043D"/>
    <w:rsid w:val="00240577"/>
    <w:rsid w:val="00240710"/>
    <w:rsid w:val="0024080D"/>
    <w:rsid w:val="00240A37"/>
    <w:rsid w:val="00240B6A"/>
    <w:rsid w:val="00240D42"/>
    <w:rsid w:val="00240E1A"/>
    <w:rsid w:val="00240F52"/>
    <w:rsid w:val="00240FE4"/>
    <w:rsid w:val="0024105C"/>
    <w:rsid w:val="002410B8"/>
    <w:rsid w:val="00241935"/>
    <w:rsid w:val="00241C28"/>
    <w:rsid w:val="0024214D"/>
    <w:rsid w:val="002421CE"/>
    <w:rsid w:val="00242253"/>
    <w:rsid w:val="00242372"/>
    <w:rsid w:val="00242429"/>
    <w:rsid w:val="002425D0"/>
    <w:rsid w:val="002428BB"/>
    <w:rsid w:val="00242A50"/>
    <w:rsid w:val="00242D9B"/>
    <w:rsid w:val="00242DD5"/>
    <w:rsid w:val="00242F0D"/>
    <w:rsid w:val="002436E7"/>
    <w:rsid w:val="002437D2"/>
    <w:rsid w:val="00243A3E"/>
    <w:rsid w:val="00243FCE"/>
    <w:rsid w:val="002442D7"/>
    <w:rsid w:val="002448C8"/>
    <w:rsid w:val="00244958"/>
    <w:rsid w:val="00244CD1"/>
    <w:rsid w:val="00244F57"/>
    <w:rsid w:val="0024538C"/>
    <w:rsid w:val="002459D1"/>
    <w:rsid w:val="00245C6A"/>
    <w:rsid w:val="00245E33"/>
    <w:rsid w:val="00245E51"/>
    <w:rsid w:val="002464B3"/>
    <w:rsid w:val="0024659E"/>
    <w:rsid w:val="00246628"/>
    <w:rsid w:val="00246955"/>
    <w:rsid w:val="00246B14"/>
    <w:rsid w:val="00246B61"/>
    <w:rsid w:val="00246C5E"/>
    <w:rsid w:val="002471FC"/>
    <w:rsid w:val="0024729F"/>
    <w:rsid w:val="00247574"/>
    <w:rsid w:val="002475E9"/>
    <w:rsid w:val="00247645"/>
    <w:rsid w:val="0024789A"/>
    <w:rsid w:val="00247A37"/>
    <w:rsid w:val="00247E95"/>
    <w:rsid w:val="002505C9"/>
    <w:rsid w:val="00250679"/>
    <w:rsid w:val="00250870"/>
    <w:rsid w:val="00250990"/>
    <w:rsid w:val="00251016"/>
    <w:rsid w:val="00251127"/>
    <w:rsid w:val="0025155B"/>
    <w:rsid w:val="002526CD"/>
    <w:rsid w:val="00252C51"/>
    <w:rsid w:val="00252F0D"/>
    <w:rsid w:val="002530C8"/>
    <w:rsid w:val="00253108"/>
    <w:rsid w:val="002531DD"/>
    <w:rsid w:val="00253505"/>
    <w:rsid w:val="0025386D"/>
    <w:rsid w:val="002539C7"/>
    <w:rsid w:val="002540A4"/>
    <w:rsid w:val="0025499B"/>
    <w:rsid w:val="00254A67"/>
    <w:rsid w:val="00254E09"/>
    <w:rsid w:val="00254F54"/>
    <w:rsid w:val="00254F5A"/>
    <w:rsid w:val="00254FFE"/>
    <w:rsid w:val="002553CD"/>
    <w:rsid w:val="002557F7"/>
    <w:rsid w:val="00256255"/>
    <w:rsid w:val="00256301"/>
    <w:rsid w:val="00256DCC"/>
    <w:rsid w:val="00256F10"/>
    <w:rsid w:val="0025701A"/>
    <w:rsid w:val="00257094"/>
    <w:rsid w:val="002570DE"/>
    <w:rsid w:val="00260046"/>
    <w:rsid w:val="002602C4"/>
    <w:rsid w:val="002605D2"/>
    <w:rsid w:val="00260616"/>
    <w:rsid w:val="00260DB3"/>
    <w:rsid w:val="00261075"/>
    <w:rsid w:val="00261465"/>
    <w:rsid w:val="0026194D"/>
    <w:rsid w:val="00261959"/>
    <w:rsid w:val="00261C4A"/>
    <w:rsid w:val="002626A9"/>
    <w:rsid w:val="00262885"/>
    <w:rsid w:val="00262DD3"/>
    <w:rsid w:val="00263A69"/>
    <w:rsid w:val="00263BE8"/>
    <w:rsid w:val="00263C3E"/>
    <w:rsid w:val="00263FEE"/>
    <w:rsid w:val="0026409B"/>
    <w:rsid w:val="0026412E"/>
    <w:rsid w:val="002642C6"/>
    <w:rsid w:val="0026462F"/>
    <w:rsid w:val="00264AD2"/>
    <w:rsid w:val="00264E71"/>
    <w:rsid w:val="00264F57"/>
    <w:rsid w:val="00264FAD"/>
    <w:rsid w:val="002655F8"/>
    <w:rsid w:val="00265AE6"/>
    <w:rsid w:val="00265DCE"/>
    <w:rsid w:val="00265F5F"/>
    <w:rsid w:val="002661B7"/>
    <w:rsid w:val="00266A8A"/>
    <w:rsid w:val="00266D08"/>
    <w:rsid w:val="00266DC3"/>
    <w:rsid w:val="002670A0"/>
    <w:rsid w:val="002672EC"/>
    <w:rsid w:val="0026740D"/>
    <w:rsid w:val="0026744C"/>
    <w:rsid w:val="002676DE"/>
    <w:rsid w:val="00267897"/>
    <w:rsid w:val="002679E3"/>
    <w:rsid w:val="00267D51"/>
    <w:rsid w:val="00267DDD"/>
    <w:rsid w:val="002702BE"/>
    <w:rsid w:val="002703E2"/>
    <w:rsid w:val="0027074A"/>
    <w:rsid w:val="00270CB6"/>
    <w:rsid w:val="00270E55"/>
    <w:rsid w:val="002710E4"/>
    <w:rsid w:val="0027128A"/>
    <w:rsid w:val="00271344"/>
    <w:rsid w:val="00271451"/>
    <w:rsid w:val="00271479"/>
    <w:rsid w:val="002716C4"/>
    <w:rsid w:val="002717DA"/>
    <w:rsid w:val="00271D72"/>
    <w:rsid w:val="00271E75"/>
    <w:rsid w:val="00271FED"/>
    <w:rsid w:val="00272412"/>
    <w:rsid w:val="002724CB"/>
    <w:rsid w:val="0027253F"/>
    <w:rsid w:val="00272999"/>
    <w:rsid w:val="00272BDC"/>
    <w:rsid w:val="00273390"/>
    <w:rsid w:val="0027355F"/>
    <w:rsid w:val="0027392F"/>
    <w:rsid w:val="00273BC5"/>
    <w:rsid w:val="00273C0A"/>
    <w:rsid w:val="00273EC2"/>
    <w:rsid w:val="00274039"/>
    <w:rsid w:val="00274561"/>
    <w:rsid w:val="0027471A"/>
    <w:rsid w:val="00274C06"/>
    <w:rsid w:val="00274F26"/>
    <w:rsid w:val="0027510F"/>
    <w:rsid w:val="002753BC"/>
    <w:rsid w:val="002754DB"/>
    <w:rsid w:val="00275627"/>
    <w:rsid w:val="00275718"/>
    <w:rsid w:val="0027580E"/>
    <w:rsid w:val="00275CCB"/>
    <w:rsid w:val="00275F6B"/>
    <w:rsid w:val="00275FDE"/>
    <w:rsid w:val="002767FE"/>
    <w:rsid w:val="00277127"/>
    <w:rsid w:val="0027754F"/>
    <w:rsid w:val="0027776B"/>
    <w:rsid w:val="00277D9F"/>
    <w:rsid w:val="00277F7A"/>
    <w:rsid w:val="00277FA9"/>
    <w:rsid w:val="00280F01"/>
    <w:rsid w:val="00281501"/>
    <w:rsid w:val="002817DD"/>
    <w:rsid w:val="00281991"/>
    <w:rsid w:val="00281CA8"/>
    <w:rsid w:val="00281E97"/>
    <w:rsid w:val="00281EC1"/>
    <w:rsid w:val="0028246B"/>
    <w:rsid w:val="00282589"/>
    <w:rsid w:val="002828A1"/>
    <w:rsid w:val="0028294F"/>
    <w:rsid w:val="00282BF3"/>
    <w:rsid w:val="00282C1E"/>
    <w:rsid w:val="00282DA8"/>
    <w:rsid w:val="00282F8D"/>
    <w:rsid w:val="00283169"/>
    <w:rsid w:val="002832A0"/>
    <w:rsid w:val="00283438"/>
    <w:rsid w:val="00283A35"/>
    <w:rsid w:val="00283E2E"/>
    <w:rsid w:val="00283F0A"/>
    <w:rsid w:val="002840E4"/>
    <w:rsid w:val="0028423F"/>
    <w:rsid w:val="002844B2"/>
    <w:rsid w:val="0028451A"/>
    <w:rsid w:val="00284993"/>
    <w:rsid w:val="00284AA1"/>
    <w:rsid w:val="00284B7B"/>
    <w:rsid w:val="00284F4D"/>
    <w:rsid w:val="0028500F"/>
    <w:rsid w:val="00285211"/>
    <w:rsid w:val="00285450"/>
    <w:rsid w:val="002857C2"/>
    <w:rsid w:val="00285860"/>
    <w:rsid w:val="00285A42"/>
    <w:rsid w:val="0028661B"/>
    <w:rsid w:val="00286ABD"/>
    <w:rsid w:val="00286DD8"/>
    <w:rsid w:val="00286F50"/>
    <w:rsid w:val="002879F7"/>
    <w:rsid w:val="00287A39"/>
    <w:rsid w:val="00287F79"/>
    <w:rsid w:val="00287FB8"/>
    <w:rsid w:val="0029093D"/>
    <w:rsid w:val="00290A59"/>
    <w:rsid w:val="002911D9"/>
    <w:rsid w:val="00291298"/>
    <w:rsid w:val="002917B0"/>
    <w:rsid w:val="00292046"/>
    <w:rsid w:val="0029210C"/>
    <w:rsid w:val="00292280"/>
    <w:rsid w:val="00292392"/>
    <w:rsid w:val="002926FE"/>
    <w:rsid w:val="00292B05"/>
    <w:rsid w:val="00292B1C"/>
    <w:rsid w:val="00292BA7"/>
    <w:rsid w:val="00293424"/>
    <w:rsid w:val="00293970"/>
    <w:rsid w:val="00293A24"/>
    <w:rsid w:val="00293A78"/>
    <w:rsid w:val="00293BBE"/>
    <w:rsid w:val="0029404A"/>
    <w:rsid w:val="00294055"/>
    <w:rsid w:val="002949EB"/>
    <w:rsid w:val="00294CE7"/>
    <w:rsid w:val="00294D95"/>
    <w:rsid w:val="00295164"/>
    <w:rsid w:val="002954A2"/>
    <w:rsid w:val="002954B4"/>
    <w:rsid w:val="0029579D"/>
    <w:rsid w:val="00295C21"/>
    <w:rsid w:val="00296178"/>
    <w:rsid w:val="002962BF"/>
    <w:rsid w:val="00296563"/>
    <w:rsid w:val="00296617"/>
    <w:rsid w:val="00296794"/>
    <w:rsid w:val="00296A80"/>
    <w:rsid w:val="00296D99"/>
    <w:rsid w:val="00296F8F"/>
    <w:rsid w:val="002972E7"/>
    <w:rsid w:val="00297490"/>
    <w:rsid w:val="0029749F"/>
    <w:rsid w:val="002975A4"/>
    <w:rsid w:val="00297CAA"/>
    <w:rsid w:val="00297D18"/>
    <w:rsid w:val="00297DBC"/>
    <w:rsid w:val="002A083B"/>
    <w:rsid w:val="002A09D6"/>
    <w:rsid w:val="002A142F"/>
    <w:rsid w:val="002A16C0"/>
    <w:rsid w:val="002A194D"/>
    <w:rsid w:val="002A2ADD"/>
    <w:rsid w:val="002A2C37"/>
    <w:rsid w:val="002A40E0"/>
    <w:rsid w:val="002A4133"/>
    <w:rsid w:val="002A41A3"/>
    <w:rsid w:val="002A4513"/>
    <w:rsid w:val="002A456A"/>
    <w:rsid w:val="002A459F"/>
    <w:rsid w:val="002A45B3"/>
    <w:rsid w:val="002A4717"/>
    <w:rsid w:val="002A48D6"/>
    <w:rsid w:val="002A4AE1"/>
    <w:rsid w:val="002A4BA4"/>
    <w:rsid w:val="002A4CE8"/>
    <w:rsid w:val="002A5282"/>
    <w:rsid w:val="002A528C"/>
    <w:rsid w:val="002A55DD"/>
    <w:rsid w:val="002A589A"/>
    <w:rsid w:val="002A5F43"/>
    <w:rsid w:val="002A63E9"/>
    <w:rsid w:val="002A69FC"/>
    <w:rsid w:val="002A6AA1"/>
    <w:rsid w:val="002A6C27"/>
    <w:rsid w:val="002A6D14"/>
    <w:rsid w:val="002A6F8B"/>
    <w:rsid w:val="002A7078"/>
    <w:rsid w:val="002A72D0"/>
    <w:rsid w:val="002A7705"/>
    <w:rsid w:val="002A7A64"/>
    <w:rsid w:val="002A7A79"/>
    <w:rsid w:val="002B0B61"/>
    <w:rsid w:val="002B0C2B"/>
    <w:rsid w:val="002B0E23"/>
    <w:rsid w:val="002B0F41"/>
    <w:rsid w:val="002B0FD7"/>
    <w:rsid w:val="002B1642"/>
    <w:rsid w:val="002B1EB5"/>
    <w:rsid w:val="002B218E"/>
    <w:rsid w:val="002B264C"/>
    <w:rsid w:val="002B2ED1"/>
    <w:rsid w:val="002B3152"/>
    <w:rsid w:val="002B321E"/>
    <w:rsid w:val="002B3384"/>
    <w:rsid w:val="002B35A4"/>
    <w:rsid w:val="002B361E"/>
    <w:rsid w:val="002B3656"/>
    <w:rsid w:val="002B3667"/>
    <w:rsid w:val="002B39DF"/>
    <w:rsid w:val="002B3D8D"/>
    <w:rsid w:val="002B3F6B"/>
    <w:rsid w:val="002B470F"/>
    <w:rsid w:val="002B4992"/>
    <w:rsid w:val="002B4CE4"/>
    <w:rsid w:val="002B50B1"/>
    <w:rsid w:val="002B53A7"/>
    <w:rsid w:val="002B57E1"/>
    <w:rsid w:val="002B5925"/>
    <w:rsid w:val="002B5ACA"/>
    <w:rsid w:val="002B5CF2"/>
    <w:rsid w:val="002B6304"/>
    <w:rsid w:val="002B6912"/>
    <w:rsid w:val="002B6AB1"/>
    <w:rsid w:val="002B6B9D"/>
    <w:rsid w:val="002B6BE6"/>
    <w:rsid w:val="002B6C3E"/>
    <w:rsid w:val="002B71C6"/>
    <w:rsid w:val="002B751F"/>
    <w:rsid w:val="002B772E"/>
    <w:rsid w:val="002B7B72"/>
    <w:rsid w:val="002C074F"/>
    <w:rsid w:val="002C0AF2"/>
    <w:rsid w:val="002C0D60"/>
    <w:rsid w:val="002C17E9"/>
    <w:rsid w:val="002C1E0E"/>
    <w:rsid w:val="002C2093"/>
    <w:rsid w:val="002C255D"/>
    <w:rsid w:val="002C25E8"/>
    <w:rsid w:val="002C275C"/>
    <w:rsid w:val="002C28D0"/>
    <w:rsid w:val="002C2F31"/>
    <w:rsid w:val="002C2F73"/>
    <w:rsid w:val="002C3570"/>
    <w:rsid w:val="002C3771"/>
    <w:rsid w:val="002C37E6"/>
    <w:rsid w:val="002C3BAC"/>
    <w:rsid w:val="002C3F52"/>
    <w:rsid w:val="002C43E7"/>
    <w:rsid w:val="002C443B"/>
    <w:rsid w:val="002C44FE"/>
    <w:rsid w:val="002C46DB"/>
    <w:rsid w:val="002C4918"/>
    <w:rsid w:val="002C4E63"/>
    <w:rsid w:val="002C4F18"/>
    <w:rsid w:val="002C4F86"/>
    <w:rsid w:val="002C52DA"/>
    <w:rsid w:val="002C547D"/>
    <w:rsid w:val="002C584E"/>
    <w:rsid w:val="002C5866"/>
    <w:rsid w:val="002C5E91"/>
    <w:rsid w:val="002C5F3D"/>
    <w:rsid w:val="002C5F46"/>
    <w:rsid w:val="002C63E4"/>
    <w:rsid w:val="002C69A0"/>
    <w:rsid w:val="002C76ED"/>
    <w:rsid w:val="002C79BD"/>
    <w:rsid w:val="002C7B9C"/>
    <w:rsid w:val="002D073F"/>
    <w:rsid w:val="002D0880"/>
    <w:rsid w:val="002D0A33"/>
    <w:rsid w:val="002D10D7"/>
    <w:rsid w:val="002D12ED"/>
    <w:rsid w:val="002D18AA"/>
    <w:rsid w:val="002D1BD5"/>
    <w:rsid w:val="002D1C99"/>
    <w:rsid w:val="002D2C91"/>
    <w:rsid w:val="002D382D"/>
    <w:rsid w:val="002D39EE"/>
    <w:rsid w:val="002D402A"/>
    <w:rsid w:val="002D4083"/>
    <w:rsid w:val="002D4A5F"/>
    <w:rsid w:val="002D4AEE"/>
    <w:rsid w:val="002D4C15"/>
    <w:rsid w:val="002D4EAE"/>
    <w:rsid w:val="002D54DD"/>
    <w:rsid w:val="002D5592"/>
    <w:rsid w:val="002D590B"/>
    <w:rsid w:val="002D59A8"/>
    <w:rsid w:val="002D5A32"/>
    <w:rsid w:val="002D5B51"/>
    <w:rsid w:val="002D5D0F"/>
    <w:rsid w:val="002D5D5F"/>
    <w:rsid w:val="002D5D83"/>
    <w:rsid w:val="002D5EAD"/>
    <w:rsid w:val="002D607F"/>
    <w:rsid w:val="002D60A0"/>
    <w:rsid w:val="002D60CB"/>
    <w:rsid w:val="002D6314"/>
    <w:rsid w:val="002D66A1"/>
    <w:rsid w:val="002D6764"/>
    <w:rsid w:val="002D6969"/>
    <w:rsid w:val="002D70FF"/>
    <w:rsid w:val="002D7531"/>
    <w:rsid w:val="002D7760"/>
    <w:rsid w:val="002D788A"/>
    <w:rsid w:val="002D7BE7"/>
    <w:rsid w:val="002D7D7D"/>
    <w:rsid w:val="002D7EC9"/>
    <w:rsid w:val="002D7F46"/>
    <w:rsid w:val="002E02E6"/>
    <w:rsid w:val="002E03CC"/>
    <w:rsid w:val="002E075C"/>
    <w:rsid w:val="002E076E"/>
    <w:rsid w:val="002E0A88"/>
    <w:rsid w:val="002E0C72"/>
    <w:rsid w:val="002E0E42"/>
    <w:rsid w:val="002E121E"/>
    <w:rsid w:val="002E13D3"/>
    <w:rsid w:val="002E1A43"/>
    <w:rsid w:val="002E1D24"/>
    <w:rsid w:val="002E1E47"/>
    <w:rsid w:val="002E212B"/>
    <w:rsid w:val="002E2440"/>
    <w:rsid w:val="002E2494"/>
    <w:rsid w:val="002E2629"/>
    <w:rsid w:val="002E2943"/>
    <w:rsid w:val="002E2AA8"/>
    <w:rsid w:val="002E2BC2"/>
    <w:rsid w:val="002E2C5B"/>
    <w:rsid w:val="002E317B"/>
    <w:rsid w:val="002E33EA"/>
    <w:rsid w:val="002E39F7"/>
    <w:rsid w:val="002E3E8C"/>
    <w:rsid w:val="002E419D"/>
    <w:rsid w:val="002E4303"/>
    <w:rsid w:val="002E45A4"/>
    <w:rsid w:val="002E4716"/>
    <w:rsid w:val="002E47EF"/>
    <w:rsid w:val="002E4833"/>
    <w:rsid w:val="002E4AB5"/>
    <w:rsid w:val="002E4D2C"/>
    <w:rsid w:val="002E4E02"/>
    <w:rsid w:val="002E4F67"/>
    <w:rsid w:val="002E529E"/>
    <w:rsid w:val="002E575B"/>
    <w:rsid w:val="002E5E8B"/>
    <w:rsid w:val="002E5FBF"/>
    <w:rsid w:val="002E6C78"/>
    <w:rsid w:val="002E72BC"/>
    <w:rsid w:val="002E7366"/>
    <w:rsid w:val="002E7392"/>
    <w:rsid w:val="002E76D9"/>
    <w:rsid w:val="002E7755"/>
    <w:rsid w:val="002E77B0"/>
    <w:rsid w:val="002E7AFF"/>
    <w:rsid w:val="002E7B62"/>
    <w:rsid w:val="002F06AF"/>
    <w:rsid w:val="002F0839"/>
    <w:rsid w:val="002F0A3F"/>
    <w:rsid w:val="002F0B43"/>
    <w:rsid w:val="002F0CD5"/>
    <w:rsid w:val="002F0E3B"/>
    <w:rsid w:val="002F0EA6"/>
    <w:rsid w:val="002F0EC5"/>
    <w:rsid w:val="002F133D"/>
    <w:rsid w:val="002F1408"/>
    <w:rsid w:val="002F1423"/>
    <w:rsid w:val="002F17C9"/>
    <w:rsid w:val="002F1988"/>
    <w:rsid w:val="002F1B06"/>
    <w:rsid w:val="002F1DE0"/>
    <w:rsid w:val="002F1FD7"/>
    <w:rsid w:val="002F2282"/>
    <w:rsid w:val="002F2319"/>
    <w:rsid w:val="002F298B"/>
    <w:rsid w:val="002F2C0E"/>
    <w:rsid w:val="002F2C61"/>
    <w:rsid w:val="002F2C65"/>
    <w:rsid w:val="002F397D"/>
    <w:rsid w:val="002F3E81"/>
    <w:rsid w:val="002F3EAA"/>
    <w:rsid w:val="002F4177"/>
    <w:rsid w:val="002F4960"/>
    <w:rsid w:val="002F4BAA"/>
    <w:rsid w:val="002F5548"/>
    <w:rsid w:val="002F5801"/>
    <w:rsid w:val="002F5F2A"/>
    <w:rsid w:val="002F6010"/>
    <w:rsid w:val="002F682C"/>
    <w:rsid w:val="002F6C55"/>
    <w:rsid w:val="002F6E93"/>
    <w:rsid w:val="002F70FF"/>
    <w:rsid w:val="002F748F"/>
    <w:rsid w:val="002F777B"/>
    <w:rsid w:val="002F7A79"/>
    <w:rsid w:val="002F7C35"/>
    <w:rsid w:val="003008A2"/>
    <w:rsid w:val="00300C9B"/>
    <w:rsid w:val="00300D3D"/>
    <w:rsid w:val="003017A7"/>
    <w:rsid w:val="003017E2"/>
    <w:rsid w:val="00301AB6"/>
    <w:rsid w:val="00301F17"/>
    <w:rsid w:val="00301F3F"/>
    <w:rsid w:val="0030201E"/>
    <w:rsid w:val="00302D4B"/>
    <w:rsid w:val="00302DE5"/>
    <w:rsid w:val="00303047"/>
    <w:rsid w:val="00303450"/>
    <w:rsid w:val="00303A86"/>
    <w:rsid w:val="00303ADF"/>
    <w:rsid w:val="00303CE1"/>
    <w:rsid w:val="00303CEE"/>
    <w:rsid w:val="003040DF"/>
    <w:rsid w:val="0030438A"/>
    <w:rsid w:val="003043EC"/>
    <w:rsid w:val="00304ABD"/>
    <w:rsid w:val="0030597A"/>
    <w:rsid w:val="00305C58"/>
    <w:rsid w:val="00305D7E"/>
    <w:rsid w:val="00305E58"/>
    <w:rsid w:val="00305E88"/>
    <w:rsid w:val="00305F0E"/>
    <w:rsid w:val="00306192"/>
    <w:rsid w:val="00306233"/>
    <w:rsid w:val="003062A3"/>
    <w:rsid w:val="00306403"/>
    <w:rsid w:val="0030698D"/>
    <w:rsid w:val="00306C6A"/>
    <w:rsid w:val="0030710C"/>
    <w:rsid w:val="003071A0"/>
    <w:rsid w:val="0030724F"/>
    <w:rsid w:val="00307829"/>
    <w:rsid w:val="00307DA3"/>
    <w:rsid w:val="00307FC7"/>
    <w:rsid w:val="003113EF"/>
    <w:rsid w:val="0031146C"/>
    <w:rsid w:val="00311958"/>
    <w:rsid w:val="00311966"/>
    <w:rsid w:val="00311970"/>
    <w:rsid w:val="00312571"/>
    <w:rsid w:val="0031257C"/>
    <w:rsid w:val="0031297F"/>
    <w:rsid w:val="003129D7"/>
    <w:rsid w:val="00312AE9"/>
    <w:rsid w:val="00312E60"/>
    <w:rsid w:val="0031328B"/>
    <w:rsid w:val="00313481"/>
    <w:rsid w:val="00313633"/>
    <w:rsid w:val="00313925"/>
    <w:rsid w:val="00313B1A"/>
    <w:rsid w:val="00313C72"/>
    <w:rsid w:val="00313CB5"/>
    <w:rsid w:val="00313D7D"/>
    <w:rsid w:val="00313D7F"/>
    <w:rsid w:val="00313DCC"/>
    <w:rsid w:val="00314071"/>
    <w:rsid w:val="003141C8"/>
    <w:rsid w:val="00314238"/>
    <w:rsid w:val="00314500"/>
    <w:rsid w:val="00314C1B"/>
    <w:rsid w:val="003150E8"/>
    <w:rsid w:val="003152CB"/>
    <w:rsid w:val="003152DF"/>
    <w:rsid w:val="003152FA"/>
    <w:rsid w:val="0031561F"/>
    <w:rsid w:val="0031574E"/>
    <w:rsid w:val="00315826"/>
    <w:rsid w:val="00315965"/>
    <w:rsid w:val="00315C4D"/>
    <w:rsid w:val="00315E99"/>
    <w:rsid w:val="00315F2B"/>
    <w:rsid w:val="00315FB5"/>
    <w:rsid w:val="00315FE5"/>
    <w:rsid w:val="00316660"/>
    <w:rsid w:val="00316905"/>
    <w:rsid w:val="00316AF2"/>
    <w:rsid w:val="00316BE0"/>
    <w:rsid w:val="00316E0A"/>
    <w:rsid w:val="00316E5A"/>
    <w:rsid w:val="00316E7B"/>
    <w:rsid w:val="00316FDB"/>
    <w:rsid w:val="003172C9"/>
    <w:rsid w:val="0031734C"/>
    <w:rsid w:val="00320174"/>
    <w:rsid w:val="00320216"/>
    <w:rsid w:val="00320359"/>
    <w:rsid w:val="0032066F"/>
    <w:rsid w:val="00320681"/>
    <w:rsid w:val="00320786"/>
    <w:rsid w:val="00320A10"/>
    <w:rsid w:val="00320E10"/>
    <w:rsid w:val="00320FBC"/>
    <w:rsid w:val="0032106E"/>
    <w:rsid w:val="003219DE"/>
    <w:rsid w:val="00321E13"/>
    <w:rsid w:val="00321FB5"/>
    <w:rsid w:val="0032229B"/>
    <w:rsid w:val="003222B0"/>
    <w:rsid w:val="003223C4"/>
    <w:rsid w:val="00322BC7"/>
    <w:rsid w:val="00322D71"/>
    <w:rsid w:val="0032301A"/>
    <w:rsid w:val="0032312A"/>
    <w:rsid w:val="003232B7"/>
    <w:rsid w:val="003234E4"/>
    <w:rsid w:val="0032371F"/>
    <w:rsid w:val="003238E8"/>
    <w:rsid w:val="00323B2B"/>
    <w:rsid w:val="00323C1D"/>
    <w:rsid w:val="00324199"/>
    <w:rsid w:val="003241DD"/>
    <w:rsid w:val="0032445F"/>
    <w:rsid w:val="00324686"/>
    <w:rsid w:val="003247D0"/>
    <w:rsid w:val="00324815"/>
    <w:rsid w:val="0032539D"/>
    <w:rsid w:val="00325594"/>
    <w:rsid w:val="0032590F"/>
    <w:rsid w:val="00325A7C"/>
    <w:rsid w:val="00325A9C"/>
    <w:rsid w:val="00326107"/>
    <w:rsid w:val="003265C7"/>
    <w:rsid w:val="00326AB7"/>
    <w:rsid w:val="00327153"/>
    <w:rsid w:val="0032729E"/>
    <w:rsid w:val="00327471"/>
    <w:rsid w:val="003276C0"/>
    <w:rsid w:val="00327A1F"/>
    <w:rsid w:val="00327CD5"/>
    <w:rsid w:val="0033016A"/>
    <w:rsid w:val="00330193"/>
    <w:rsid w:val="00330431"/>
    <w:rsid w:val="00330FE0"/>
    <w:rsid w:val="00331099"/>
    <w:rsid w:val="003313BB"/>
    <w:rsid w:val="0033143C"/>
    <w:rsid w:val="003314B7"/>
    <w:rsid w:val="0033154E"/>
    <w:rsid w:val="00331644"/>
    <w:rsid w:val="00331BF7"/>
    <w:rsid w:val="00331D3A"/>
    <w:rsid w:val="0033204E"/>
    <w:rsid w:val="003321B7"/>
    <w:rsid w:val="00332267"/>
    <w:rsid w:val="00332B94"/>
    <w:rsid w:val="003330EA"/>
    <w:rsid w:val="00333535"/>
    <w:rsid w:val="00333828"/>
    <w:rsid w:val="00333D54"/>
    <w:rsid w:val="00333E0A"/>
    <w:rsid w:val="00334052"/>
    <w:rsid w:val="003342BD"/>
    <w:rsid w:val="00334308"/>
    <w:rsid w:val="0033444D"/>
    <w:rsid w:val="0033448D"/>
    <w:rsid w:val="00334621"/>
    <w:rsid w:val="00334A92"/>
    <w:rsid w:val="0033532B"/>
    <w:rsid w:val="003354BE"/>
    <w:rsid w:val="00335741"/>
    <w:rsid w:val="003358C2"/>
    <w:rsid w:val="00335CED"/>
    <w:rsid w:val="00335FFC"/>
    <w:rsid w:val="00336120"/>
    <w:rsid w:val="00336590"/>
    <w:rsid w:val="00336A2C"/>
    <w:rsid w:val="00336B02"/>
    <w:rsid w:val="00337B0B"/>
    <w:rsid w:val="00340010"/>
    <w:rsid w:val="00340248"/>
    <w:rsid w:val="003404EF"/>
    <w:rsid w:val="003406C7"/>
    <w:rsid w:val="003406D0"/>
    <w:rsid w:val="0034070A"/>
    <w:rsid w:val="00340A37"/>
    <w:rsid w:val="00340BBB"/>
    <w:rsid w:val="00340D97"/>
    <w:rsid w:val="003410BA"/>
    <w:rsid w:val="00341994"/>
    <w:rsid w:val="00341AA6"/>
    <w:rsid w:val="00342049"/>
    <w:rsid w:val="003421B3"/>
    <w:rsid w:val="003421B9"/>
    <w:rsid w:val="003423E0"/>
    <w:rsid w:val="003429DC"/>
    <w:rsid w:val="00342B17"/>
    <w:rsid w:val="00343025"/>
    <w:rsid w:val="003432CE"/>
    <w:rsid w:val="0034333C"/>
    <w:rsid w:val="003434DA"/>
    <w:rsid w:val="00343AC5"/>
    <w:rsid w:val="00343EC6"/>
    <w:rsid w:val="00343ECB"/>
    <w:rsid w:val="00344257"/>
    <w:rsid w:val="003442E5"/>
    <w:rsid w:val="003448B0"/>
    <w:rsid w:val="00344F7C"/>
    <w:rsid w:val="00344FFC"/>
    <w:rsid w:val="003450A8"/>
    <w:rsid w:val="00345260"/>
    <w:rsid w:val="0034527D"/>
    <w:rsid w:val="003455B0"/>
    <w:rsid w:val="003458CF"/>
    <w:rsid w:val="00345A45"/>
    <w:rsid w:val="00345BE2"/>
    <w:rsid w:val="00345E97"/>
    <w:rsid w:val="00345F41"/>
    <w:rsid w:val="00346267"/>
    <w:rsid w:val="00346350"/>
    <w:rsid w:val="0034686B"/>
    <w:rsid w:val="003468F6"/>
    <w:rsid w:val="003469C0"/>
    <w:rsid w:val="00346A3B"/>
    <w:rsid w:val="00346EEF"/>
    <w:rsid w:val="00346FB2"/>
    <w:rsid w:val="00347071"/>
    <w:rsid w:val="003470BA"/>
    <w:rsid w:val="0034722C"/>
    <w:rsid w:val="00347A89"/>
    <w:rsid w:val="00347A8E"/>
    <w:rsid w:val="00347C28"/>
    <w:rsid w:val="00347E82"/>
    <w:rsid w:val="00347F33"/>
    <w:rsid w:val="00350052"/>
    <w:rsid w:val="003500FD"/>
    <w:rsid w:val="003501EF"/>
    <w:rsid w:val="003502AC"/>
    <w:rsid w:val="003502C1"/>
    <w:rsid w:val="00350414"/>
    <w:rsid w:val="00350552"/>
    <w:rsid w:val="00350700"/>
    <w:rsid w:val="00350735"/>
    <w:rsid w:val="00350833"/>
    <w:rsid w:val="00351119"/>
    <w:rsid w:val="00351142"/>
    <w:rsid w:val="0035121D"/>
    <w:rsid w:val="003515CC"/>
    <w:rsid w:val="00351AE7"/>
    <w:rsid w:val="00351B8D"/>
    <w:rsid w:val="00351BFB"/>
    <w:rsid w:val="00351CE9"/>
    <w:rsid w:val="00351E9F"/>
    <w:rsid w:val="00351F85"/>
    <w:rsid w:val="00352235"/>
    <w:rsid w:val="003523F0"/>
    <w:rsid w:val="003525F7"/>
    <w:rsid w:val="0035267A"/>
    <w:rsid w:val="00352990"/>
    <w:rsid w:val="00352CB9"/>
    <w:rsid w:val="00352D2B"/>
    <w:rsid w:val="00352D90"/>
    <w:rsid w:val="0035305B"/>
    <w:rsid w:val="00353368"/>
    <w:rsid w:val="003538A8"/>
    <w:rsid w:val="00353C3D"/>
    <w:rsid w:val="00354392"/>
    <w:rsid w:val="003544FB"/>
    <w:rsid w:val="003546B2"/>
    <w:rsid w:val="003546E9"/>
    <w:rsid w:val="00354BAF"/>
    <w:rsid w:val="00354DC4"/>
    <w:rsid w:val="003553E0"/>
    <w:rsid w:val="00355760"/>
    <w:rsid w:val="00355819"/>
    <w:rsid w:val="00355C61"/>
    <w:rsid w:val="00355C63"/>
    <w:rsid w:val="00355CA8"/>
    <w:rsid w:val="00355E94"/>
    <w:rsid w:val="0035602B"/>
    <w:rsid w:val="0035648C"/>
    <w:rsid w:val="00356B37"/>
    <w:rsid w:val="00356B4E"/>
    <w:rsid w:val="00356B8B"/>
    <w:rsid w:val="00356B98"/>
    <w:rsid w:val="00357089"/>
    <w:rsid w:val="003571CA"/>
    <w:rsid w:val="00357498"/>
    <w:rsid w:val="0035769F"/>
    <w:rsid w:val="003579E8"/>
    <w:rsid w:val="0036066E"/>
    <w:rsid w:val="003606BC"/>
    <w:rsid w:val="00360836"/>
    <w:rsid w:val="00360995"/>
    <w:rsid w:val="00360AEA"/>
    <w:rsid w:val="00361026"/>
    <w:rsid w:val="00361244"/>
    <w:rsid w:val="00361412"/>
    <w:rsid w:val="003614E3"/>
    <w:rsid w:val="003615B4"/>
    <w:rsid w:val="003617D5"/>
    <w:rsid w:val="00361938"/>
    <w:rsid w:val="00361BF8"/>
    <w:rsid w:val="00362097"/>
    <w:rsid w:val="0036224D"/>
    <w:rsid w:val="0036282F"/>
    <w:rsid w:val="00362BFF"/>
    <w:rsid w:val="00362E7F"/>
    <w:rsid w:val="00362EBD"/>
    <w:rsid w:val="00362F7A"/>
    <w:rsid w:val="00362FC3"/>
    <w:rsid w:val="00363347"/>
    <w:rsid w:val="003635BE"/>
    <w:rsid w:val="00363D6A"/>
    <w:rsid w:val="00364037"/>
    <w:rsid w:val="003643EC"/>
    <w:rsid w:val="00364AF4"/>
    <w:rsid w:val="00364D24"/>
    <w:rsid w:val="00364E29"/>
    <w:rsid w:val="00364EA2"/>
    <w:rsid w:val="0036508E"/>
    <w:rsid w:val="003652ED"/>
    <w:rsid w:val="0036536F"/>
    <w:rsid w:val="003654A0"/>
    <w:rsid w:val="00365557"/>
    <w:rsid w:val="00365606"/>
    <w:rsid w:val="0036581A"/>
    <w:rsid w:val="00365929"/>
    <w:rsid w:val="00365A23"/>
    <w:rsid w:val="00365B14"/>
    <w:rsid w:val="003666F2"/>
    <w:rsid w:val="003677E2"/>
    <w:rsid w:val="00367DBD"/>
    <w:rsid w:val="00367F56"/>
    <w:rsid w:val="00370507"/>
    <w:rsid w:val="00370922"/>
    <w:rsid w:val="00370AB3"/>
    <w:rsid w:val="00370AC1"/>
    <w:rsid w:val="00370B3B"/>
    <w:rsid w:val="00370B77"/>
    <w:rsid w:val="0037162D"/>
    <w:rsid w:val="00371765"/>
    <w:rsid w:val="00371F9C"/>
    <w:rsid w:val="003723B7"/>
    <w:rsid w:val="003726E4"/>
    <w:rsid w:val="00373211"/>
    <w:rsid w:val="0037330A"/>
    <w:rsid w:val="00373447"/>
    <w:rsid w:val="00373461"/>
    <w:rsid w:val="0037356E"/>
    <w:rsid w:val="003738AC"/>
    <w:rsid w:val="00373C10"/>
    <w:rsid w:val="00374095"/>
    <w:rsid w:val="003745A4"/>
    <w:rsid w:val="003747D3"/>
    <w:rsid w:val="00374959"/>
    <w:rsid w:val="0037496E"/>
    <w:rsid w:val="00374FA8"/>
    <w:rsid w:val="003751D3"/>
    <w:rsid w:val="00375840"/>
    <w:rsid w:val="00375A62"/>
    <w:rsid w:val="00375C49"/>
    <w:rsid w:val="00375DC7"/>
    <w:rsid w:val="00375EE9"/>
    <w:rsid w:val="00376291"/>
    <w:rsid w:val="003764F6"/>
    <w:rsid w:val="00376712"/>
    <w:rsid w:val="00376A71"/>
    <w:rsid w:val="00376CBC"/>
    <w:rsid w:val="00376F26"/>
    <w:rsid w:val="0037718B"/>
    <w:rsid w:val="0037744C"/>
    <w:rsid w:val="00377791"/>
    <w:rsid w:val="00377AB9"/>
    <w:rsid w:val="00377F60"/>
    <w:rsid w:val="00380086"/>
    <w:rsid w:val="003803C0"/>
    <w:rsid w:val="00380BDB"/>
    <w:rsid w:val="00380CA6"/>
    <w:rsid w:val="00380D5D"/>
    <w:rsid w:val="00380E40"/>
    <w:rsid w:val="003810B5"/>
    <w:rsid w:val="003813B6"/>
    <w:rsid w:val="003814A0"/>
    <w:rsid w:val="00381938"/>
    <w:rsid w:val="00381BDB"/>
    <w:rsid w:val="00381F84"/>
    <w:rsid w:val="0038210D"/>
    <w:rsid w:val="00382637"/>
    <w:rsid w:val="00382BA2"/>
    <w:rsid w:val="00382D38"/>
    <w:rsid w:val="00382DD8"/>
    <w:rsid w:val="003832C4"/>
    <w:rsid w:val="00383868"/>
    <w:rsid w:val="00383C5C"/>
    <w:rsid w:val="00383CC8"/>
    <w:rsid w:val="00383D62"/>
    <w:rsid w:val="00383E0B"/>
    <w:rsid w:val="00383EE2"/>
    <w:rsid w:val="00384005"/>
    <w:rsid w:val="00384253"/>
    <w:rsid w:val="0038462F"/>
    <w:rsid w:val="003846B1"/>
    <w:rsid w:val="00384B79"/>
    <w:rsid w:val="00384CB3"/>
    <w:rsid w:val="003851D0"/>
    <w:rsid w:val="0038559A"/>
    <w:rsid w:val="0038579D"/>
    <w:rsid w:val="0038593C"/>
    <w:rsid w:val="00385A65"/>
    <w:rsid w:val="00385E5B"/>
    <w:rsid w:val="00385FF9"/>
    <w:rsid w:val="0038618A"/>
    <w:rsid w:val="00386292"/>
    <w:rsid w:val="00386738"/>
    <w:rsid w:val="00386AC8"/>
    <w:rsid w:val="00386BD5"/>
    <w:rsid w:val="00386BD9"/>
    <w:rsid w:val="00387079"/>
    <w:rsid w:val="0038750A"/>
    <w:rsid w:val="00387614"/>
    <w:rsid w:val="0038790B"/>
    <w:rsid w:val="003902E8"/>
    <w:rsid w:val="0039088D"/>
    <w:rsid w:val="00390C16"/>
    <w:rsid w:val="00390E9C"/>
    <w:rsid w:val="00391015"/>
    <w:rsid w:val="003911FE"/>
    <w:rsid w:val="0039166E"/>
    <w:rsid w:val="0039183C"/>
    <w:rsid w:val="00391BD9"/>
    <w:rsid w:val="00391E35"/>
    <w:rsid w:val="003921BE"/>
    <w:rsid w:val="00392577"/>
    <w:rsid w:val="00392741"/>
    <w:rsid w:val="003927F9"/>
    <w:rsid w:val="00392843"/>
    <w:rsid w:val="00392A72"/>
    <w:rsid w:val="00392FDC"/>
    <w:rsid w:val="003933FB"/>
    <w:rsid w:val="003939D2"/>
    <w:rsid w:val="00393AEE"/>
    <w:rsid w:val="003942CB"/>
    <w:rsid w:val="0039472E"/>
    <w:rsid w:val="003947CB"/>
    <w:rsid w:val="0039493F"/>
    <w:rsid w:val="00394D0D"/>
    <w:rsid w:val="00394F40"/>
    <w:rsid w:val="0039516E"/>
    <w:rsid w:val="0039516F"/>
    <w:rsid w:val="0039546C"/>
    <w:rsid w:val="00395559"/>
    <w:rsid w:val="003958B2"/>
    <w:rsid w:val="00396802"/>
    <w:rsid w:val="0039684C"/>
    <w:rsid w:val="003968E8"/>
    <w:rsid w:val="003969C8"/>
    <w:rsid w:val="00397109"/>
    <w:rsid w:val="00397C74"/>
    <w:rsid w:val="00397DCD"/>
    <w:rsid w:val="003A0050"/>
    <w:rsid w:val="003A0233"/>
    <w:rsid w:val="003A0BFE"/>
    <w:rsid w:val="003A0D8B"/>
    <w:rsid w:val="003A0FC3"/>
    <w:rsid w:val="003A12B0"/>
    <w:rsid w:val="003A1488"/>
    <w:rsid w:val="003A1550"/>
    <w:rsid w:val="003A171B"/>
    <w:rsid w:val="003A1BB5"/>
    <w:rsid w:val="003A2038"/>
    <w:rsid w:val="003A2059"/>
    <w:rsid w:val="003A21E6"/>
    <w:rsid w:val="003A2516"/>
    <w:rsid w:val="003A273C"/>
    <w:rsid w:val="003A2802"/>
    <w:rsid w:val="003A2A76"/>
    <w:rsid w:val="003A2B71"/>
    <w:rsid w:val="003A31CA"/>
    <w:rsid w:val="003A32BC"/>
    <w:rsid w:val="003A33D3"/>
    <w:rsid w:val="003A3706"/>
    <w:rsid w:val="003A3801"/>
    <w:rsid w:val="003A389B"/>
    <w:rsid w:val="003A3A79"/>
    <w:rsid w:val="003A455D"/>
    <w:rsid w:val="003A48F9"/>
    <w:rsid w:val="003A4AAA"/>
    <w:rsid w:val="003A4CC3"/>
    <w:rsid w:val="003A4E2F"/>
    <w:rsid w:val="003A4E49"/>
    <w:rsid w:val="003A5368"/>
    <w:rsid w:val="003A56E0"/>
    <w:rsid w:val="003A57D5"/>
    <w:rsid w:val="003A5B8A"/>
    <w:rsid w:val="003A5C83"/>
    <w:rsid w:val="003A5DCA"/>
    <w:rsid w:val="003A5E7F"/>
    <w:rsid w:val="003A5EC6"/>
    <w:rsid w:val="003A5F5D"/>
    <w:rsid w:val="003A5F7B"/>
    <w:rsid w:val="003A6321"/>
    <w:rsid w:val="003A6488"/>
    <w:rsid w:val="003A6572"/>
    <w:rsid w:val="003A6602"/>
    <w:rsid w:val="003A6695"/>
    <w:rsid w:val="003A6D40"/>
    <w:rsid w:val="003A6ED7"/>
    <w:rsid w:val="003A7188"/>
    <w:rsid w:val="003A7725"/>
    <w:rsid w:val="003A7C32"/>
    <w:rsid w:val="003A7F08"/>
    <w:rsid w:val="003B014B"/>
    <w:rsid w:val="003B047C"/>
    <w:rsid w:val="003B06F4"/>
    <w:rsid w:val="003B0A08"/>
    <w:rsid w:val="003B0A09"/>
    <w:rsid w:val="003B0CAE"/>
    <w:rsid w:val="003B0D9C"/>
    <w:rsid w:val="003B0FEB"/>
    <w:rsid w:val="003B11D6"/>
    <w:rsid w:val="003B126C"/>
    <w:rsid w:val="003B12B3"/>
    <w:rsid w:val="003B140E"/>
    <w:rsid w:val="003B1624"/>
    <w:rsid w:val="003B1997"/>
    <w:rsid w:val="003B1B37"/>
    <w:rsid w:val="003B1E91"/>
    <w:rsid w:val="003B232D"/>
    <w:rsid w:val="003B239B"/>
    <w:rsid w:val="003B23AF"/>
    <w:rsid w:val="003B23C5"/>
    <w:rsid w:val="003B24FA"/>
    <w:rsid w:val="003B2B69"/>
    <w:rsid w:val="003B2C28"/>
    <w:rsid w:val="003B2CBE"/>
    <w:rsid w:val="003B32D1"/>
    <w:rsid w:val="003B38C2"/>
    <w:rsid w:val="003B4086"/>
    <w:rsid w:val="003B447A"/>
    <w:rsid w:val="003B484A"/>
    <w:rsid w:val="003B535E"/>
    <w:rsid w:val="003B5373"/>
    <w:rsid w:val="003B5514"/>
    <w:rsid w:val="003B569F"/>
    <w:rsid w:val="003B56F7"/>
    <w:rsid w:val="003B57CE"/>
    <w:rsid w:val="003B60D9"/>
    <w:rsid w:val="003B623E"/>
    <w:rsid w:val="003B628E"/>
    <w:rsid w:val="003B62B5"/>
    <w:rsid w:val="003B6C1E"/>
    <w:rsid w:val="003B6CD7"/>
    <w:rsid w:val="003B753D"/>
    <w:rsid w:val="003B75C5"/>
    <w:rsid w:val="003B7CB5"/>
    <w:rsid w:val="003B7CDA"/>
    <w:rsid w:val="003B7DC8"/>
    <w:rsid w:val="003B7F8C"/>
    <w:rsid w:val="003C0023"/>
    <w:rsid w:val="003C0414"/>
    <w:rsid w:val="003C04A8"/>
    <w:rsid w:val="003C09D8"/>
    <w:rsid w:val="003C0FA0"/>
    <w:rsid w:val="003C0FD5"/>
    <w:rsid w:val="003C126D"/>
    <w:rsid w:val="003C1527"/>
    <w:rsid w:val="003C1918"/>
    <w:rsid w:val="003C1DF9"/>
    <w:rsid w:val="003C22FB"/>
    <w:rsid w:val="003C2338"/>
    <w:rsid w:val="003C2653"/>
    <w:rsid w:val="003C287F"/>
    <w:rsid w:val="003C2914"/>
    <w:rsid w:val="003C35F2"/>
    <w:rsid w:val="003C3C07"/>
    <w:rsid w:val="003C3F0C"/>
    <w:rsid w:val="003C3F65"/>
    <w:rsid w:val="003C4149"/>
    <w:rsid w:val="003C4201"/>
    <w:rsid w:val="003C455A"/>
    <w:rsid w:val="003C45FE"/>
    <w:rsid w:val="003C469B"/>
    <w:rsid w:val="003C4AD3"/>
    <w:rsid w:val="003C4D82"/>
    <w:rsid w:val="003C5A78"/>
    <w:rsid w:val="003C5CDE"/>
    <w:rsid w:val="003C5CE1"/>
    <w:rsid w:val="003C5EB0"/>
    <w:rsid w:val="003C6155"/>
    <w:rsid w:val="003C6440"/>
    <w:rsid w:val="003C648C"/>
    <w:rsid w:val="003C657C"/>
    <w:rsid w:val="003C668D"/>
    <w:rsid w:val="003C66C3"/>
    <w:rsid w:val="003C672C"/>
    <w:rsid w:val="003C6810"/>
    <w:rsid w:val="003C6E81"/>
    <w:rsid w:val="003C6F51"/>
    <w:rsid w:val="003C74B3"/>
    <w:rsid w:val="003C765A"/>
    <w:rsid w:val="003C78F0"/>
    <w:rsid w:val="003C79B8"/>
    <w:rsid w:val="003C7DDE"/>
    <w:rsid w:val="003D0044"/>
    <w:rsid w:val="003D0086"/>
    <w:rsid w:val="003D00F5"/>
    <w:rsid w:val="003D03A6"/>
    <w:rsid w:val="003D05A2"/>
    <w:rsid w:val="003D08CF"/>
    <w:rsid w:val="003D0A98"/>
    <w:rsid w:val="003D0B8F"/>
    <w:rsid w:val="003D1171"/>
    <w:rsid w:val="003D1757"/>
    <w:rsid w:val="003D17E6"/>
    <w:rsid w:val="003D1BF0"/>
    <w:rsid w:val="003D1C2B"/>
    <w:rsid w:val="003D1EB4"/>
    <w:rsid w:val="003D20D5"/>
    <w:rsid w:val="003D2201"/>
    <w:rsid w:val="003D229D"/>
    <w:rsid w:val="003D22CF"/>
    <w:rsid w:val="003D2653"/>
    <w:rsid w:val="003D2D57"/>
    <w:rsid w:val="003D2E20"/>
    <w:rsid w:val="003D311F"/>
    <w:rsid w:val="003D336C"/>
    <w:rsid w:val="003D397A"/>
    <w:rsid w:val="003D4162"/>
    <w:rsid w:val="003D423F"/>
    <w:rsid w:val="003D441F"/>
    <w:rsid w:val="003D4686"/>
    <w:rsid w:val="003D46AD"/>
    <w:rsid w:val="003D4990"/>
    <w:rsid w:val="003D4DD8"/>
    <w:rsid w:val="003D50C3"/>
    <w:rsid w:val="003D5391"/>
    <w:rsid w:val="003D63CF"/>
    <w:rsid w:val="003D68B8"/>
    <w:rsid w:val="003D6A91"/>
    <w:rsid w:val="003D6E68"/>
    <w:rsid w:val="003D7AF1"/>
    <w:rsid w:val="003D7DA9"/>
    <w:rsid w:val="003E008A"/>
    <w:rsid w:val="003E0251"/>
    <w:rsid w:val="003E03EC"/>
    <w:rsid w:val="003E081E"/>
    <w:rsid w:val="003E08CB"/>
    <w:rsid w:val="003E0EDD"/>
    <w:rsid w:val="003E14F1"/>
    <w:rsid w:val="003E15F3"/>
    <w:rsid w:val="003E16C3"/>
    <w:rsid w:val="003E16DD"/>
    <w:rsid w:val="003E1C89"/>
    <w:rsid w:val="003E214C"/>
    <w:rsid w:val="003E2288"/>
    <w:rsid w:val="003E2441"/>
    <w:rsid w:val="003E2836"/>
    <w:rsid w:val="003E283A"/>
    <w:rsid w:val="003E29DC"/>
    <w:rsid w:val="003E29E5"/>
    <w:rsid w:val="003E2B96"/>
    <w:rsid w:val="003E2EBE"/>
    <w:rsid w:val="003E2F78"/>
    <w:rsid w:val="003E2FC5"/>
    <w:rsid w:val="003E31B4"/>
    <w:rsid w:val="003E3287"/>
    <w:rsid w:val="003E32EF"/>
    <w:rsid w:val="003E3A1C"/>
    <w:rsid w:val="003E3ABF"/>
    <w:rsid w:val="003E440B"/>
    <w:rsid w:val="003E47E0"/>
    <w:rsid w:val="003E4849"/>
    <w:rsid w:val="003E4BA0"/>
    <w:rsid w:val="003E4E67"/>
    <w:rsid w:val="003E526F"/>
    <w:rsid w:val="003E53FF"/>
    <w:rsid w:val="003E5655"/>
    <w:rsid w:val="003E5B2A"/>
    <w:rsid w:val="003E5E3D"/>
    <w:rsid w:val="003E60F2"/>
    <w:rsid w:val="003E66B9"/>
    <w:rsid w:val="003E6820"/>
    <w:rsid w:val="003E68FC"/>
    <w:rsid w:val="003E767B"/>
    <w:rsid w:val="003E782B"/>
    <w:rsid w:val="003E78E2"/>
    <w:rsid w:val="003E79C6"/>
    <w:rsid w:val="003E7CE7"/>
    <w:rsid w:val="003F0016"/>
    <w:rsid w:val="003F02C0"/>
    <w:rsid w:val="003F07EA"/>
    <w:rsid w:val="003F0F31"/>
    <w:rsid w:val="003F0F8B"/>
    <w:rsid w:val="003F14A7"/>
    <w:rsid w:val="003F1A37"/>
    <w:rsid w:val="003F1D92"/>
    <w:rsid w:val="003F1D9D"/>
    <w:rsid w:val="003F1DC1"/>
    <w:rsid w:val="003F1F6F"/>
    <w:rsid w:val="003F200C"/>
    <w:rsid w:val="003F2172"/>
    <w:rsid w:val="003F23F7"/>
    <w:rsid w:val="003F26CF"/>
    <w:rsid w:val="003F2AC9"/>
    <w:rsid w:val="003F2B68"/>
    <w:rsid w:val="003F2C4D"/>
    <w:rsid w:val="003F32DE"/>
    <w:rsid w:val="003F376E"/>
    <w:rsid w:val="003F3777"/>
    <w:rsid w:val="003F37E0"/>
    <w:rsid w:val="003F3E41"/>
    <w:rsid w:val="003F467A"/>
    <w:rsid w:val="003F46E8"/>
    <w:rsid w:val="003F4C29"/>
    <w:rsid w:val="003F4EF0"/>
    <w:rsid w:val="003F5400"/>
    <w:rsid w:val="003F5633"/>
    <w:rsid w:val="003F585A"/>
    <w:rsid w:val="003F60B0"/>
    <w:rsid w:val="003F6245"/>
    <w:rsid w:val="003F62F1"/>
    <w:rsid w:val="003F64BA"/>
    <w:rsid w:val="003F6675"/>
    <w:rsid w:val="003F680C"/>
    <w:rsid w:val="003F6C6D"/>
    <w:rsid w:val="003F7099"/>
    <w:rsid w:val="003F742F"/>
    <w:rsid w:val="003F74DE"/>
    <w:rsid w:val="003F7A28"/>
    <w:rsid w:val="003F7B57"/>
    <w:rsid w:val="003F7F5B"/>
    <w:rsid w:val="00400CE3"/>
    <w:rsid w:val="0040134E"/>
    <w:rsid w:val="004018F4"/>
    <w:rsid w:val="00401A1B"/>
    <w:rsid w:val="00401AA7"/>
    <w:rsid w:val="00401C34"/>
    <w:rsid w:val="00402691"/>
    <w:rsid w:val="004027BD"/>
    <w:rsid w:val="0040294C"/>
    <w:rsid w:val="00402959"/>
    <w:rsid w:val="004029AB"/>
    <w:rsid w:val="0040318E"/>
    <w:rsid w:val="004039F7"/>
    <w:rsid w:val="00403C20"/>
    <w:rsid w:val="00403CDA"/>
    <w:rsid w:val="0040421D"/>
    <w:rsid w:val="00404F4A"/>
    <w:rsid w:val="004050B0"/>
    <w:rsid w:val="00405438"/>
    <w:rsid w:val="0040594A"/>
    <w:rsid w:val="004059DA"/>
    <w:rsid w:val="00405B39"/>
    <w:rsid w:val="0040616F"/>
    <w:rsid w:val="0040629D"/>
    <w:rsid w:val="00406573"/>
    <w:rsid w:val="00406580"/>
    <w:rsid w:val="004065A7"/>
    <w:rsid w:val="004067B3"/>
    <w:rsid w:val="0040680D"/>
    <w:rsid w:val="00406ABD"/>
    <w:rsid w:val="00406CEA"/>
    <w:rsid w:val="00406CEF"/>
    <w:rsid w:val="00406D2B"/>
    <w:rsid w:val="00406E76"/>
    <w:rsid w:val="00407144"/>
    <w:rsid w:val="00407610"/>
    <w:rsid w:val="00407939"/>
    <w:rsid w:val="00407D73"/>
    <w:rsid w:val="00407F07"/>
    <w:rsid w:val="004101AA"/>
    <w:rsid w:val="00410397"/>
    <w:rsid w:val="004106A3"/>
    <w:rsid w:val="0041077D"/>
    <w:rsid w:val="00410785"/>
    <w:rsid w:val="00410840"/>
    <w:rsid w:val="00410F06"/>
    <w:rsid w:val="00411424"/>
    <w:rsid w:val="00411723"/>
    <w:rsid w:val="00411748"/>
    <w:rsid w:val="0041179D"/>
    <w:rsid w:val="00411D31"/>
    <w:rsid w:val="00412011"/>
    <w:rsid w:val="00412046"/>
    <w:rsid w:val="004126CB"/>
    <w:rsid w:val="004128BF"/>
    <w:rsid w:val="00412C10"/>
    <w:rsid w:val="00412CF8"/>
    <w:rsid w:val="0041327D"/>
    <w:rsid w:val="004133ED"/>
    <w:rsid w:val="00413517"/>
    <w:rsid w:val="0041355D"/>
    <w:rsid w:val="004136D0"/>
    <w:rsid w:val="00413D4F"/>
    <w:rsid w:val="004141F6"/>
    <w:rsid w:val="0041440B"/>
    <w:rsid w:val="0041454C"/>
    <w:rsid w:val="0041488E"/>
    <w:rsid w:val="004148B3"/>
    <w:rsid w:val="00414C58"/>
    <w:rsid w:val="00415036"/>
    <w:rsid w:val="00415257"/>
    <w:rsid w:val="004152B2"/>
    <w:rsid w:val="004168BE"/>
    <w:rsid w:val="00416C28"/>
    <w:rsid w:val="00417006"/>
    <w:rsid w:val="00417180"/>
    <w:rsid w:val="0041720C"/>
    <w:rsid w:val="00417C57"/>
    <w:rsid w:val="00417FDE"/>
    <w:rsid w:val="00420076"/>
    <w:rsid w:val="0042009F"/>
    <w:rsid w:val="004201E6"/>
    <w:rsid w:val="00420349"/>
    <w:rsid w:val="00420446"/>
    <w:rsid w:val="00420507"/>
    <w:rsid w:val="004207BB"/>
    <w:rsid w:val="00420909"/>
    <w:rsid w:val="00420C27"/>
    <w:rsid w:val="00421FE1"/>
    <w:rsid w:val="0042226F"/>
    <w:rsid w:val="004223C7"/>
    <w:rsid w:val="004224DE"/>
    <w:rsid w:val="0042291D"/>
    <w:rsid w:val="00422A85"/>
    <w:rsid w:val="00422C68"/>
    <w:rsid w:val="00422E56"/>
    <w:rsid w:val="0042307A"/>
    <w:rsid w:val="004230C0"/>
    <w:rsid w:val="0042375C"/>
    <w:rsid w:val="00423CB1"/>
    <w:rsid w:val="00423CF7"/>
    <w:rsid w:val="004246CD"/>
    <w:rsid w:val="0042495E"/>
    <w:rsid w:val="0042497A"/>
    <w:rsid w:val="00424AE9"/>
    <w:rsid w:val="00425250"/>
    <w:rsid w:val="004252C0"/>
    <w:rsid w:val="0042533D"/>
    <w:rsid w:val="004257C4"/>
    <w:rsid w:val="00425922"/>
    <w:rsid w:val="004259E4"/>
    <w:rsid w:val="00425A15"/>
    <w:rsid w:val="00425B72"/>
    <w:rsid w:val="004261EF"/>
    <w:rsid w:val="00426241"/>
    <w:rsid w:val="00426283"/>
    <w:rsid w:val="00426319"/>
    <w:rsid w:val="00426697"/>
    <w:rsid w:val="00426826"/>
    <w:rsid w:val="00426981"/>
    <w:rsid w:val="004273C0"/>
    <w:rsid w:val="004274E4"/>
    <w:rsid w:val="0042764D"/>
    <w:rsid w:val="004276D2"/>
    <w:rsid w:val="00427BBA"/>
    <w:rsid w:val="00430386"/>
    <w:rsid w:val="00430985"/>
    <w:rsid w:val="00430986"/>
    <w:rsid w:val="00430A69"/>
    <w:rsid w:val="00430AA2"/>
    <w:rsid w:val="00430CAD"/>
    <w:rsid w:val="0043102D"/>
    <w:rsid w:val="0043107F"/>
    <w:rsid w:val="004312F9"/>
    <w:rsid w:val="0043153A"/>
    <w:rsid w:val="00431788"/>
    <w:rsid w:val="0043179F"/>
    <w:rsid w:val="0043185F"/>
    <w:rsid w:val="00431918"/>
    <w:rsid w:val="00431F13"/>
    <w:rsid w:val="00432129"/>
    <w:rsid w:val="0043224E"/>
    <w:rsid w:val="0043243A"/>
    <w:rsid w:val="0043251C"/>
    <w:rsid w:val="004327FE"/>
    <w:rsid w:val="00432AC4"/>
    <w:rsid w:val="00432DC3"/>
    <w:rsid w:val="0043304E"/>
    <w:rsid w:val="004339D8"/>
    <w:rsid w:val="00433C9E"/>
    <w:rsid w:val="00433D91"/>
    <w:rsid w:val="004343D6"/>
    <w:rsid w:val="00434419"/>
    <w:rsid w:val="0043467C"/>
    <w:rsid w:val="004346BB"/>
    <w:rsid w:val="004347B3"/>
    <w:rsid w:val="00435653"/>
    <w:rsid w:val="00435A6B"/>
    <w:rsid w:val="00436A12"/>
    <w:rsid w:val="00436B46"/>
    <w:rsid w:val="00437435"/>
    <w:rsid w:val="004374F5"/>
    <w:rsid w:val="00437A0F"/>
    <w:rsid w:val="00437A45"/>
    <w:rsid w:val="00437BA6"/>
    <w:rsid w:val="00440004"/>
    <w:rsid w:val="004404F2"/>
    <w:rsid w:val="00440E7B"/>
    <w:rsid w:val="004413AC"/>
    <w:rsid w:val="00441994"/>
    <w:rsid w:val="0044199D"/>
    <w:rsid w:val="00441B75"/>
    <w:rsid w:val="00441CE9"/>
    <w:rsid w:val="00441D51"/>
    <w:rsid w:val="0044203C"/>
    <w:rsid w:val="00442437"/>
    <w:rsid w:val="004425B9"/>
    <w:rsid w:val="004425D5"/>
    <w:rsid w:val="0044274E"/>
    <w:rsid w:val="0044275D"/>
    <w:rsid w:val="00442A34"/>
    <w:rsid w:val="00442B15"/>
    <w:rsid w:val="00442B1B"/>
    <w:rsid w:val="00442D57"/>
    <w:rsid w:val="00442E85"/>
    <w:rsid w:val="00442F89"/>
    <w:rsid w:val="0044306E"/>
    <w:rsid w:val="0044334C"/>
    <w:rsid w:val="004435A1"/>
    <w:rsid w:val="00443662"/>
    <w:rsid w:val="004436BA"/>
    <w:rsid w:val="00444312"/>
    <w:rsid w:val="00444568"/>
    <w:rsid w:val="0044460E"/>
    <w:rsid w:val="0044468B"/>
    <w:rsid w:val="00444E8F"/>
    <w:rsid w:val="004452E2"/>
    <w:rsid w:val="004454EE"/>
    <w:rsid w:val="00445A10"/>
    <w:rsid w:val="00445CC5"/>
    <w:rsid w:val="00445CEC"/>
    <w:rsid w:val="00445DAF"/>
    <w:rsid w:val="00446325"/>
    <w:rsid w:val="0044634C"/>
    <w:rsid w:val="004466C9"/>
    <w:rsid w:val="004467C8"/>
    <w:rsid w:val="00446A14"/>
    <w:rsid w:val="00446FA8"/>
    <w:rsid w:val="00447083"/>
    <w:rsid w:val="004472D3"/>
    <w:rsid w:val="00447387"/>
    <w:rsid w:val="0044756E"/>
    <w:rsid w:val="00447670"/>
    <w:rsid w:val="004479BC"/>
    <w:rsid w:val="00447A0E"/>
    <w:rsid w:val="00447D42"/>
    <w:rsid w:val="00450196"/>
    <w:rsid w:val="00450AE8"/>
    <w:rsid w:val="00450BE2"/>
    <w:rsid w:val="00450DB7"/>
    <w:rsid w:val="00450F87"/>
    <w:rsid w:val="00451010"/>
    <w:rsid w:val="00451519"/>
    <w:rsid w:val="00451827"/>
    <w:rsid w:val="00451965"/>
    <w:rsid w:val="00451B16"/>
    <w:rsid w:val="00451CD1"/>
    <w:rsid w:val="00451E8F"/>
    <w:rsid w:val="00452464"/>
    <w:rsid w:val="00452ACE"/>
    <w:rsid w:val="004530C7"/>
    <w:rsid w:val="004531B7"/>
    <w:rsid w:val="00453382"/>
    <w:rsid w:val="004534EC"/>
    <w:rsid w:val="004535F9"/>
    <w:rsid w:val="00453686"/>
    <w:rsid w:val="00453785"/>
    <w:rsid w:val="00453943"/>
    <w:rsid w:val="004539B5"/>
    <w:rsid w:val="00453AB3"/>
    <w:rsid w:val="00453C7E"/>
    <w:rsid w:val="00454224"/>
    <w:rsid w:val="004550B1"/>
    <w:rsid w:val="004554F2"/>
    <w:rsid w:val="004555E5"/>
    <w:rsid w:val="00455A16"/>
    <w:rsid w:val="00455FC0"/>
    <w:rsid w:val="004563CA"/>
    <w:rsid w:val="00456C71"/>
    <w:rsid w:val="00456D23"/>
    <w:rsid w:val="00456DBE"/>
    <w:rsid w:val="004570CA"/>
    <w:rsid w:val="0045723E"/>
    <w:rsid w:val="00457816"/>
    <w:rsid w:val="004579D3"/>
    <w:rsid w:val="00457C3F"/>
    <w:rsid w:val="004601B9"/>
    <w:rsid w:val="0046045E"/>
    <w:rsid w:val="004608CF"/>
    <w:rsid w:val="00460C85"/>
    <w:rsid w:val="0046149D"/>
    <w:rsid w:val="0046157E"/>
    <w:rsid w:val="00461DB5"/>
    <w:rsid w:val="00461E3B"/>
    <w:rsid w:val="0046222A"/>
    <w:rsid w:val="004627FF"/>
    <w:rsid w:val="0046298F"/>
    <w:rsid w:val="00462B1A"/>
    <w:rsid w:val="00462B34"/>
    <w:rsid w:val="0046383E"/>
    <w:rsid w:val="004639AA"/>
    <w:rsid w:val="00463A17"/>
    <w:rsid w:val="004640F4"/>
    <w:rsid w:val="004644AD"/>
    <w:rsid w:val="004644F3"/>
    <w:rsid w:val="00464708"/>
    <w:rsid w:val="00464817"/>
    <w:rsid w:val="00464881"/>
    <w:rsid w:val="00464D52"/>
    <w:rsid w:val="004654A3"/>
    <w:rsid w:val="0046558A"/>
    <w:rsid w:val="00465869"/>
    <w:rsid w:val="00465F96"/>
    <w:rsid w:val="00466036"/>
    <w:rsid w:val="00466209"/>
    <w:rsid w:val="00466235"/>
    <w:rsid w:val="004662ED"/>
    <w:rsid w:val="00466734"/>
    <w:rsid w:val="0046676C"/>
    <w:rsid w:val="004667DE"/>
    <w:rsid w:val="00466812"/>
    <w:rsid w:val="00466898"/>
    <w:rsid w:val="00466909"/>
    <w:rsid w:val="00466C1D"/>
    <w:rsid w:val="00466C68"/>
    <w:rsid w:val="00466D1A"/>
    <w:rsid w:val="00466FA2"/>
    <w:rsid w:val="00467433"/>
    <w:rsid w:val="00467763"/>
    <w:rsid w:val="00467784"/>
    <w:rsid w:val="00467A88"/>
    <w:rsid w:val="0047004F"/>
    <w:rsid w:val="004701FB"/>
    <w:rsid w:val="004702D1"/>
    <w:rsid w:val="0047036C"/>
    <w:rsid w:val="00470853"/>
    <w:rsid w:val="00470A29"/>
    <w:rsid w:val="00470ADA"/>
    <w:rsid w:val="00470AEA"/>
    <w:rsid w:val="00470AEB"/>
    <w:rsid w:val="00470CC4"/>
    <w:rsid w:val="00470EC0"/>
    <w:rsid w:val="00470FF8"/>
    <w:rsid w:val="00471087"/>
    <w:rsid w:val="004711A6"/>
    <w:rsid w:val="00471342"/>
    <w:rsid w:val="00471600"/>
    <w:rsid w:val="00471881"/>
    <w:rsid w:val="00471A68"/>
    <w:rsid w:val="00471B41"/>
    <w:rsid w:val="00471FA5"/>
    <w:rsid w:val="004720C9"/>
    <w:rsid w:val="00472AF7"/>
    <w:rsid w:val="00472D9B"/>
    <w:rsid w:val="00472E7F"/>
    <w:rsid w:val="00472EDF"/>
    <w:rsid w:val="00473761"/>
    <w:rsid w:val="00473B78"/>
    <w:rsid w:val="00473DC0"/>
    <w:rsid w:val="004744C6"/>
    <w:rsid w:val="00474AC3"/>
    <w:rsid w:val="00474BA7"/>
    <w:rsid w:val="004753E6"/>
    <w:rsid w:val="00475558"/>
    <w:rsid w:val="00475CCE"/>
    <w:rsid w:val="00475E74"/>
    <w:rsid w:val="00476265"/>
    <w:rsid w:val="004762BA"/>
    <w:rsid w:val="004762CE"/>
    <w:rsid w:val="004763C7"/>
    <w:rsid w:val="00477020"/>
    <w:rsid w:val="004770FE"/>
    <w:rsid w:val="0048010F"/>
    <w:rsid w:val="00480389"/>
    <w:rsid w:val="004805F9"/>
    <w:rsid w:val="004809E0"/>
    <w:rsid w:val="00480BCA"/>
    <w:rsid w:val="00480D24"/>
    <w:rsid w:val="004810E1"/>
    <w:rsid w:val="00481981"/>
    <w:rsid w:val="00481A64"/>
    <w:rsid w:val="00481AE0"/>
    <w:rsid w:val="00481EFB"/>
    <w:rsid w:val="00482036"/>
    <w:rsid w:val="004825D9"/>
    <w:rsid w:val="00482F77"/>
    <w:rsid w:val="0048308A"/>
    <w:rsid w:val="004830D0"/>
    <w:rsid w:val="00483230"/>
    <w:rsid w:val="004832F2"/>
    <w:rsid w:val="00483308"/>
    <w:rsid w:val="00483501"/>
    <w:rsid w:val="004836D0"/>
    <w:rsid w:val="00483A59"/>
    <w:rsid w:val="00483B62"/>
    <w:rsid w:val="00483D18"/>
    <w:rsid w:val="00484481"/>
    <w:rsid w:val="00484B57"/>
    <w:rsid w:val="00484DFB"/>
    <w:rsid w:val="00484EAE"/>
    <w:rsid w:val="004853FB"/>
    <w:rsid w:val="004857CB"/>
    <w:rsid w:val="0048581C"/>
    <w:rsid w:val="00485AEC"/>
    <w:rsid w:val="00485D0F"/>
    <w:rsid w:val="00485E96"/>
    <w:rsid w:val="00486051"/>
    <w:rsid w:val="00486238"/>
    <w:rsid w:val="00486425"/>
    <w:rsid w:val="00486712"/>
    <w:rsid w:val="004867A0"/>
    <w:rsid w:val="0048685C"/>
    <w:rsid w:val="00486863"/>
    <w:rsid w:val="00486BEF"/>
    <w:rsid w:val="00486DE4"/>
    <w:rsid w:val="004871FD"/>
    <w:rsid w:val="004875D5"/>
    <w:rsid w:val="0048779D"/>
    <w:rsid w:val="004877CE"/>
    <w:rsid w:val="00487F8F"/>
    <w:rsid w:val="00487F96"/>
    <w:rsid w:val="00490050"/>
    <w:rsid w:val="00490261"/>
    <w:rsid w:val="0049044B"/>
    <w:rsid w:val="004904B9"/>
    <w:rsid w:val="0049064E"/>
    <w:rsid w:val="00490658"/>
    <w:rsid w:val="004906BE"/>
    <w:rsid w:val="00490BBB"/>
    <w:rsid w:val="00490C12"/>
    <w:rsid w:val="00490C1A"/>
    <w:rsid w:val="00490D65"/>
    <w:rsid w:val="00490DB8"/>
    <w:rsid w:val="00491203"/>
    <w:rsid w:val="004915AF"/>
    <w:rsid w:val="00491AD8"/>
    <w:rsid w:val="00491CB4"/>
    <w:rsid w:val="004922D9"/>
    <w:rsid w:val="00492460"/>
    <w:rsid w:val="00492A6E"/>
    <w:rsid w:val="00492AD2"/>
    <w:rsid w:val="00492BBD"/>
    <w:rsid w:val="00492E02"/>
    <w:rsid w:val="00492F99"/>
    <w:rsid w:val="004930E3"/>
    <w:rsid w:val="00493182"/>
    <w:rsid w:val="00493DFD"/>
    <w:rsid w:val="00493EA0"/>
    <w:rsid w:val="00494395"/>
    <w:rsid w:val="0049539C"/>
    <w:rsid w:val="004954B4"/>
    <w:rsid w:val="004957F7"/>
    <w:rsid w:val="00495B9D"/>
    <w:rsid w:val="00495C54"/>
    <w:rsid w:val="00495D26"/>
    <w:rsid w:val="00496305"/>
    <w:rsid w:val="004963EF"/>
    <w:rsid w:val="004968E5"/>
    <w:rsid w:val="00496902"/>
    <w:rsid w:val="00496DC6"/>
    <w:rsid w:val="0049704A"/>
    <w:rsid w:val="00497902"/>
    <w:rsid w:val="00497CF0"/>
    <w:rsid w:val="004A0011"/>
    <w:rsid w:val="004A038A"/>
    <w:rsid w:val="004A0FA2"/>
    <w:rsid w:val="004A15D2"/>
    <w:rsid w:val="004A16AC"/>
    <w:rsid w:val="004A1B00"/>
    <w:rsid w:val="004A1E27"/>
    <w:rsid w:val="004A1E58"/>
    <w:rsid w:val="004A212A"/>
    <w:rsid w:val="004A22C6"/>
    <w:rsid w:val="004A23B7"/>
    <w:rsid w:val="004A2853"/>
    <w:rsid w:val="004A2885"/>
    <w:rsid w:val="004A2A4C"/>
    <w:rsid w:val="004A2A50"/>
    <w:rsid w:val="004A2A77"/>
    <w:rsid w:val="004A2AD4"/>
    <w:rsid w:val="004A2B65"/>
    <w:rsid w:val="004A2C62"/>
    <w:rsid w:val="004A2D4A"/>
    <w:rsid w:val="004A3000"/>
    <w:rsid w:val="004A316E"/>
    <w:rsid w:val="004A34D9"/>
    <w:rsid w:val="004A3576"/>
    <w:rsid w:val="004A3A7D"/>
    <w:rsid w:val="004A3E1B"/>
    <w:rsid w:val="004A3F19"/>
    <w:rsid w:val="004A3FA4"/>
    <w:rsid w:val="004A3FF1"/>
    <w:rsid w:val="004A411F"/>
    <w:rsid w:val="004A4504"/>
    <w:rsid w:val="004A4533"/>
    <w:rsid w:val="004A4D8B"/>
    <w:rsid w:val="004A5092"/>
    <w:rsid w:val="004A534E"/>
    <w:rsid w:val="004A537B"/>
    <w:rsid w:val="004A53B4"/>
    <w:rsid w:val="004A5891"/>
    <w:rsid w:val="004A5A2C"/>
    <w:rsid w:val="004A5B7F"/>
    <w:rsid w:val="004A5EEF"/>
    <w:rsid w:val="004A5F65"/>
    <w:rsid w:val="004A62B1"/>
    <w:rsid w:val="004A639F"/>
    <w:rsid w:val="004A657E"/>
    <w:rsid w:val="004A6C5D"/>
    <w:rsid w:val="004A6F8B"/>
    <w:rsid w:val="004A70A4"/>
    <w:rsid w:val="004A73E8"/>
    <w:rsid w:val="004A744C"/>
    <w:rsid w:val="004A77C0"/>
    <w:rsid w:val="004A7A49"/>
    <w:rsid w:val="004A7C3A"/>
    <w:rsid w:val="004A7C6B"/>
    <w:rsid w:val="004B01F0"/>
    <w:rsid w:val="004B049C"/>
    <w:rsid w:val="004B0646"/>
    <w:rsid w:val="004B0867"/>
    <w:rsid w:val="004B0976"/>
    <w:rsid w:val="004B0A26"/>
    <w:rsid w:val="004B1346"/>
    <w:rsid w:val="004B1351"/>
    <w:rsid w:val="004B1975"/>
    <w:rsid w:val="004B1B4D"/>
    <w:rsid w:val="004B1FF2"/>
    <w:rsid w:val="004B21E2"/>
    <w:rsid w:val="004B23A6"/>
    <w:rsid w:val="004B23B5"/>
    <w:rsid w:val="004B26D1"/>
    <w:rsid w:val="004B2705"/>
    <w:rsid w:val="004B33D4"/>
    <w:rsid w:val="004B3804"/>
    <w:rsid w:val="004B3903"/>
    <w:rsid w:val="004B3904"/>
    <w:rsid w:val="004B3BA0"/>
    <w:rsid w:val="004B44C7"/>
    <w:rsid w:val="004B4A4B"/>
    <w:rsid w:val="004B4C05"/>
    <w:rsid w:val="004B5508"/>
    <w:rsid w:val="004B557B"/>
    <w:rsid w:val="004B56CF"/>
    <w:rsid w:val="004B5ABC"/>
    <w:rsid w:val="004B5E12"/>
    <w:rsid w:val="004B6195"/>
    <w:rsid w:val="004B6729"/>
    <w:rsid w:val="004B687A"/>
    <w:rsid w:val="004B6B7C"/>
    <w:rsid w:val="004B7902"/>
    <w:rsid w:val="004B79C9"/>
    <w:rsid w:val="004B7C6C"/>
    <w:rsid w:val="004C0890"/>
    <w:rsid w:val="004C0DE9"/>
    <w:rsid w:val="004C0E50"/>
    <w:rsid w:val="004C1673"/>
    <w:rsid w:val="004C1A9D"/>
    <w:rsid w:val="004C1D6D"/>
    <w:rsid w:val="004C2161"/>
    <w:rsid w:val="004C21D6"/>
    <w:rsid w:val="004C270A"/>
    <w:rsid w:val="004C2969"/>
    <w:rsid w:val="004C2ADD"/>
    <w:rsid w:val="004C2CD3"/>
    <w:rsid w:val="004C2D6B"/>
    <w:rsid w:val="004C2EFC"/>
    <w:rsid w:val="004C337D"/>
    <w:rsid w:val="004C33F6"/>
    <w:rsid w:val="004C3517"/>
    <w:rsid w:val="004C3AE2"/>
    <w:rsid w:val="004C3B7E"/>
    <w:rsid w:val="004C4084"/>
    <w:rsid w:val="004C40AB"/>
    <w:rsid w:val="004C42A4"/>
    <w:rsid w:val="004C4620"/>
    <w:rsid w:val="004C4DBF"/>
    <w:rsid w:val="004C4FEF"/>
    <w:rsid w:val="004C50BA"/>
    <w:rsid w:val="004C516E"/>
    <w:rsid w:val="004C5690"/>
    <w:rsid w:val="004C57DB"/>
    <w:rsid w:val="004C58E8"/>
    <w:rsid w:val="004C5B3C"/>
    <w:rsid w:val="004C5C2F"/>
    <w:rsid w:val="004C5CF4"/>
    <w:rsid w:val="004C5E4D"/>
    <w:rsid w:val="004C5F72"/>
    <w:rsid w:val="004C5FA8"/>
    <w:rsid w:val="004C5FAC"/>
    <w:rsid w:val="004C63AD"/>
    <w:rsid w:val="004C66C3"/>
    <w:rsid w:val="004C6A49"/>
    <w:rsid w:val="004C7BC3"/>
    <w:rsid w:val="004C7C77"/>
    <w:rsid w:val="004D02FB"/>
    <w:rsid w:val="004D031D"/>
    <w:rsid w:val="004D03AD"/>
    <w:rsid w:val="004D0573"/>
    <w:rsid w:val="004D05A4"/>
    <w:rsid w:val="004D07C4"/>
    <w:rsid w:val="004D082A"/>
    <w:rsid w:val="004D08C8"/>
    <w:rsid w:val="004D0D09"/>
    <w:rsid w:val="004D0FCD"/>
    <w:rsid w:val="004D0FD1"/>
    <w:rsid w:val="004D1568"/>
    <w:rsid w:val="004D1629"/>
    <w:rsid w:val="004D1737"/>
    <w:rsid w:val="004D1776"/>
    <w:rsid w:val="004D1A50"/>
    <w:rsid w:val="004D1FBE"/>
    <w:rsid w:val="004D1FE6"/>
    <w:rsid w:val="004D26FD"/>
    <w:rsid w:val="004D2823"/>
    <w:rsid w:val="004D28C6"/>
    <w:rsid w:val="004D2E8F"/>
    <w:rsid w:val="004D2F2F"/>
    <w:rsid w:val="004D367F"/>
    <w:rsid w:val="004D4393"/>
    <w:rsid w:val="004D4398"/>
    <w:rsid w:val="004D44CE"/>
    <w:rsid w:val="004D4704"/>
    <w:rsid w:val="004D4962"/>
    <w:rsid w:val="004D4AA0"/>
    <w:rsid w:val="004D4B4E"/>
    <w:rsid w:val="004D4DC0"/>
    <w:rsid w:val="004D4E3B"/>
    <w:rsid w:val="004D4F6B"/>
    <w:rsid w:val="004D5935"/>
    <w:rsid w:val="004D5F38"/>
    <w:rsid w:val="004D6350"/>
    <w:rsid w:val="004D6727"/>
    <w:rsid w:val="004D6A01"/>
    <w:rsid w:val="004D6B63"/>
    <w:rsid w:val="004D6C42"/>
    <w:rsid w:val="004D6EA9"/>
    <w:rsid w:val="004D6EBC"/>
    <w:rsid w:val="004D6EE1"/>
    <w:rsid w:val="004D6F0C"/>
    <w:rsid w:val="004D7170"/>
    <w:rsid w:val="004D78AC"/>
    <w:rsid w:val="004D79A6"/>
    <w:rsid w:val="004D7FF9"/>
    <w:rsid w:val="004E01BA"/>
    <w:rsid w:val="004E04A7"/>
    <w:rsid w:val="004E0547"/>
    <w:rsid w:val="004E0764"/>
    <w:rsid w:val="004E07BC"/>
    <w:rsid w:val="004E0E8D"/>
    <w:rsid w:val="004E0EA0"/>
    <w:rsid w:val="004E0EF4"/>
    <w:rsid w:val="004E17A6"/>
    <w:rsid w:val="004E1B5A"/>
    <w:rsid w:val="004E27A1"/>
    <w:rsid w:val="004E2B99"/>
    <w:rsid w:val="004E2BCD"/>
    <w:rsid w:val="004E2FAB"/>
    <w:rsid w:val="004E33DE"/>
    <w:rsid w:val="004E3B56"/>
    <w:rsid w:val="004E43CB"/>
    <w:rsid w:val="004E44E8"/>
    <w:rsid w:val="004E47CF"/>
    <w:rsid w:val="004E4893"/>
    <w:rsid w:val="004E48C6"/>
    <w:rsid w:val="004E505D"/>
    <w:rsid w:val="004E5159"/>
    <w:rsid w:val="004E572E"/>
    <w:rsid w:val="004E579D"/>
    <w:rsid w:val="004E5897"/>
    <w:rsid w:val="004E62C1"/>
    <w:rsid w:val="004E65CE"/>
    <w:rsid w:val="004E67BA"/>
    <w:rsid w:val="004E6825"/>
    <w:rsid w:val="004E702C"/>
    <w:rsid w:val="004E72CF"/>
    <w:rsid w:val="004E72F5"/>
    <w:rsid w:val="004E73C4"/>
    <w:rsid w:val="004E75DC"/>
    <w:rsid w:val="004E76A3"/>
    <w:rsid w:val="004E7D3A"/>
    <w:rsid w:val="004E7F29"/>
    <w:rsid w:val="004F00F1"/>
    <w:rsid w:val="004F0150"/>
    <w:rsid w:val="004F0160"/>
    <w:rsid w:val="004F03B5"/>
    <w:rsid w:val="004F0584"/>
    <w:rsid w:val="004F07C2"/>
    <w:rsid w:val="004F0D75"/>
    <w:rsid w:val="004F0F8A"/>
    <w:rsid w:val="004F11F6"/>
    <w:rsid w:val="004F1338"/>
    <w:rsid w:val="004F13D5"/>
    <w:rsid w:val="004F13FD"/>
    <w:rsid w:val="004F141F"/>
    <w:rsid w:val="004F1808"/>
    <w:rsid w:val="004F185B"/>
    <w:rsid w:val="004F1CA9"/>
    <w:rsid w:val="004F1E99"/>
    <w:rsid w:val="004F2429"/>
    <w:rsid w:val="004F24DD"/>
    <w:rsid w:val="004F297F"/>
    <w:rsid w:val="004F2C0F"/>
    <w:rsid w:val="004F2C6C"/>
    <w:rsid w:val="004F32D5"/>
    <w:rsid w:val="004F3543"/>
    <w:rsid w:val="004F3597"/>
    <w:rsid w:val="004F373E"/>
    <w:rsid w:val="004F39CF"/>
    <w:rsid w:val="004F3FE5"/>
    <w:rsid w:val="004F418F"/>
    <w:rsid w:val="004F42C7"/>
    <w:rsid w:val="004F4A0B"/>
    <w:rsid w:val="004F4EBF"/>
    <w:rsid w:val="004F4F86"/>
    <w:rsid w:val="004F560E"/>
    <w:rsid w:val="004F5732"/>
    <w:rsid w:val="004F5757"/>
    <w:rsid w:val="004F5865"/>
    <w:rsid w:val="004F58A8"/>
    <w:rsid w:val="004F5971"/>
    <w:rsid w:val="004F5B7C"/>
    <w:rsid w:val="004F5C2F"/>
    <w:rsid w:val="004F5DCE"/>
    <w:rsid w:val="004F5F2E"/>
    <w:rsid w:val="004F60AA"/>
    <w:rsid w:val="004F63F9"/>
    <w:rsid w:val="004F6EBF"/>
    <w:rsid w:val="004F6FCC"/>
    <w:rsid w:val="004F746A"/>
    <w:rsid w:val="004F761E"/>
    <w:rsid w:val="004F789A"/>
    <w:rsid w:val="004F7B02"/>
    <w:rsid w:val="004F7C5C"/>
    <w:rsid w:val="004F7DA6"/>
    <w:rsid w:val="004F7DC7"/>
    <w:rsid w:val="004F7E3A"/>
    <w:rsid w:val="005001F8"/>
    <w:rsid w:val="0050022D"/>
    <w:rsid w:val="0050028A"/>
    <w:rsid w:val="00500471"/>
    <w:rsid w:val="005006A6"/>
    <w:rsid w:val="00501552"/>
    <w:rsid w:val="00501791"/>
    <w:rsid w:val="00501A76"/>
    <w:rsid w:val="00502098"/>
    <w:rsid w:val="005021A3"/>
    <w:rsid w:val="005021BC"/>
    <w:rsid w:val="0050286E"/>
    <w:rsid w:val="00502C2D"/>
    <w:rsid w:val="00502F8E"/>
    <w:rsid w:val="0050309E"/>
    <w:rsid w:val="00503332"/>
    <w:rsid w:val="0050353F"/>
    <w:rsid w:val="00503546"/>
    <w:rsid w:val="005036B6"/>
    <w:rsid w:val="0050386C"/>
    <w:rsid w:val="0050412C"/>
    <w:rsid w:val="0050427B"/>
    <w:rsid w:val="005046D2"/>
    <w:rsid w:val="00504731"/>
    <w:rsid w:val="00504790"/>
    <w:rsid w:val="00504AAA"/>
    <w:rsid w:val="00504BC7"/>
    <w:rsid w:val="00504C21"/>
    <w:rsid w:val="00504DE4"/>
    <w:rsid w:val="00504FEA"/>
    <w:rsid w:val="005050F9"/>
    <w:rsid w:val="005051EA"/>
    <w:rsid w:val="0050550C"/>
    <w:rsid w:val="00505743"/>
    <w:rsid w:val="0050581C"/>
    <w:rsid w:val="005059E6"/>
    <w:rsid w:val="0050603D"/>
    <w:rsid w:val="00506392"/>
    <w:rsid w:val="00506408"/>
    <w:rsid w:val="00506551"/>
    <w:rsid w:val="00506632"/>
    <w:rsid w:val="0050679B"/>
    <w:rsid w:val="005067F2"/>
    <w:rsid w:val="00506A42"/>
    <w:rsid w:val="00506CF4"/>
    <w:rsid w:val="00506DD5"/>
    <w:rsid w:val="005070BD"/>
    <w:rsid w:val="005071FC"/>
    <w:rsid w:val="005073B3"/>
    <w:rsid w:val="0050745A"/>
    <w:rsid w:val="0050754C"/>
    <w:rsid w:val="00507701"/>
    <w:rsid w:val="0050780D"/>
    <w:rsid w:val="005103F7"/>
    <w:rsid w:val="0051058C"/>
    <w:rsid w:val="005106E6"/>
    <w:rsid w:val="00510786"/>
    <w:rsid w:val="00510818"/>
    <w:rsid w:val="00510829"/>
    <w:rsid w:val="00510888"/>
    <w:rsid w:val="00510CB3"/>
    <w:rsid w:val="00510D12"/>
    <w:rsid w:val="0051118C"/>
    <w:rsid w:val="005116DF"/>
    <w:rsid w:val="00511902"/>
    <w:rsid w:val="0051191A"/>
    <w:rsid w:val="00511ACE"/>
    <w:rsid w:val="00511E8B"/>
    <w:rsid w:val="0051204F"/>
    <w:rsid w:val="0051270A"/>
    <w:rsid w:val="00513033"/>
    <w:rsid w:val="00513034"/>
    <w:rsid w:val="00513AE4"/>
    <w:rsid w:val="00513C47"/>
    <w:rsid w:val="00513EC7"/>
    <w:rsid w:val="00514093"/>
    <w:rsid w:val="0051422A"/>
    <w:rsid w:val="0051423F"/>
    <w:rsid w:val="00514268"/>
    <w:rsid w:val="00514445"/>
    <w:rsid w:val="00514879"/>
    <w:rsid w:val="00515017"/>
    <w:rsid w:val="0051508E"/>
    <w:rsid w:val="005152F3"/>
    <w:rsid w:val="00515647"/>
    <w:rsid w:val="00515685"/>
    <w:rsid w:val="00515A7E"/>
    <w:rsid w:val="00515CF7"/>
    <w:rsid w:val="00515E7D"/>
    <w:rsid w:val="00516290"/>
    <w:rsid w:val="005166D7"/>
    <w:rsid w:val="0051675E"/>
    <w:rsid w:val="00516E8F"/>
    <w:rsid w:val="005170D1"/>
    <w:rsid w:val="0051725E"/>
    <w:rsid w:val="005177EC"/>
    <w:rsid w:val="00517877"/>
    <w:rsid w:val="005179E9"/>
    <w:rsid w:val="00517A4F"/>
    <w:rsid w:val="00517C53"/>
    <w:rsid w:val="00517DCE"/>
    <w:rsid w:val="00517EA2"/>
    <w:rsid w:val="00520266"/>
    <w:rsid w:val="00520AE6"/>
    <w:rsid w:val="00520FCB"/>
    <w:rsid w:val="0052181B"/>
    <w:rsid w:val="0052191D"/>
    <w:rsid w:val="00521B0D"/>
    <w:rsid w:val="00521B17"/>
    <w:rsid w:val="00521B30"/>
    <w:rsid w:val="00521D5D"/>
    <w:rsid w:val="00521F62"/>
    <w:rsid w:val="00522410"/>
    <w:rsid w:val="0052268A"/>
    <w:rsid w:val="005227E1"/>
    <w:rsid w:val="00522B35"/>
    <w:rsid w:val="00522B69"/>
    <w:rsid w:val="00522B89"/>
    <w:rsid w:val="00522BDF"/>
    <w:rsid w:val="00522E9E"/>
    <w:rsid w:val="0052300B"/>
    <w:rsid w:val="005230FC"/>
    <w:rsid w:val="005232F3"/>
    <w:rsid w:val="00523597"/>
    <w:rsid w:val="005236BF"/>
    <w:rsid w:val="00523774"/>
    <w:rsid w:val="005238F3"/>
    <w:rsid w:val="00523994"/>
    <w:rsid w:val="005241FA"/>
    <w:rsid w:val="00524A9F"/>
    <w:rsid w:val="00524C71"/>
    <w:rsid w:val="0052515F"/>
    <w:rsid w:val="0052539F"/>
    <w:rsid w:val="00525B71"/>
    <w:rsid w:val="00525B8A"/>
    <w:rsid w:val="00525DB1"/>
    <w:rsid w:val="00526385"/>
    <w:rsid w:val="00526682"/>
    <w:rsid w:val="00526C22"/>
    <w:rsid w:val="00526C6C"/>
    <w:rsid w:val="00526D3C"/>
    <w:rsid w:val="00526E35"/>
    <w:rsid w:val="0052711D"/>
    <w:rsid w:val="005271C1"/>
    <w:rsid w:val="005274EE"/>
    <w:rsid w:val="005277BF"/>
    <w:rsid w:val="00530386"/>
    <w:rsid w:val="0053059F"/>
    <w:rsid w:val="00530E28"/>
    <w:rsid w:val="00530F9F"/>
    <w:rsid w:val="00530FB5"/>
    <w:rsid w:val="00530FBA"/>
    <w:rsid w:val="005312D6"/>
    <w:rsid w:val="00531600"/>
    <w:rsid w:val="00531606"/>
    <w:rsid w:val="00531A9E"/>
    <w:rsid w:val="00531AD6"/>
    <w:rsid w:val="00531B04"/>
    <w:rsid w:val="00531D25"/>
    <w:rsid w:val="00531E22"/>
    <w:rsid w:val="005323D9"/>
    <w:rsid w:val="00532581"/>
    <w:rsid w:val="00532700"/>
    <w:rsid w:val="005328AA"/>
    <w:rsid w:val="005329A1"/>
    <w:rsid w:val="005329F4"/>
    <w:rsid w:val="00532F3B"/>
    <w:rsid w:val="00533D12"/>
    <w:rsid w:val="00533F84"/>
    <w:rsid w:val="0053408F"/>
    <w:rsid w:val="00534259"/>
    <w:rsid w:val="0053491A"/>
    <w:rsid w:val="00534DEB"/>
    <w:rsid w:val="0053503D"/>
    <w:rsid w:val="00535405"/>
    <w:rsid w:val="005357E7"/>
    <w:rsid w:val="00535C94"/>
    <w:rsid w:val="00535F19"/>
    <w:rsid w:val="0053631A"/>
    <w:rsid w:val="00536F81"/>
    <w:rsid w:val="00537146"/>
    <w:rsid w:val="0053765B"/>
    <w:rsid w:val="00537C34"/>
    <w:rsid w:val="00540480"/>
    <w:rsid w:val="00540ABA"/>
    <w:rsid w:val="00540AF2"/>
    <w:rsid w:val="00540BDD"/>
    <w:rsid w:val="00540F0B"/>
    <w:rsid w:val="0054135E"/>
    <w:rsid w:val="005419E5"/>
    <w:rsid w:val="00541A9B"/>
    <w:rsid w:val="00541CC8"/>
    <w:rsid w:val="0054203D"/>
    <w:rsid w:val="005421C6"/>
    <w:rsid w:val="0054230C"/>
    <w:rsid w:val="0054234E"/>
    <w:rsid w:val="00542385"/>
    <w:rsid w:val="005428C7"/>
    <w:rsid w:val="00542C93"/>
    <w:rsid w:val="00543051"/>
    <w:rsid w:val="00543217"/>
    <w:rsid w:val="00543446"/>
    <w:rsid w:val="00543676"/>
    <w:rsid w:val="00543D53"/>
    <w:rsid w:val="00544477"/>
    <w:rsid w:val="00544AFE"/>
    <w:rsid w:val="00544B16"/>
    <w:rsid w:val="0054517D"/>
    <w:rsid w:val="0054573B"/>
    <w:rsid w:val="00545A04"/>
    <w:rsid w:val="00545DA3"/>
    <w:rsid w:val="005462A1"/>
    <w:rsid w:val="0054632E"/>
    <w:rsid w:val="00546DF7"/>
    <w:rsid w:val="00546E70"/>
    <w:rsid w:val="00546E7D"/>
    <w:rsid w:val="00546EF7"/>
    <w:rsid w:val="00547280"/>
    <w:rsid w:val="0054739D"/>
    <w:rsid w:val="00547A1C"/>
    <w:rsid w:val="00547B4E"/>
    <w:rsid w:val="00547CF8"/>
    <w:rsid w:val="00547D0A"/>
    <w:rsid w:val="00550035"/>
    <w:rsid w:val="005502F0"/>
    <w:rsid w:val="00550313"/>
    <w:rsid w:val="005509FF"/>
    <w:rsid w:val="00551047"/>
    <w:rsid w:val="0055149F"/>
    <w:rsid w:val="00551648"/>
    <w:rsid w:val="005516AA"/>
    <w:rsid w:val="0055173F"/>
    <w:rsid w:val="005519B9"/>
    <w:rsid w:val="00551C1C"/>
    <w:rsid w:val="00552051"/>
    <w:rsid w:val="005523E4"/>
    <w:rsid w:val="00552BC3"/>
    <w:rsid w:val="00552CCA"/>
    <w:rsid w:val="00552FD3"/>
    <w:rsid w:val="0055316D"/>
    <w:rsid w:val="0055365A"/>
    <w:rsid w:val="0055378C"/>
    <w:rsid w:val="00553961"/>
    <w:rsid w:val="00553BA2"/>
    <w:rsid w:val="005540BB"/>
    <w:rsid w:val="0055428E"/>
    <w:rsid w:val="005545BC"/>
    <w:rsid w:val="005546EB"/>
    <w:rsid w:val="00554C0C"/>
    <w:rsid w:val="00554C14"/>
    <w:rsid w:val="00554DD1"/>
    <w:rsid w:val="00554F29"/>
    <w:rsid w:val="00554F52"/>
    <w:rsid w:val="005553FB"/>
    <w:rsid w:val="005554C2"/>
    <w:rsid w:val="00555B9D"/>
    <w:rsid w:val="00555BE6"/>
    <w:rsid w:val="00555D89"/>
    <w:rsid w:val="00556155"/>
    <w:rsid w:val="00556564"/>
    <w:rsid w:val="00556787"/>
    <w:rsid w:val="00556BCC"/>
    <w:rsid w:val="005571EF"/>
    <w:rsid w:val="00557246"/>
    <w:rsid w:val="00557301"/>
    <w:rsid w:val="005574AB"/>
    <w:rsid w:val="00557899"/>
    <w:rsid w:val="0055789B"/>
    <w:rsid w:val="0055789F"/>
    <w:rsid w:val="00557A27"/>
    <w:rsid w:val="00557AEC"/>
    <w:rsid w:val="00557C02"/>
    <w:rsid w:val="00557DF9"/>
    <w:rsid w:val="00560092"/>
    <w:rsid w:val="005600E2"/>
    <w:rsid w:val="0056037F"/>
    <w:rsid w:val="00560A2C"/>
    <w:rsid w:val="00561108"/>
    <w:rsid w:val="00561339"/>
    <w:rsid w:val="00561A13"/>
    <w:rsid w:val="0056205D"/>
    <w:rsid w:val="00562697"/>
    <w:rsid w:val="005629EE"/>
    <w:rsid w:val="00562A7F"/>
    <w:rsid w:val="00562DE0"/>
    <w:rsid w:val="00562F28"/>
    <w:rsid w:val="005631A9"/>
    <w:rsid w:val="00563293"/>
    <w:rsid w:val="00563345"/>
    <w:rsid w:val="005633DD"/>
    <w:rsid w:val="00563570"/>
    <w:rsid w:val="005636C8"/>
    <w:rsid w:val="005636E0"/>
    <w:rsid w:val="0056374B"/>
    <w:rsid w:val="00563E8C"/>
    <w:rsid w:val="00563EB2"/>
    <w:rsid w:val="00564107"/>
    <w:rsid w:val="00564354"/>
    <w:rsid w:val="005643C4"/>
    <w:rsid w:val="0056445E"/>
    <w:rsid w:val="005645E3"/>
    <w:rsid w:val="005649B9"/>
    <w:rsid w:val="00564ABB"/>
    <w:rsid w:val="00564C1F"/>
    <w:rsid w:val="00564C71"/>
    <w:rsid w:val="00565500"/>
    <w:rsid w:val="00565F2F"/>
    <w:rsid w:val="00566017"/>
    <w:rsid w:val="005660B9"/>
    <w:rsid w:val="005661C7"/>
    <w:rsid w:val="005661F6"/>
    <w:rsid w:val="0056641A"/>
    <w:rsid w:val="005664A9"/>
    <w:rsid w:val="005667CD"/>
    <w:rsid w:val="00566A7F"/>
    <w:rsid w:val="00566B76"/>
    <w:rsid w:val="00566FE3"/>
    <w:rsid w:val="0056725D"/>
    <w:rsid w:val="0056755A"/>
    <w:rsid w:val="00567A2E"/>
    <w:rsid w:val="00567D35"/>
    <w:rsid w:val="0057047D"/>
    <w:rsid w:val="00570773"/>
    <w:rsid w:val="00570866"/>
    <w:rsid w:val="005708E3"/>
    <w:rsid w:val="00570EBA"/>
    <w:rsid w:val="00570F77"/>
    <w:rsid w:val="00571011"/>
    <w:rsid w:val="0057109A"/>
    <w:rsid w:val="0057124F"/>
    <w:rsid w:val="0057180B"/>
    <w:rsid w:val="0057192F"/>
    <w:rsid w:val="00571D5F"/>
    <w:rsid w:val="005720A1"/>
    <w:rsid w:val="0057216D"/>
    <w:rsid w:val="005724D8"/>
    <w:rsid w:val="00572825"/>
    <w:rsid w:val="00572909"/>
    <w:rsid w:val="00572B62"/>
    <w:rsid w:val="00572BD7"/>
    <w:rsid w:val="00572C50"/>
    <w:rsid w:val="00572CC4"/>
    <w:rsid w:val="00572F21"/>
    <w:rsid w:val="00572F98"/>
    <w:rsid w:val="00572F99"/>
    <w:rsid w:val="005732C8"/>
    <w:rsid w:val="005744CB"/>
    <w:rsid w:val="00574874"/>
    <w:rsid w:val="00574A39"/>
    <w:rsid w:val="00575316"/>
    <w:rsid w:val="00576375"/>
    <w:rsid w:val="00576385"/>
    <w:rsid w:val="00576A3D"/>
    <w:rsid w:val="00576A8C"/>
    <w:rsid w:val="00576D9C"/>
    <w:rsid w:val="0057712B"/>
    <w:rsid w:val="005772FA"/>
    <w:rsid w:val="0057798C"/>
    <w:rsid w:val="00580097"/>
    <w:rsid w:val="0058012B"/>
    <w:rsid w:val="0058038E"/>
    <w:rsid w:val="0058077F"/>
    <w:rsid w:val="00580B43"/>
    <w:rsid w:val="00580DA7"/>
    <w:rsid w:val="00581103"/>
    <w:rsid w:val="005814A1"/>
    <w:rsid w:val="00581A2D"/>
    <w:rsid w:val="00582078"/>
    <w:rsid w:val="005823D9"/>
    <w:rsid w:val="005823E6"/>
    <w:rsid w:val="005827CB"/>
    <w:rsid w:val="005831FF"/>
    <w:rsid w:val="0058369C"/>
    <w:rsid w:val="00583820"/>
    <w:rsid w:val="005840B2"/>
    <w:rsid w:val="0058421C"/>
    <w:rsid w:val="0058436B"/>
    <w:rsid w:val="0058444D"/>
    <w:rsid w:val="005849B4"/>
    <w:rsid w:val="005849FF"/>
    <w:rsid w:val="00584B1F"/>
    <w:rsid w:val="00584ECB"/>
    <w:rsid w:val="0058536F"/>
    <w:rsid w:val="005853ED"/>
    <w:rsid w:val="00585814"/>
    <w:rsid w:val="00585A9B"/>
    <w:rsid w:val="00585ACE"/>
    <w:rsid w:val="00585D14"/>
    <w:rsid w:val="00585E99"/>
    <w:rsid w:val="00585FE1"/>
    <w:rsid w:val="0058628A"/>
    <w:rsid w:val="005862B1"/>
    <w:rsid w:val="00586570"/>
    <w:rsid w:val="005865E4"/>
    <w:rsid w:val="00586C01"/>
    <w:rsid w:val="0058704A"/>
    <w:rsid w:val="0058722F"/>
    <w:rsid w:val="005874D7"/>
    <w:rsid w:val="0058760C"/>
    <w:rsid w:val="00587763"/>
    <w:rsid w:val="0058788D"/>
    <w:rsid w:val="005878E6"/>
    <w:rsid w:val="00587AE7"/>
    <w:rsid w:val="005900FB"/>
    <w:rsid w:val="0059013E"/>
    <w:rsid w:val="00590255"/>
    <w:rsid w:val="005902B2"/>
    <w:rsid w:val="0059049A"/>
    <w:rsid w:val="005906A3"/>
    <w:rsid w:val="005909E3"/>
    <w:rsid w:val="00590D59"/>
    <w:rsid w:val="00590EDF"/>
    <w:rsid w:val="00590F9F"/>
    <w:rsid w:val="005910E6"/>
    <w:rsid w:val="0059125B"/>
    <w:rsid w:val="00591737"/>
    <w:rsid w:val="00591AC6"/>
    <w:rsid w:val="00591BA8"/>
    <w:rsid w:val="00591BFC"/>
    <w:rsid w:val="00591DD5"/>
    <w:rsid w:val="00591E2C"/>
    <w:rsid w:val="005920A0"/>
    <w:rsid w:val="005924B0"/>
    <w:rsid w:val="00592612"/>
    <w:rsid w:val="00592932"/>
    <w:rsid w:val="00592AF3"/>
    <w:rsid w:val="0059347E"/>
    <w:rsid w:val="0059404D"/>
    <w:rsid w:val="005940C4"/>
    <w:rsid w:val="005941A6"/>
    <w:rsid w:val="005941D6"/>
    <w:rsid w:val="005943F5"/>
    <w:rsid w:val="00594797"/>
    <w:rsid w:val="00594931"/>
    <w:rsid w:val="00594EAB"/>
    <w:rsid w:val="00594F3B"/>
    <w:rsid w:val="00595154"/>
    <w:rsid w:val="00596967"/>
    <w:rsid w:val="00596F1C"/>
    <w:rsid w:val="00596FEE"/>
    <w:rsid w:val="00597367"/>
    <w:rsid w:val="005974C3"/>
    <w:rsid w:val="0059753D"/>
    <w:rsid w:val="00597558"/>
    <w:rsid w:val="0059779E"/>
    <w:rsid w:val="00597B23"/>
    <w:rsid w:val="005A01AC"/>
    <w:rsid w:val="005A027E"/>
    <w:rsid w:val="005A03B8"/>
    <w:rsid w:val="005A0430"/>
    <w:rsid w:val="005A0D1B"/>
    <w:rsid w:val="005A0D9A"/>
    <w:rsid w:val="005A1106"/>
    <w:rsid w:val="005A1669"/>
    <w:rsid w:val="005A1766"/>
    <w:rsid w:val="005A1C3D"/>
    <w:rsid w:val="005A1E0F"/>
    <w:rsid w:val="005A22E5"/>
    <w:rsid w:val="005A2567"/>
    <w:rsid w:val="005A2840"/>
    <w:rsid w:val="005A2E8C"/>
    <w:rsid w:val="005A2F16"/>
    <w:rsid w:val="005A2F1E"/>
    <w:rsid w:val="005A2FE3"/>
    <w:rsid w:val="005A308C"/>
    <w:rsid w:val="005A3091"/>
    <w:rsid w:val="005A39DE"/>
    <w:rsid w:val="005A3F1A"/>
    <w:rsid w:val="005A438E"/>
    <w:rsid w:val="005A4543"/>
    <w:rsid w:val="005A4FE2"/>
    <w:rsid w:val="005A5176"/>
    <w:rsid w:val="005A54DB"/>
    <w:rsid w:val="005A5551"/>
    <w:rsid w:val="005A5803"/>
    <w:rsid w:val="005A58AF"/>
    <w:rsid w:val="005A5928"/>
    <w:rsid w:val="005A5F23"/>
    <w:rsid w:val="005A6185"/>
    <w:rsid w:val="005A6335"/>
    <w:rsid w:val="005A648E"/>
    <w:rsid w:val="005A64C9"/>
    <w:rsid w:val="005A6567"/>
    <w:rsid w:val="005A6917"/>
    <w:rsid w:val="005A6A99"/>
    <w:rsid w:val="005A6DC3"/>
    <w:rsid w:val="005A7074"/>
    <w:rsid w:val="005A75AD"/>
    <w:rsid w:val="005A7626"/>
    <w:rsid w:val="005A7C1D"/>
    <w:rsid w:val="005A7D56"/>
    <w:rsid w:val="005A7EB8"/>
    <w:rsid w:val="005B02B0"/>
    <w:rsid w:val="005B056B"/>
    <w:rsid w:val="005B0639"/>
    <w:rsid w:val="005B070D"/>
    <w:rsid w:val="005B08C4"/>
    <w:rsid w:val="005B0A97"/>
    <w:rsid w:val="005B110F"/>
    <w:rsid w:val="005B12EB"/>
    <w:rsid w:val="005B134C"/>
    <w:rsid w:val="005B1447"/>
    <w:rsid w:val="005B14B0"/>
    <w:rsid w:val="005B18B6"/>
    <w:rsid w:val="005B1A68"/>
    <w:rsid w:val="005B1AAA"/>
    <w:rsid w:val="005B1CF6"/>
    <w:rsid w:val="005B1D00"/>
    <w:rsid w:val="005B235F"/>
    <w:rsid w:val="005B2F1B"/>
    <w:rsid w:val="005B2F2F"/>
    <w:rsid w:val="005B3214"/>
    <w:rsid w:val="005B3240"/>
    <w:rsid w:val="005B359E"/>
    <w:rsid w:val="005B35C4"/>
    <w:rsid w:val="005B3951"/>
    <w:rsid w:val="005B3C7C"/>
    <w:rsid w:val="005B3CA1"/>
    <w:rsid w:val="005B3FCD"/>
    <w:rsid w:val="005B404C"/>
    <w:rsid w:val="005B4266"/>
    <w:rsid w:val="005B42C9"/>
    <w:rsid w:val="005B4909"/>
    <w:rsid w:val="005B4A2C"/>
    <w:rsid w:val="005B4AB6"/>
    <w:rsid w:val="005B4EE1"/>
    <w:rsid w:val="005B4F9B"/>
    <w:rsid w:val="005B509A"/>
    <w:rsid w:val="005B53BC"/>
    <w:rsid w:val="005B54AD"/>
    <w:rsid w:val="005B5671"/>
    <w:rsid w:val="005B5725"/>
    <w:rsid w:val="005B57CE"/>
    <w:rsid w:val="005B58BC"/>
    <w:rsid w:val="005B5986"/>
    <w:rsid w:val="005B5ABE"/>
    <w:rsid w:val="005B5EB7"/>
    <w:rsid w:val="005B5F48"/>
    <w:rsid w:val="005B605E"/>
    <w:rsid w:val="005B62DB"/>
    <w:rsid w:val="005B64C2"/>
    <w:rsid w:val="005B6537"/>
    <w:rsid w:val="005B65BB"/>
    <w:rsid w:val="005B6749"/>
    <w:rsid w:val="005B68F5"/>
    <w:rsid w:val="005B6A04"/>
    <w:rsid w:val="005B6BAF"/>
    <w:rsid w:val="005B6C4F"/>
    <w:rsid w:val="005B6CD6"/>
    <w:rsid w:val="005B6DED"/>
    <w:rsid w:val="005B7547"/>
    <w:rsid w:val="005B795D"/>
    <w:rsid w:val="005B7A02"/>
    <w:rsid w:val="005B7E5A"/>
    <w:rsid w:val="005B7F65"/>
    <w:rsid w:val="005C023B"/>
    <w:rsid w:val="005C0403"/>
    <w:rsid w:val="005C0501"/>
    <w:rsid w:val="005C0571"/>
    <w:rsid w:val="005C0C30"/>
    <w:rsid w:val="005C0E93"/>
    <w:rsid w:val="005C0EE4"/>
    <w:rsid w:val="005C0FD9"/>
    <w:rsid w:val="005C110C"/>
    <w:rsid w:val="005C14E9"/>
    <w:rsid w:val="005C1555"/>
    <w:rsid w:val="005C1A6E"/>
    <w:rsid w:val="005C1C63"/>
    <w:rsid w:val="005C1FFC"/>
    <w:rsid w:val="005C274F"/>
    <w:rsid w:val="005C28AF"/>
    <w:rsid w:val="005C2A7D"/>
    <w:rsid w:val="005C2AB7"/>
    <w:rsid w:val="005C2B50"/>
    <w:rsid w:val="005C2BBD"/>
    <w:rsid w:val="005C2C7D"/>
    <w:rsid w:val="005C2D05"/>
    <w:rsid w:val="005C2F56"/>
    <w:rsid w:val="005C30A1"/>
    <w:rsid w:val="005C33B0"/>
    <w:rsid w:val="005C33C7"/>
    <w:rsid w:val="005C33E2"/>
    <w:rsid w:val="005C3AB3"/>
    <w:rsid w:val="005C3C97"/>
    <w:rsid w:val="005C3E9B"/>
    <w:rsid w:val="005C3F18"/>
    <w:rsid w:val="005C43A8"/>
    <w:rsid w:val="005C4564"/>
    <w:rsid w:val="005C4C4C"/>
    <w:rsid w:val="005C4D83"/>
    <w:rsid w:val="005C55BB"/>
    <w:rsid w:val="005C596F"/>
    <w:rsid w:val="005C598B"/>
    <w:rsid w:val="005C5D20"/>
    <w:rsid w:val="005C6250"/>
    <w:rsid w:val="005C64FA"/>
    <w:rsid w:val="005C6809"/>
    <w:rsid w:val="005C6C71"/>
    <w:rsid w:val="005C773C"/>
    <w:rsid w:val="005C7753"/>
    <w:rsid w:val="005C77D5"/>
    <w:rsid w:val="005C798C"/>
    <w:rsid w:val="005C7A13"/>
    <w:rsid w:val="005C7ADF"/>
    <w:rsid w:val="005C7D77"/>
    <w:rsid w:val="005C7D8D"/>
    <w:rsid w:val="005D039C"/>
    <w:rsid w:val="005D0463"/>
    <w:rsid w:val="005D0B01"/>
    <w:rsid w:val="005D0C14"/>
    <w:rsid w:val="005D0E66"/>
    <w:rsid w:val="005D1ACE"/>
    <w:rsid w:val="005D1B95"/>
    <w:rsid w:val="005D1D95"/>
    <w:rsid w:val="005D2212"/>
    <w:rsid w:val="005D22CF"/>
    <w:rsid w:val="005D28BF"/>
    <w:rsid w:val="005D2961"/>
    <w:rsid w:val="005D2E8B"/>
    <w:rsid w:val="005D3727"/>
    <w:rsid w:val="005D3754"/>
    <w:rsid w:val="005D3C72"/>
    <w:rsid w:val="005D469E"/>
    <w:rsid w:val="005D4868"/>
    <w:rsid w:val="005D4B35"/>
    <w:rsid w:val="005D4D28"/>
    <w:rsid w:val="005D4D7B"/>
    <w:rsid w:val="005D534B"/>
    <w:rsid w:val="005D53D0"/>
    <w:rsid w:val="005D5402"/>
    <w:rsid w:val="005D5B51"/>
    <w:rsid w:val="005D5E93"/>
    <w:rsid w:val="005D6320"/>
    <w:rsid w:val="005D673E"/>
    <w:rsid w:val="005D6911"/>
    <w:rsid w:val="005D6950"/>
    <w:rsid w:val="005D6983"/>
    <w:rsid w:val="005D6AF9"/>
    <w:rsid w:val="005D6B88"/>
    <w:rsid w:val="005D6D91"/>
    <w:rsid w:val="005D710F"/>
    <w:rsid w:val="005D7F6C"/>
    <w:rsid w:val="005E02D0"/>
    <w:rsid w:val="005E03C0"/>
    <w:rsid w:val="005E0AC5"/>
    <w:rsid w:val="005E1B77"/>
    <w:rsid w:val="005E1DA4"/>
    <w:rsid w:val="005E1E64"/>
    <w:rsid w:val="005E1F34"/>
    <w:rsid w:val="005E21D1"/>
    <w:rsid w:val="005E260D"/>
    <w:rsid w:val="005E2821"/>
    <w:rsid w:val="005E2827"/>
    <w:rsid w:val="005E2960"/>
    <w:rsid w:val="005E2A3A"/>
    <w:rsid w:val="005E2ADE"/>
    <w:rsid w:val="005E31E2"/>
    <w:rsid w:val="005E3371"/>
    <w:rsid w:val="005E3921"/>
    <w:rsid w:val="005E3D94"/>
    <w:rsid w:val="005E50E8"/>
    <w:rsid w:val="005E583A"/>
    <w:rsid w:val="005E6240"/>
    <w:rsid w:val="005E676C"/>
    <w:rsid w:val="005E6A74"/>
    <w:rsid w:val="005E6B64"/>
    <w:rsid w:val="005E6D86"/>
    <w:rsid w:val="005E70FF"/>
    <w:rsid w:val="005E769D"/>
    <w:rsid w:val="005E77B3"/>
    <w:rsid w:val="005E7804"/>
    <w:rsid w:val="005E7B5C"/>
    <w:rsid w:val="005E7C18"/>
    <w:rsid w:val="005E7CC8"/>
    <w:rsid w:val="005E7DD9"/>
    <w:rsid w:val="005F030E"/>
    <w:rsid w:val="005F0D33"/>
    <w:rsid w:val="005F0E73"/>
    <w:rsid w:val="005F0EE4"/>
    <w:rsid w:val="005F1289"/>
    <w:rsid w:val="005F1304"/>
    <w:rsid w:val="005F1715"/>
    <w:rsid w:val="005F1934"/>
    <w:rsid w:val="005F1AD2"/>
    <w:rsid w:val="005F1B65"/>
    <w:rsid w:val="005F1B74"/>
    <w:rsid w:val="005F1B78"/>
    <w:rsid w:val="005F1C92"/>
    <w:rsid w:val="005F20FF"/>
    <w:rsid w:val="005F22F1"/>
    <w:rsid w:val="005F2787"/>
    <w:rsid w:val="005F29D4"/>
    <w:rsid w:val="005F2AD9"/>
    <w:rsid w:val="005F2D81"/>
    <w:rsid w:val="005F33AB"/>
    <w:rsid w:val="005F3498"/>
    <w:rsid w:val="005F370D"/>
    <w:rsid w:val="005F3A56"/>
    <w:rsid w:val="005F3D2C"/>
    <w:rsid w:val="005F4048"/>
    <w:rsid w:val="005F4530"/>
    <w:rsid w:val="005F45E2"/>
    <w:rsid w:val="005F4856"/>
    <w:rsid w:val="005F4867"/>
    <w:rsid w:val="005F4B12"/>
    <w:rsid w:val="005F4BF0"/>
    <w:rsid w:val="005F54F5"/>
    <w:rsid w:val="005F5585"/>
    <w:rsid w:val="005F55B9"/>
    <w:rsid w:val="005F5768"/>
    <w:rsid w:val="005F5AC4"/>
    <w:rsid w:val="005F5B4E"/>
    <w:rsid w:val="005F636F"/>
    <w:rsid w:val="005F6529"/>
    <w:rsid w:val="005F6652"/>
    <w:rsid w:val="005F6B5E"/>
    <w:rsid w:val="005F6D53"/>
    <w:rsid w:val="005F72D9"/>
    <w:rsid w:val="005F7513"/>
    <w:rsid w:val="005F7600"/>
    <w:rsid w:val="005F768A"/>
    <w:rsid w:val="005F79A3"/>
    <w:rsid w:val="00600361"/>
    <w:rsid w:val="006009DA"/>
    <w:rsid w:val="00600B88"/>
    <w:rsid w:val="00600CD0"/>
    <w:rsid w:val="00600D63"/>
    <w:rsid w:val="00600D74"/>
    <w:rsid w:val="006019ED"/>
    <w:rsid w:val="00601A94"/>
    <w:rsid w:val="00601DE1"/>
    <w:rsid w:val="006022BB"/>
    <w:rsid w:val="0060230A"/>
    <w:rsid w:val="006025CD"/>
    <w:rsid w:val="00602943"/>
    <w:rsid w:val="00602994"/>
    <w:rsid w:val="00602F1A"/>
    <w:rsid w:val="00602F99"/>
    <w:rsid w:val="006030F8"/>
    <w:rsid w:val="0060315D"/>
    <w:rsid w:val="00603BA1"/>
    <w:rsid w:val="00603C44"/>
    <w:rsid w:val="00603E05"/>
    <w:rsid w:val="006042D6"/>
    <w:rsid w:val="00604391"/>
    <w:rsid w:val="00604519"/>
    <w:rsid w:val="00604773"/>
    <w:rsid w:val="00604897"/>
    <w:rsid w:val="00604A67"/>
    <w:rsid w:val="00604AC9"/>
    <w:rsid w:val="00604D7B"/>
    <w:rsid w:val="00604E74"/>
    <w:rsid w:val="006050C2"/>
    <w:rsid w:val="00605248"/>
    <w:rsid w:val="00605EA8"/>
    <w:rsid w:val="00605F3F"/>
    <w:rsid w:val="00606158"/>
    <w:rsid w:val="0060632C"/>
    <w:rsid w:val="006064D9"/>
    <w:rsid w:val="00606534"/>
    <w:rsid w:val="00606901"/>
    <w:rsid w:val="006074B0"/>
    <w:rsid w:val="00607A32"/>
    <w:rsid w:val="00607BF8"/>
    <w:rsid w:val="00607C24"/>
    <w:rsid w:val="00607F7D"/>
    <w:rsid w:val="006102ED"/>
    <w:rsid w:val="00610334"/>
    <w:rsid w:val="006103F6"/>
    <w:rsid w:val="0061044A"/>
    <w:rsid w:val="0061109F"/>
    <w:rsid w:val="0061163A"/>
    <w:rsid w:val="00611715"/>
    <w:rsid w:val="00611986"/>
    <w:rsid w:val="00611A15"/>
    <w:rsid w:val="00611AFD"/>
    <w:rsid w:val="00611B14"/>
    <w:rsid w:val="00611B39"/>
    <w:rsid w:val="00611D40"/>
    <w:rsid w:val="00611F00"/>
    <w:rsid w:val="00612158"/>
    <w:rsid w:val="0061237F"/>
    <w:rsid w:val="006126CB"/>
    <w:rsid w:val="00612942"/>
    <w:rsid w:val="0061297F"/>
    <w:rsid w:val="00612CF1"/>
    <w:rsid w:val="00612EA1"/>
    <w:rsid w:val="00612EBF"/>
    <w:rsid w:val="00613169"/>
    <w:rsid w:val="006133E4"/>
    <w:rsid w:val="0061394E"/>
    <w:rsid w:val="00613A6B"/>
    <w:rsid w:val="00613AAF"/>
    <w:rsid w:val="00613C06"/>
    <w:rsid w:val="00613DE2"/>
    <w:rsid w:val="006143A3"/>
    <w:rsid w:val="00614855"/>
    <w:rsid w:val="006148A3"/>
    <w:rsid w:val="00614977"/>
    <w:rsid w:val="00614B35"/>
    <w:rsid w:val="00614D01"/>
    <w:rsid w:val="00614F44"/>
    <w:rsid w:val="00614F8A"/>
    <w:rsid w:val="006155FB"/>
    <w:rsid w:val="00615684"/>
    <w:rsid w:val="00615756"/>
    <w:rsid w:val="00615D25"/>
    <w:rsid w:val="00615D79"/>
    <w:rsid w:val="006160F8"/>
    <w:rsid w:val="00616108"/>
    <w:rsid w:val="006164C5"/>
    <w:rsid w:val="00616537"/>
    <w:rsid w:val="0061663C"/>
    <w:rsid w:val="006166C9"/>
    <w:rsid w:val="00616856"/>
    <w:rsid w:val="00616A57"/>
    <w:rsid w:val="00616A7E"/>
    <w:rsid w:val="0061728F"/>
    <w:rsid w:val="006172CC"/>
    <w:rsid w:val="00617A92"/>
    <w:rsid w:val="00617B25"/>
    <w:rsid w:val="00617C58"/>
    <w:rsid w:val="00620694"/>
    <w:rsid w:val="00620AC8"/>
    <w:rsid w:val="00620FC6"/>
    <w:rsid w:val="006215E5"/>
    <w:rsid w:val="0062161A"/>
    <w:rsid w:val="00621B1A"/>
    <w:rsid w:val="00621F0A"/>
    <w:rsid w:val="00622301"/>
    <w:rsid w:val="006225BA"/>
    <w:rsid w:val="006228D1"/>
    <w:rsid w:val="0062292B"/>
    <w:rsid w:val="00622A19"/>
    <w:rsid w:val="00622E83"/>
    <w:rsid w:val="006231F1"/>
    <w:rsid w:val="00623732"/>
    <w:rsid w:val="006238AF"/>
    <w:rsid w:val="00623F25"/>
    <w:rsid w:val="00624213"/>
    <w:rsid w:val="006245B3"/>
    <w:rsid w:val="0062472B"/>
    <w:rsid w:val="006248A3"/>
    <w:rsid w:val="00624B0D"/>
    <w:rsid w:val="00624B84"/>
    <w:rsid w:val="006251BF"/>
    <w:rsid w:val="00625485"/>
    <w:rsid w:val="00625644"/>
    <w:rsid w:val="00625649"/>
    <w:rsid w:val="0062597C"/>
    <w:rsid w:val="00625C98"/>
    <w:rsid w:val="00625D7B"/>
    <w:rsid w:val="00625E58"/>
    <w:rsid w:val="006261D2"/>
    <w:rsid w:val="006263A5"/>
    <w:rsid w:val="00626C62"/>
    <w:rsid w:val="006272A8"/>
    <w:rsid w:val="00627535"/>
    <w:rsid w:val="00627735"/>
    <w:rsid w:val="00630070"/>
    <w:rsid w:val="00630376"/>
    <w:rsid w:val="00630428"/>
    <w:rsid w:val="00630500"/>
    <w:rsid w:val="0063059F"/>
    <w:rsid w:val="00630A0A"/>
    <w:rsid w:val="0063150C"/>
    <w:rsid w:val="00631766"/>
    <w:rsid w:val="006319A7"/>
    <w:rsid w:val="00631A29"/>
    <w:rsid w:val="00631A8C"/>
    <w:rsid w:val="00631B64"/>
    <w:rsid w:val="006320B7"/>
    <w:rsid w:val="006322BF"/>
    <w:rsid w:val="00632642"/>
    <w:rsid w:val="006329E1"/>
    <w:rsid w:val="00632D40"/>
    <w:rsid w:val="0063306C"/>
    <w:rsid w:val="006330CD"/>
    <w:rsid w:val="0063348C"/>
    <w:rsid w:val="0063351F"/>
    <w:rsid w:val="00633A5B"/>
    <w:rsid w:val="00634727"/>
    <w:rsid w:val="00634833"/>
    <w:rsid w:val="0063488F"/>
    <w:rsid w:val="00634B84"/>
    <w:rsid w:val="00634ED8"/>
    <w:rsid w:val="00635226"/>
    <w:rsid w:val="0063553C"/>
    <w:rsid w:val="006361A4"/>
    <w:rsid w:val="00636997"/>
    <w:rsid w:val="00636A8F"/>
    <w:rsid w:val="00636AE5"/>
    <w:rsid w:val="0063735A"/>
    <w:rsid w:val="006373A8"/>
    <w:rsid w:val="00637701"/>
    <w:rsid w:val="0063787E"/>
    <w:rsid w:val="0063799F"/>
    <w:rsid w:val="00637A1E"/>
    <w:rsid w:val="00637EB9"/>
    <w:rsid w:val="0064007F"/>
    <w:rsid w:val="006400CC"/>
    <w:rsid w:val="0064027B"/>
    <w:rsid w:val="00640604"/>
    <w:rsid w:val="0064096A"/>
    <w:rsid w:val="00640AD5"/>
    <w:rsid w:val="00640E7E"/>
    <w:rsid w:val="006411E9"/>
    <w:rsid w:val="0064128A"/>
    <w:rsid w:val="006413C3"/>
    <w:rsid w:val="00641EBE"/>
    <w:rsid w:val="00642012"/>
    <w:rsid w:val="006421A6"/>
    <w:rsid w:val="006421B3"/>
    <w:rsid w:val="006424B4"/>
    <w:rsid w:val="006424E5"/>
    <w:rsid w:val="0064265C"/>
    <w:rsid w:val="006426BA"/>
    <w:rsid w:val="00642960"/>
    <w:rsid w:val="00642F62"/>
    <w:rsid w:val="00643198"/>
    <w:rsid w:val="00643579"/>
    <w:rsid w:val="00643924"/>
    <w:rsid w:val="00644056"/>
    <w:rsid w:val="00644487"/>
    <w:rsid w:val="006449CF"/>
    <w:rsid w:val="006449E6"/>
    <w:rsid w:val="00644ADC"/>
    <w:rsid w:val="00644CC5"/>
    <w:rsid w:val="0064518F"/>
    <w:rsid w:val="006455BF"/>
    <w:rsid w:val="0064570E"/>
    <w:rsid w:val="006458D2"/>
    <w:rsid w:val="00645936"/>
    <w:rsid w:val="00645AD3"/>
    <w:rsid w:val="00645B11"/>
    <w:rsid w:val="00645FDA"/>
    <w:rsid w:val="006461F5"/>
    <w:rsid w:val="0064633C"/>
    <w:rsid w:val="006463F3"/>
    <w:rsid w:val="006464FE"/>
    <w:rsid w:val="00646554"/>
    <w:rsid w:val="00646591"/>
    <w:rsid w:val="00646699"/>
    <w:rsid w:val="0064685F"/>
    <w:rsid w:val="006469DE"/>
    <w:rsid w:val="00647062"/>
    <w:rsid w:val="00647106"/>
    <w:rsid w:val="00647967"/>
    <w:rsid w:val="006479A5"/>
    <w:rsid w:val="00647EC8"/>
    <w:rsid w:val="00647FCC"/>
    <w:rsid w:val="006504BF"/>
    <w:rsid w:val="00650929"/>
    <w:rsid w:val="006509A7"/>
    <w:rsid w:val="00650A87"/>
    <w:rsid w:val="00650BC3"/>
    <w:rsid w:val="00650D01"/>
    <w:rsid w:val="006510D9"/>
    <w:rsid w:val="006514E4"/>
    <w:rsid w:val="006515F5"/>
    <w:rsid w:val="00651698"/>
    <w:rsid w:val="0065172B"/>
    <w:rsid w:val="00651D4C"/>
    <w:rsid w:val="00652020"/>
    <w:rsid w:val="00652311"/>
    <w:rsid w:val="006525D3"/>
    <w:rsid w:val="00652E47"/>
    <w:rsid w:val="00652E93"/>
    <w:rsid w:val="00652FC7"/>
    <w:rsid w:val="006530AD"/>
    <w:rsid w:val="00653316"/>
    <w:rsid w:val="00653785"/>
    <w:rsid w:val="00653C9B"/>
    <w:rsid w:val="00653E90"/>
    <w:rsid w:val="00654098"/>
    <w:rsid w:val="00654148"/>
    <w:rsid w:val="00654788"/>
    <w:rsid w:val="0065489B"/>
    <w:rsid w:val="00654AB1"/>
    <w:rsid w:val="00654D3B"/>
    <w:rsid w:val="00654D66"/>
    <w:rsid w:val="00654E46"/>
    <w:rsid w:val="0065541C"/>
    <w:rsid w:val="006555DC"/>
    <w:rsid w:val="00655F44"/>
    <w:rsid w:val="00655F80"/>
    <w:rsid w:val="00656278"/>
    <w:rsid w:val="00656755"/>
    <w:rsid w:val="00656F3B"/>
    <w:rsid w:val="00656F7C"/>
    <w:rsid w:val="006572CE"/>
    <w:rsid w:val="006573D6"/>
    <w:rsid w:val="00657638"/>
    <w:rsid w:val="0065788D"/>
    <w:rsid w:val="00657B60"/>
    <w:rsid w:val="00657C18"/>
    <w:rsid w:val="00657E18"/>
    <w:rsid w:val="00657F63"/>
    <w:rsid w:val="00660141"/>
    <w:rsid w:val="00660223"/>
    <w:rsid w:val="00660332"/>
    <w:rsid w:val="00660896"/>
    <w:rsid w:val="00660963"/>
    <w:rsid w:val="00660DBF"/>
    <w:rsid w:val="00660E6B"/>
    <w:rsid w:val="00661206"/>
    <w:rsid w:val="00661248"/>
    <w:rsid w:val="0066137C"/>
    <w:rsid w:val="006613F0"/>
    <w:rsid w:val="00661471"/>
    <w:rsid w:val="006616E4"/>
    <w:rsid w:val="00661842"/>
    <w:rsid w:val="006618E2"/>
    <w:rsid w:val="00661A00"/>
    <w:rsid w:val="00661AD7"/>
    <w:rsid w:val="00661EDE"/>
    <w:rsid w:val="00662007"/>
    <w:rsid w:val="00662047"/>
    <w:rsid w:val="00662552"/>
    <w:rsid w:val="00662808"/>
    <w:rsid w:val="00662C79"/>
    <w:rsid w:val="006636A3"/>
    <w:rsid w:val="0066387E"/>
    <w:rsid w:val="006638B2"/>
    <w:rsid w:val="00663A96"/>
    <w:rsid w:val="00663DEF"/>
    <w:rsid w:val="00663EFE"/>
    <w:rsid w:val="00664024"/>
    <w:rsid w:val="00664450"/>
    <w:rsid w:val="006644A5"/>
    <w:rsid w:val="0066466A"/>
    <w:rsid w:val="006647FB"/>
    <w:rsid w:val="00664880"/>
    <w:rsid w:val="00664949"/>
    <w:rsid w:val="00664953"/>
    <w:rsid w:val="00664AD2"/>
    <w:rsid w:val="00664B52"/>
    <w:rsid w:val="006650D1"/>
    <w:rsid w:val="00665176"/>
    <w:rsid w:val="006655F1"/>
    <w:rsid w:val="00665748"/>
    <w:rsid w:val="00665995"/>
    <w:rsid w:val="006659AA"/>
    <w:rsid w:val="00665FC8"/>
    <w:rsid w:val="00666941"/>
    <w:rsid w:val="00666C36"/>
    <w:rsid w:val="00667016"/>
    <w:rsid w:val="006676B7"/>
    <w:rsid w:val="00667ABC"/>
    <w:rsid w:val="00667B11"/>
    <w:rsid w:val="00667EC1"/>
    <w:rsid w:val="0067046C"/>
    <w:rsid w:val="00670669"/>
    <w:rsid w:val="00670694"/>
    <w:rsid w:val="00670A1F"/>
    <w:rsid w:val="00670C74"/>
    <w:rsid w:val="00670C99"/>
    <w:rsid w:val="0067127D"/>
    <w:rsid w:val="00671324"/>
    <w:rsid w:val="00671838"/>
    <w:rsid w:val="006719BA"/>
    <w:rsid w:val="00671AE4"/>
    <w:rsid w:val="00671C5E"/>
    <w:rsid w:val="00671D4F"/>
    <w:rsid w:val="00672325"/>
    <w:rsid w:val="0067232B"/>
    <w:rsid w:val="00672568"/>
    <w:rsid w:val="006729F3"/>
    <w:rsid w:val="0067302E"/>
    <w:rsid w:val="006730B7"/>
    <w:rsid w:val="0067324A"/>
    <w:rsid w:val="006738D1"/>
    <w:rsid w:val="00673D5D"/>
    <w:rsid w:val="00673F0A"/>
    <w:rsid w:val="00673FD2"/>
    <w:rsid w:val="00673FD6"/>
    <w:rsid w:val="00674307"/>
    <w:rsid w:val="00674D9E"/>
    <w:rsid w:val="006754E9"/>
    <w:rsid w:val="00675DCE"/>
    <w:rsid w:val="0067608C"/>
    <w:rsid w:val="00676165"/>
    <w:rsid w:val="006763EA"/>
    <w:rsid w:val="0067656F"/>
    <w:rsid w:val="00676B4C"/>
    <w:rsid w:val="00676B4D"/>
    <w:rsid w:val="00676B7F"/>
    <w:rsid w:val="006770D8"/>
    <w:rsid w:val="006775C2"/>
    <w:rsid w:val="006779D8"/>
    <w:rsid w:val="00677BFB"/>
    <w:rsid w:val="00677EA8"/>
    <w:rsid w:val="00677FAF"/>
    <w:rsid w:val="00680124"/>
    <w:rsid w:val="00680363"/>
    <w:rsid w:val="006804F1"/>
    <w:rsid w:val="0068074E"/>
    <w:rsid w:val="00681002"/>
    <w:rsid w:val="006812AF"/>
    <w:rsid w:val="00681319"/>
    <w:rsid w:val="0068158D"/>
    <w:rsid w:val="00681668"/>
    <w:rsid w:val="00681777"/>
    <w:rsid w:val="006817A9"/>
    <w:rsid w:val="00681F59"/>
    <w:rsid w:val="00682157"/>
    <w:rsid w:val="006824C5"/>
    <w:rsid w:val="006826ED"/>
    <w:rsid w:val="006828C3"/>
    <w:rsid w:val="006828D2"/>
    <w:rsid w:val="00682C05"/>
    <w:rsid w:val="00682E99"/>
    <w:rsid w:val="00682F96"/>
    <w:rsid w:val="00683375"/>
    <w:rsid w:val="00683435"/>
    <w:rsid w:val="006838DD"/>
    <w:rsid w:val="00683B24"/>
    <w:rsid w:val="00683DB0"/>
    <w:rsid w:val="006842F8"/>
    <w:rsid w:val="00684321"/>
    <w:rsid w:val="0068478E"/>
    <w:rsid w:val="00684813"/>
    <w:rsid w:val="00684B14"/>
    <w:rsid w:val="00684C79"/>
    <w:rsid w:val="00684CC0"/>
    <w:rsid w:val="00685139"/>
    <w:rsid w:val="00685294"/>
    <w:rsid w:val="00685338"/>
    <w:rsid w:val="00685BC5"/>
    <w:rsid w:val="00685FE8"/>
    <w:rsid w:val="00686025"/>
    <w:rsid w:val="006861C7"/>
    <w:rsid w:val="00686320"/>
    <w:rsid w:val="00686B5D"/>
    <w:rsid w:val="006870EA"/>
    <w:rsid w:val="006871DC"/>
    <w:rsid w:val="00687619"/>
    <w:rsid w:val="00687819"/>
    <w:rsid w:val="0068798B"/>
    <w:rsid w:val="00687992"/>
    <w:rsid w:val="00687D5A"/>
    <w:rsid w:val="00687D7C"/>
    <w:rsid w:val="00687FD7"/>
    <w:rsid w:val="006903F6"/>
    <w:rsid w:val="00690588"/>
    <w:rsid w:val="006909CF"/>
    <w:rsid w:val="00690B84"/>
    <w:rsid w:val="00691097"/>
    <w:rsid w:val="006910A6"/>
    <w:rsid w:val="0069174D"/>
    <w:rsid w:val="0069193A"/>
    <w:rsid w:val="00691EEB"/>
    <w:rsid w:val="00692222"/>
    <w:rsid w:val="006930BD"/>
    <w:rsid w:val="00693A24"/>
    <w:rsid w:val="00693D41"/>
    <w:rsid w:val="0069419C"/>
    <w:rsid w:val="006945D4"/>
    <w:rsid w:val="00694665"/>
    <w:rsid w:val="00694A14"/>
    <w:rsid w:val="00694E93"/>
    <w:rsid w:val="00694FEF"/>
    <w:rsid w:val="006952B9"/>
    <w:rsid w:val="00695444"/>
    <w:rsid w:val="006955AA"/>
    <w:rsid w:val="0069566C"/>
    <w:rsid w:val="0069592B"/>
    <w:rsid w:val="00695BED"/>
    <w:rsid w:val="00695E64"/>
    <w:rsid w:val="00695F88"/>
    <w:rsid w:val="006964B4"/>
    <w:rsid w:val="0069653C"/>
    <w:rsid w:val="00696611"/>
    <w:rsid w:val="00696A24"/>
    <w:rsid w:val="00696A36"/>
    <w:rsid w:val="00696D16"/>
    <w:rsid w:val="00696F7F"/>
    <w:rsid w:val="00697347"/>
    <w:rsid w:val="00697701"/>
    <w:rsid w:val="00697E00"/>
    <w:rsid w:val="006A08BA"/>
    <w:rsid w:val="006A0917"/>
    <w:rsid w:val="006A0B06"/>
    <w:rsid w:val="006A0D54"/>
    <w:rsid w:val="006A13E7"/>
    <w:rsid w:val="006A15F0"/>
    <w:rsid w:val="006A1D57"/>
    <w:rsid w:val="006A1DA7"/>
    <w:rsid w:val="006A1F43"/>
    <w:rsid w:val="006A2719"/>
    <w:rsid w:val="006A2852"/>
    <w:rsid w:val="006A2A2B"/>
    <w:rsid w:val="006A2CBB"/>
    <w:rsid w:val="006A2CFA"/>
    <w:rsid w:val="006A2E1C"/>
    <w:rsid w:val="006A3065"/>
    <w:rsid w:val="006A306B"/>
    <w:rsid w:val="006A3293"/>
    <w:rsid w:val="006A3319"/>
    <w:rsid w:val="006A360C"/>
    <w:rsid w:val="006A3DB6"/>
    <w:rsid w:val="006A41C2"/>
    <w:rsid w:val="006A41DD"/>
    <w:rsid w:val="006A4677"/>
    <w:rsid w:val="006A47D5"/>
    <w:rsid w:val="006A4A5B"/>
    <w:rsid w:val="006A54B2"/>
    <w:rsid w:val="006A55DE"/>
    <w:rsid w:val="006A5606"/>
    <w:rsid w:val="006A5969"/>
    <w:rsid w:val="006A5D00"/>
    <w:rsid w:val="006A5E00"/>
    <w:rsid w:val="006A6417"/>
    <w:rsid w:val="006A6A0A"/>
    <w:rsid w:val="006A6B2D"/>
    <w:rsid w:val="006A6BEB"/>
    <w:rsid w:val="006A6E3A"/>
    <w:rsid w:val="006A74F1"/>
    <w:rsid w:val="006A76B9"/>
    <w:rsid w:val="006A7BEB"/>
    <w:rsid w:val="006A7D15"/>
    <w:rsid w:val="006A7DF6"/>
    <w:rsid w:val="006A7E46"/>
    <w:rsid w:val="006A7F47"/>
    <w:rsid w:val="006A7F98"/>
    <w:rsid w:val="006B07DD"/>
    <w:rsid w:val="006B0BBB"/>
    <w:rsid w:val="006B1227"/>
    <w:rsid w:val="006B1379"/>
    <w:rsid w:val="006B13A6"/>
    <w:rsid w:val="006B13E4"/>
    <w:rsid w:val="006B1487"/>
    <w:rsid w:val="006B186E"/>
    <w:rsid w:val="006B1F00"/>
    <w:rsid w:val="006B1F55"/>
    <w:rsid w:val="006B22A4"/>
    <w:rsid w:val="006B26C8"/>
    <w:rsid w:val="006B2C34"/>
    <w:rsid w:val="006B311F"/>
    <w:rsid w:val="006B3147"/>
    <w:rsid w:val="006B3353"/>
    <w:rsid w:val="006B3517"/>
    <w:rsid w:val="006B38C0"/>
    <w:rsid w:val="006B3960"/>
    <w:rsid w:val="006B3DD5"/>
    <w:rsid w:val="006B404D"/>
    <w:rsid w:val="006B46D3"/>
    <w:rsid w:val="006B4845"/>
    <w:rsid w:val="006B4AF3"/>
    <w:rsid w:val="006B4BE4"/>
    <w:rsid w:val="006B4DE8"/>
    <w:rsid w:val="006B5049"/>
    <w:rsid w:val="006B54B6"/>
    <w:rsid w:val="006B5725"/>
    <w:rsid w:val="006B574A"/>
    <w:rsid w:val="006B5B68"/>
    <w:rsid w:val="006B5BA4"/>
    <w:rsid w:val="006B5C03"/>
    <w:rsid w:val="006B5C7D"/>
    <w:rsid w:val="006B6094"/>
    <w:rsid w:val="006B6106"/>
    <w:rsid w:val="006B61C8"/>
    <w:rsid w:val="006B638C"/>
    <w:rsid w:val="006B63E6"/>
    <w:rsid w:val="006B6406"/>
    <w:rsid w:val="006B676D"/>
    <w:rsid w:val="006B6D59"/>
    <w:rsid w:val="006B733C"/>
    <w:rsid w:val="006B7645"/>
    <w:rsid w:val="006B76AD"/>
    <w:rsid w:val="006B791F"/>
    <w:rsid w:val="006B7973"/>
    <w:rsid w:val="006B7C76"/>
    <w:rsid w:val="006C01E9"/>
    <w:rsid w:val="006C028F"/>
    <w:rsid w:val="006C0B51"/>
    <w:rsid w:val="006C0BC9"/>
    <w:rsid w:val="006C0C98"/>
    <w:rsid w:val="006C0F6D"/>
    <w:rsid w:val="006C0F9D"/>
    <w:rsid w:val="006C10B4"/>
    <w:rsid w:val="006C11B6"/>
    <w:rsid w:val="006C1492"/>
    <w:rsid w:val="006C14A9"/>
    <w:rsid w:val="006C1F07"/>
    <w:rsid w:val="006C1F75"/>
    <w:rsid w:val="006C210A"/>
    <w:rsid w:val="006C2557"/>
    <w:rsid w:val="006C26AF"/>
    <w:rsid w:val="006C2753"/>
    <w:rsid w:val="006C2825"/>
    <w:rsid w:val="006C2CEA"/>
    <w:rsid w:val="006C2D8F"/>
    <w:rsid w:val="006C2EB8"/>
    <w:rsid w:val="006C2EFE"/>
    <w:rsid w:val="006C30E4"/>
    <w:rsid w:val="006C3298"/>
    <w:rsid w:val="006C397E"/>
    <w:rsid w:val="006C3A83"/>
    <w:rsid w:val="006C4066"/>
    <w:rsid w:val="006C42EC"/>
    <w:rsid w:val="006C44DB"/>
    <w:rsid w:val="006C4634"/>
    <w:rsid w:val="006C4E79"/>
    <w:rsid w:val="006C4E96"/>
    <w:rsid w:val="006C5C16"/>
    <w:rsid w:val="006C60CB"/>
    <w:rsid w:val="006C63FF"/>
    <w:rsid w:val="006C65FC"/>
    <w:rsid w:val="006C6813"/>
    <w:rsid w:val="006C6840"/>
    <w:rsid w:val="006C6F09"/>
    <w:rsid w:val="006C704D"/>
    <w:rsid w:val="006C73E5"/>
    <w:rsid w:val="006C75DC"/>
    <w:rsid w:val="006C7A37"/>
    <w:rsid w:val="006C7C79"/>
    <w:rsid w:val="006C7DA7"/>
    <w:rsid w:val="006C7FBD"/>
    <w:rsid w:val="006D0242"/>
    <w:rsid w:val="006D0533"/>
    <w:rsid w:val="006D07F8"/>
    <w:rsid w:val="006D09B2"/>
    <w:rsid w:val="006D0A7A"/>
    <w:rsid w:val="006D0AB6"/>
    <w:rsid w:val="006D0B54"/>
    <w:rsid w:val="006D0E38"/>
    <w:rsid w:val="006D0EE9"/>
    <w:rsid w:val="006D0F26"/>
    <w:rsid w:val="006D1500"/>
    <w:rsid w:val="006D172C"/>
    <w:rsid w:val="006D179C"/>
    <w:rsid w:val="006D1804"/>
    <w:rsid w:val="006D1E93"/>
    <w:rsid w:val="006D256B"/>
    <w:rsid w:val="006D2693"/>
    <w:rsid w:val="006D2997"/>
    <w:rsid w:val="006D2B9E"/>
    <w:rsid w:val="006D3503"/>
    <w:rsid w:val="006D366C"/>
    <w:rsid w:val="006D3731"/>
    <w:rsid w:val="006D3A5E"/>
    <w:rsid w:val="006D3B19"/>
    <w:rsid w:val="006D3D38"/>
    <w:rsid w:val="006D3DDF"/>
    <w:rsid w:val="006D3E29"/>
    <w:rsid w:val="006D3EEE"/>
    <w:rsid w:val="006D3F54"/>
    <w:rsid w:val="006D4145"/>
    <w:rsid w:val="006D4B94"/>
    <w:rsid w:val="006D4CFA"/>
    <w:rsid w:val="006D5180"/>
    <w:rsid w:val="006D5185"/>
    <w:rsid w:val="006D52EF"/>
    <w:rsid w:val="006D52F5"/>
    <w:rsid w:val="006D5310"/>
    <w:rsid w:val="006D53F8"/>
    <w:rsid w:val="006D553D"/>
    <w:rsid w:val="006D569C"/>
    <w:rsid w:val="006D56BB"/>
    <w:rsid w:val="006D5FA0"/>
    <w:rsid w:val="006D6282"/>
    <w:rsid w:val="006D6ABB"/>
    <w:rsid w:val="006D6BBE"/>
    <w:rsid w:val="006D727D"/>
    <w:rsid w:val="006D7352"/>
    <w:rsid w:val="006D745B"/>
    <w:rsid w:val="006D75B3"/>
    <w:rsid w:val="006D76D3"/>
    <w:rsid w:val="006D7AF2"/>
    <w:rsid w:val="006D7B49"/>
    <w:rsid w:val="006E00EC"/>
    <w:rsid w:val="006E0423"/>
    <w:rsid w:val="006E0542"/>
    <w:rsid w:val="006E1249"/>
    <w:rsid w:val="006E171C"/>
    <w:rsid w:val="006E189F"/>
    <w:rsid w:val="006E20BC"/>
    <w:rsid w:val="006E22E7"/>
    <w:rsid w:val="006E2487"/>
    <w:rsid w:val="006E2805"/>
    <w:rsid w:val="006E2D8E"/>
    <w:rsid w:val="006E34E0"/>
    <w:rsid w:val="006E3A7D"/>
    <w:rsid w:val="006E3EAB"/>
    <w:rsid w:val="006E4126"/>
    <w:rsid w:val="006E43F6"/>
    <w:rsid w:val="006E4815"/>
    <w:rsid w:val="006E48F6"/>
    <w:rsid w:val="006E4C73"/>
    <w:rsid w:val="006E4C76"/>
    <w:rsid w:val="006E5094"/>
    <w:rsid w:val="006E5215"/>
    <w:rsid w:val="006E5298"/>
    <w:rsid w:val="006E5472"/>
    <w:rsid w:val="006E563E"/>
    <w:rsid w:val="006E574F"/>
    <w:rsid w:val="006E579C"/>
    <w:rsid w:val="006E590F"/>
    <w:rsid w:val="006E5DCF"/>
    <w:rsid w:val="006E5EB5"/>
    <w:rsid w:val="006E5EBB"/>
    <w:rsid w:val="006E5F60"/>
    <w:rsid w:val="006E60E2"/>
    <w:rsid w:val="006E6360"/>
    <w:rsid w:val="006E6385"/>
    <w:rsid w:val="006E6415"/>
    <w:rsid w:val="006E6489"/>
    <w:rsid w:val="006E6AC9"/>
    <w:rsid w:val="006E6AEE"/>
    <w:rsid w:val="006E720C"/>
    <w:rsid w:val="006E72BB"/>
    <w:rsid w:val="006E753F"/>
    <w:rsid w:val="006E7BD2"/>
    <w:rsid w:val="006E7E77"/>
    <w:rsid w:val="006F0099"/>
    <w:rsid w:val="006F0322"/>
    <w:rsid w:val="006F037F"/>
    <w:rsid w:val="006F09B9"/>
    <w:rsid w:val="006F0AE9"/>
    <w:rsid w:val="006F0FD2"/>
    <w:rsid w:val="006F1013"/>
    <w:rsid w:val="006F1070"/>
    <w:rsid w:val="006F11DA"/>
    <w:rsid w:val="006F1AEC"/>
    <w:rsid w:val="006F1C12"/>
    <w:rsid w:val="006F1C27"/>
    <w:rsid w:val="006F1C7A"/>
    <w:rsid w:val="006F2028"/>
    <w:rsid w:val="006F2139"/>
    <w:rsid w:val="006F23ED"/>
    <w:rsid w:val="006F28E4"/>
    <w:rsid w:val="006F2987"/>
    <w:rsid w:val="006F2C17"/>
    <w:rsid w:val="006F2E5A"/>
    <w:rsid w:val="006F353A"/>
    <w:rsid w:val="006F35BB"/>
    <w:rsid w:val="006F35E4"/>
    <w:rsid w:val="006F3720"/>
    <w:rsid w:val="006F40FF"/>
    <w:rsid w:val="006F427F"/>
    <w:rsid w:val="006F42A7"/>
    <w:rsid w:val="006F43B3"/>
    <w:rsid w:val="006F5351"/>
    <w:rsid w:val="006F5D74"/>
    <w:rsid w:val="006F6046"/>
    <w:rsid w:val="006F6253"/>
    <w:rsid w:val="006F649C"/>
    <w:rsid w:val="006F64A6"/>
    <w:rsid w:val="006F653C"/>
    <w:rsid w:val="006F66A4"/>
    <w:rsid w:val="006F694F"/>
    <w:rsid w:val="006F6A59"/>
    <w:rsid w:val="006F6B73"/>
    <w:rsid w:val="006F7144"/>
    <w:rsid w:val="006F7331"/>
    <w:rsid w:val="006F7496"/>
    <w:rsid w:val="006F7819"/>
    <w:rsid w:val="006F7839"/>
    <w:rsid w:val="006F7A8A"/>
    <w:rsid w:val="0070001D"/>
    <w:rsid w:val="00700238"/>
    <w:rsid w:val="00700272"/>
    <w:rsid w:val="007002F2"/>
    <w:rsid w:val="007006D4"/>
    <w:rsid w:val="00700A4F"/>
    <w:rsid w:val="00700C3C"/>
    <w:rsid w:val="00700DF4"/>
    <w:rsid w:val="007018D9"/>
    <w:rsid w:val="007020A9"/>
    <w:rsid w:val="007023D4"/>
    <w:rsid w:val="00702487"/>
    <w:rsid w:val="007028FC"/>
    <w:rsid w:val="00702A18"/>
    <w:rsid w:val="00703983"/>
    <w:rsid w:val="0070418B"/>
    <w:rsid w:val="007041EF"/>
    <w:rsid w:val="0070425B"/>
    <w:rsid w:val="0070431D"/>
    <w:rsid w:val="00704595"/>
    <w:rsid w:val="007046F1"/>
    <w:rsid w:val="007049DB"/>
    <w:rsid w:val="00704B70"/>
    <w:rsid w:val="00704D4E"/>
    <w:rsid w:val="00705E37"/>
    <w:rsid w:val="0070652B"/>
    <w:rsid w:val="007066B9"/>
    <w:rsid w:val="00706756"/>
    <w:rsid w:val="0070677D"/>
    <w:rsid w:val="007068DD"/>
    <w:rsid w:val="00706C2A"/>
    <w:rsid w:val="00707116"/>
    <w:rsid w:val="007072C4"/>
    <w:rsid w:val="00707901"/>
    <w:rsid w:val="00707D9D"/>
    <w:rsid w:val="00710411"/>
    <w:rsid w:val="007113FB"/>
    <w:rsid w:val="00711C73"/>
    <w:rsid w:val="00711EB8"/>
    <w:rsid w:val="00711F22"/>
    <w:rsid w:val="0071249E"/>
    <w:rsid w:val="00712A0A"/>
    <w:rsid w:val="00712E1F"/>
    <w:rsid w:val="00712F6D"/>
    <w:rsid w:val="0071325D"/>
    <w:rsid w:val="0071340E"/>
    <w:rsid w:val="00713823"/>
    <w:rsid w:val="00713BBE"/>
    <w:rsid w:val="00713DAF"/>
    <w:rsid w:val="0071447C"/>
    <w:rsid w:val="00714811"/>
    <w:rsid w:val="00714C46"/>
    <w:rsid w:val="0071510B"/>
    <w:rsid w:val="007152CB"/>
    <w:rsid w:val="007154DF"/>
    <w:rsid w:val="0071577A"/>
    <w:rsid w:val="007158B1"/>
    <w:rsid w:val="00715B40"/>
    <w:rsid w:val="00715BA8"/>
    <w:rsid w:val="00716431"/>
    <w:rsid w:val="007165F1"/>
    <w:rsid w:val="0071661D"/>
    <w:rsid w:val="007166D1"/>
    <w:rsid w:val="00716C73"/>
    <w:rsid w:val="007170DB"/>
    <w:rsid w:val="00717164"/>
    <w:rsid w:val="00717A0D"/>
    <w:rsid w:val="00717B77"/>
    <w:rsid w:val="007201A1"/>
    <w:rsid w:val="00720259"/>
    <w:rsid w:val="0072034D"/>
    <w:rsid w:val="007205C1"/>
    <w:rsid w:val="00720965"/>
    <w:rsid w:val="00720C90"/>
    <w:rsid w:val="00720CFB"/>
    <w:rsid w:val="00720DD0"/>
    <w:rsid w:val="00720E3C"/>
    <w:rsid w:val="00721075"/>
    <w:rsid w:val="007210A5"/>
    <w:rsid w:val="007210FD"/>
    <w:rsid w:val="007211FF"/>
    <w:rsid w:val="00721231"/>
    <w:rsid w:val="00721305"/>
    <w:rsid w:val="007213BD"/>
    <w:rsid w:val="0072181C"/>
    <w:rsid w:val="00721B69"/>
    <w:rsid w:val="00722023"/>
    <w:rsid w:val="00722200"/>
    <w:rsid w:val="007222E8"/>
    <w:rsid w:val="0072274B"/>
    <w:rsid w:val="00722935"/>
    <w:rsid w:val="00722CB8"/>
    <w:rsid w:val="007233CB"/>
    <w:rsid w:val="007233F1"/>
    <w:rsid w:val="0072369E"/>
    <w:rsid w:val="007236A9"/>
    <w:rsid w:val="007237DA"/>
    <w:rsid w:val="0072395A"/>
    <w:rsid w:val="00723B9A"/>
    <w:rsid w:val="00723CED"/>
    <w:rsid w:val="00724321"/>
    <w:rsid w:val="00724A62"/>
    <w:rsid w:val="00724DBF"/>
    <w:rsid w:val="00724F0F"/>
    <w:rsid w:val="007250A0"/>
    <w:rsid w:val="0072543E"/>
    <w:rsid w:val="00725A34"/>
    <w:rsid w:val="0072613C"/>
    <w:rsid w:val="00726521"/>
    <w:rsid w:val="00726ACD"/>
    <w:rsid w:val="00726B93"/>
    <w:rsid w:val="00726E29"/>
    <w:rsid w:val="00726F23"/>
    <w:rsid w:val="00727AB5"/>
    <w:rsid w:val="00727E1E"/>
    <w:rsid w:val="00727F16"/>
    <w:rsid w:val="00730060"/>
    <w:rsid w:val="00730355"/>
    <w:rsid w:val="0073061C"/>
    <w:rsid w:val="0073076F"/>
    <w:rsid w:val="0073091C"/>
    <w:rsid w:val="00730B06"/>
    <w:rsid w:val="00730B5F"/>
    <w:rsid w:val="00730B67"/>
    <w:rsid w:val="00730C43"/>
    <w:rsid w:val="00730DA4"/>
    <w:rsid w:val="007313FB"/>
    <w:rsid w:val="007317E3"/>
    <w:rsid w:val="00731898"/>
    <w:rsid w:val="00731BB9"/>
    <w:rsid w:val="007329D7"/>
    <w:rsid w:val="00733025"/>
    <w:rsid w:val="007335F9"/>
    <w:rsid w:val="00733978"/>
    <w:rsid w:val="007339D9"/>
    <w:rsid w:val="00733A85"/>
    <w:rsid w:val="00733DC9"/>
    <w:rsid w:val="007343EE"/>
    <w:rsid w:val="00734DF9"/>
    <w:rsid w:val="00734E03"/>
    <w:rsid w:val="007356C1"/>
    <w:rsid w:val="00735BF1"/>
    <w:rsid w:val="00735C98"/>
    <w:rsid w:val="00735F73"/>
    <w:rsid w:val="0073606D"/>
    <w:rsid w:val="00736152"/>
    <w:rsid w:val="007364D1"/>
    <w:rsid w:val="007367C6"/>
    <w:rsid w:val="00736CEC"/>
    <w:rsid w:val="00736D29"/>
    <w:rsid w:val="00736F05"/>
    <w:rsid w:val="0073717A"/>
    <w:rsid w:val="0073769D"/>
    <w:rsid w:val="00737A1C"/>
    <w:rsid w:val="00737B8F"/>
    <w:rsid w:val="00737F00"/>
    <w:rsid w:val="007400F0"/>
    <w:rsid w:val="00740642"/>
    <w:rsid w:val="0074095F"/>
    <w:rsid w:val="007409AE"/>
    <w:rsid w:val="007409B7"/>
    <w:rsid w:val="007411CA"/>
    <w:rsid w:val="00741338"/>
    <w:rsid w:val="0074150B"/>
    <w:rsid w:val="0074153E"/>
    <w:rsid w:val="007416EE"/>
    <w:rsid w:val="007419E4"/>
    <w:rsid w:val="00741A25"/>
    <w:rsid w:val="00741F6C"/>
    <w:rsid w:val="00742168"/>
    <w:rsid w:val="007429D2"/>
    <w:rsid w:val="00742A06"/>
    <w:rsid w:val="00742B13"/>
    <w:rsid w:val="00742C4F"/>
    <w:rsid w:val="00742E2A"/>
    <w:rsid w:val="00742E4A"/>
    <w:rsid w:val="00742FE8"/>
    <w:rsid w:val="0074306B"/>
    <w:rsid w:val="007430C6"/>
    <w:rsid w:val="0074323A"/>
    <w:rsid w:val="00743642"/>
    <w:rsid w:val="00743813"/>
    <w:rsid w:val="00743ADF"/>
    <w:rsid w:val="00743B14"/>
    <w:rsid w:val="007442CF"/>
    <w:rsid w:val="007443E5"/>
    <w:rsid w:val="00744802"/>
    <w:rsid w:val="00744BA7"/>
    <w:rsid w:val="00744CD6"/>
    <w:rsid w:val="00744DBD"/>
    <w:rsid w:val="00744EDA"/>
    <w:rsid w:val="00744FD3"/>
    <w:rsid w:val="00745035"/>
    <w:rsid w:val="00745059"/>
    <w:rsid w:val="007450CD"/>
    <w:rsid w:val="00745251"/>
    <w:rsid w:val="00745743"/>
    <w:rsid w:val="00745E2E"/>
    <w:rsid w:val="00745FAA"/>
    <w:rsid w:val="0074608E"/>
    <w:rsid w:val="00746313"/>
    <w:rsid w:val="007466C8"/>
    <w:rsid w:val="00746EF5"/>
    <w:rsid w:val="007501CC"/>
    <w:rsid w:val="00750EFA"/>
    <w:rsid w:val="0075164D"/>
    <w:rsid w:val="0075188C"/>
    <w:rsid w:val="00751DAF"/>
    <w:rsid w:val="00751DE9"/>
    <w:rsid w:val="00751E0E"/>
    <w:rsid w:val="00751E59"/>
    <w:rsid w:val="0075203A"/>
    <w:rsid w:val="007525AC"/>
    <w:rsid w:val="007525E6"/>
    <w:rsid w:val="00752A9D"/>
    <w:rsid w:val="00752E8C"/>
    <w:rsid w:val="007530A7"/>
    <w:rsid w:val="00753314"/>
    <w:rsid w:val="0075373D"/>
    <w:rsid w:val="007538B9"/>
    <w:rsid w:val="007539A6"/>
    <w:rsid w:val="00753CD5"/>
    <w:rsid w:val="00753DE4"/>
    <w:rsid w:val="007541C5"/>
    <w:rsid w:val="007542A2"/>
    <w:rsid w:val="00754794"/>
    <w:rsid w:val="007547A2"/>
    <w:rsid w:val="007547AC"/>
    <w:rsid w:val="00754D99"/>
    <w:rsid w:val="00754FCA"/>
    <w:rsid w:val="007550FB"/>
    <w:rsid w:val="00755522"/>
    <w:rsid w:val="00755FAA"/>
    <w:rsid w:val="007561F9"/>
    <w:rsid w:val="00756208"/>
    <w:rsid w:val="007567DB"/>
    <w:rsid w:val="007568F9"/>
    <w:rsid w:val="00756C9B"/>
    <w:rsid w:val="00756E6A"/>
    <w:rsid w:val="00757740"/>
    <w:rsid w:val="0075776E"/>
    <w:rsid w:val="00757772"/>
    <w:rsid w:val="00757900"/>
    <w:rsid w:val="007579CC"/>
    <w:rsid w:val="00757BEF"/>
    <w:rsid w:val="00760371"/>
    <w:rsid w:val="0076048F"/>
    <w:rsid w:val="007604F4"/>
    <w:rsid w:val="007605B0"/>
    <w:rsid w:val="0076078A"/>
    <w:rsid w:val="00760B03"/>
    <w:rsid w:val="00760E28"/>
    <w:rsid w:val="00760F2E"/>
    <w:rsid w:val="00760FB1"/>
    <w:rsid w:val="007615E9"/>
    <w:rsid w:val="007615F8"/>
    <w:rsid w:val="0076179D"/>
    <w:rsid w:val="00761B46"/>
    <w:rsid w:val="00761C51"/>
    <w:rsid w:val="00761D21"/>
    <w:rsid w:val="00761D5A"/>
    <w:rsid w:val="0076211D"/>
    <w:rsid w:val="00762156"/>
    <w:rsid w:val="00762278"/>
    <w:rsid w:val="00762372"/>
    <w:rsid w:val="007624F4"/>
    <w:rsid w:val="00762509"/>
    <w:rsid w:val="0076265D"/>
    <w:rsid w:val="007627DF"/>
    <w:rsid w:val="0076299F"/>
    <w:rsid w:val="00762BC7"/>
    <w:rsid w:val="00762D3D"/>
    <w:rsid w:val="007632D2"/>
    <w:rsid w:val="00763305"/>
    <w:rsid w:val="0076365B"/>
    <w:rsid w:val="0076368E"/>
    <w:rsid w:val="007636BF"/>
    <w:rsid w:val="00763804"/>
    <w:rsid w:val="00763831"/>
    <w:rsid w:val="00763B25"/>
    <w:rsid w:val="00763CA5"/>
    <w:rsid w:val="00763CC1"/>
    <w:rsid w:val="00764309"/>
    <w:rsid w:val="0076434B"/>
    <w:rsid w:val="0076435F"/>
    <w:rsid w:val="00764417"/>
    <w:rsid w:val="0076448A"/>
    <w:rsid w:val="0076473C"/>
    <w:rsid w:val="007652B1"/>
    <w:rsid w:val="00765576"/>
    <w:rsid w:val="007659BF"/>
    <w:rsid w:val="00765CDC"/>
    <w:rsid w:val="00765D5A"/>
    <w:rsid w:val="00765DB2"/>
    <w:rsid w:val="00765DCB"/>
    <w:rsid w:val="0076620F"/>
    <w:rsid w:val="0076746A"/>
    <w:rsid w:val="00767610"/>
    <w:rsid w:val="00767758"/>
    <w:rsid w:val="00767B60"/>
    <w:rsid w:val="00767CE1"/>
    <w:rsid w:val="00770169"/>
    <w:rsid w:val="00770352"/>
    <w:rsid w:val="00770851"/>
    <w:rsid w:val="00770937"/>
    <w:rsid w:val="007709C2"/>
    <w:rsid w:val="007709CD"/>
    <w:rsid w:val="0077101E"/>
    <w:rsid w:val="00771430"/>
    <w:rsid w:val="00771477"/>
    <w:rsid w:val="007717EA"/>
    <w:rsid w:val="007718BA"/>
    <w:rsid w:val="0077194D"/>
    <w:rsid w:val="0077196B"/>
    <w:rsid w:val="00771A14"/>
    <w:rsid w:val="00771B27"/>
    <w:rsid w:val="00771C3D"/>
    <w:rsid w:val="007724D9"/>
    <w:rsid w:val="00772682"/>
    <w:rsid w:val="00772B07"/>
    <w:rsid w:val="00772DE2"/>
    <w:rsid w:val="00772E44"/>
    <w:rsid w:val="00772F87"/>
    <w:rsid w:val="00772FD2"/>
    <w:rsid w:val="007732AC"/>
    <w:rsid w:val="00773841"/>
    <w:rsid w:val="00773BCC"/>
    <w:rsid w:val="00773C65"/>
    <w:rsid w:val="00773C66"/>
    <w:rsid w:val="00773C72"/>
    <w:rsid w:val="00773CEE"/>
    <w:rsid w:val="00773DEB"/>
    <w:rsid w:val="00773FD0"/>
    <w:rsid w:val="0077406C"/>
    <w:rsid w:val="007744E9"/>
    <w:rsid w:val="00774681"/>
    <w:rsid w:val="00774F25"/>
    <w:rsid w:val="00774F7A"/>
    <w:rsid w:val="00774FFF"/>
    <w:rsid w:val="0077597C"/>
    <w:rsid w:val="007761A4"/>
    <w:rsid w:val="0077654E"/>
    <w:rsid w:val="0077662E"/>
    <w:rsid w:val="00776643"/>
    <w:rsid w:val="007766C6"/>
    <w:rsid w:val="00776732"/>
    <w:rsid w:val="00776803"/>
    <w:rsid w:val="00776A54"/>
    <w:rsid w:val="00776E1F"/>
    <w:rsid w:val="0077715D"/>
    <w:rsid w:val="00777202"/>
    <w:rsid w:val="007772C2"/>
    <w:rsid w:val="00777478"/>
    <w:rsid w:val="007777CB"/>
    <w:rsid w:val="00777B13"/>
    <w:rsid w:val="00777FD3"/>
    <w:rsid w:val="007804FE"/>
    <w:rsid w:val="00780A8C"/>
    <w:rsid w:val="00780D47"/>
    <w:rsid w:val="0078114F"/>
    <w:rsid w:val="0078124F"/>
    <w:rsid w:val="007815AD"/>
    <w:rsid w:val="0078180D"/>
    <w:rsid w:val="0078187D"/>
    <w:rsid w:val="007818ED"/>
    <w:rsid w:val="0078205A"/>
    <w:rsid w:val="0078220A"/>
    <w:rsid w:val="00782568"/>
    <w:rsid w:val="00782E95"/>
    <w:rsid w:val="00782FF9"/>
    <w:rsid w:val="00783080"/>
    <w:rsid w:val="0078350F"/>
    <w:rsid w:val="007836A3"/>
    <w:rsid w:val="00783A40"/>
    <w:rsid w:val="00783C7D"/>
    <w:rsid w:val="00783D3B"/>
    <w:rsid w:val="00784005"/>
    <w:rsid w:val="00784353"/>
    <w:rsid w:val="007845E5"/>
    <w:rsid w:val="00784A32"/>
    <w:rsid w:val="00784B76"/>
    <w:rsid w:val="00784D02"/>
    <w:rsid w:val="00785754"/>
    <w:rsid w:val="007857C3"/>
    <w:rsid w:val="00785879"/>
    <w:rsid w:val="00785C53"/>
    <w:rsid w:val="00785CE7"/>
    <w:rsid w:val="00785F36"/>
    <w:rsid w:val="007862BA"/>
    <w:rsid w:val="00786B52"/>
    <w:rsid w:val="00787340"/>
    <w:rsid w:val="007875FF"/>
    <w:rsid w:val="00787A47"/>
    <w:rsid w:val="007902A2"/>
    <w:rsid w:val="007902FD"/>
    <w:rsid w:val="0079039A"/>
    <w:rsid w:val="007908D9"/>
    <w:rsid w:val="007909ED"/>
    <w:rsid w:val="00790C28"/>
    <w:rsid w:val="00790DE8"/>
    <w:rsid w:val="00790F8F"/>
    <w:rsid w:val="00791260"/>
    <w:rsid w:val="00791379"/>
    <w:rsid w:val="00791479"/>
    <w:rsid w:val="00791530"/>
    <w:rsid w:val="00791544"/>
    <w:rsid w:val="007915AB"/>
    <w:rsid w:val="00791672"/>
    <w:rsid w:val="00791885"/>
    <w:rsid w:val="0079189C"/>
    <w:rsid w:val="00791A97"/>
    <w:rsid w:val="00792370"/>
    <w:rsid w:val="007929D1"/>
    <w:rsid w:val="00792DA4"/>
    <w:rsid w:val="0079384B"/>
    <w:rsid w:val="00793A7F"/>
    <w:rsid w:val="00793E28"/>
    <w:rsid w:val="007940E8"/>
    <w:rsid w:val="00794285"/>
    <w:rsid w:val="00794923"/>
    <w:rsid w:val="00794A93"/>
    <w:rsid w:val="007950E3"/>
    <w:rsid w:val="0079513F"/>
    <w:rsid w:val="00795470"/>
    <w:rsid w:val="0079549B"/>
    <w:rsid w:val="00795D10"/>
    <w:rsid w:val="00795EA0"/>
    <w:rsid w:val="0079617C"/>
    <w:rsid w:val="00796222"/>
    <w:rsid w:val="0079649D"/>
    <w:rsid w:val="0079684D"/>
    <w:rsid w:val="00796EBE"/>
    <w:rsid w:val="0079706F"/>
    <w:rsid w:val="0079732A"/>
    <w:rsid w:val="00797356"/>
    <w:rsid w:val="007974DE"/>
    <w:rsid w:val="00797E53"/>
    <w:rsid w:val="00797F69"/>
    <w:rsid w:val="007A001B"/>
    <w:rsid w:val="007A00B7"/>
    <w:rsid w:val="007A05E0"/>
    <w:rsid w:val="007A06EF"/>
    <w:rsid w:val="007A08E1"/>
    <w:rsid w:val="007A0AC4"/>
    <w:rsid w:val="007A0B2A"/>
    <w:rsid w:val="007A1015"/>
    <w:rsid w:val="007A14FC"/>
    <w:rsid w:val="007A16BA"/>
    <w:rsid w:val="007A18A0"/>
    <w:rsid w:val="007A1FCB"/>
    <w:rsid w:val="007A299C"/>
    <w:rsid w:val="007A2B48"/>
    <w:rsid w:val="007A2D16"/>
    <w:rsid w:val="007A310E"/>
    <w:rsid w:val="007A32C4"/>
    <w:rsid w:val="007A34D8"/>
    <w:rsid w:val="007A35E6"/>
    <w:rsid w:val="007A3801"/>
    <w:rsid w:val="007A38D8"/>
    <w:rsid w:val="007A3954"/>
    <w:rsid w:val="007A3BA9"/>
    <w:rsid w:val="007A3E12"/>
    <w:rsid w:val="007A3EA3"/>
    <w:rsid w:val="007A4B1D"/>
    <w:rsid w:val="007A4B54"/>
    <w:rsid w:val="007A4C47"/>
    <w:rsid w:val="007A4DE0"/>
    <w:rsid w:val="007A5054"/>
    <w:rsid w:val="007A52F2"/>
    <w:rsid w:val="007A5481"/>
    <w:rsid w:val="007A567C"/>
    <w:rsid w:val="007A57AF"/>
    <w:rsid w:val="007A59B3"/>
    <w:rsid w:val="007A5ACB"/>
    <w:rsid w:val="007A5B50"/>
    <w:rsid w:val="007A6432"/>
    <w:rsid w:val="007A66B0"/>
    <w:rsid w:val="007A697F"/>
    <w:rsid w:val="007A6A6D"/>
    <w:rsid w:val="007A6AB9"/>
    <w:rsid w:val="007A6B1C"/>
    <w:rsid w:val="007A78AF"/>
    <w:rsid w:val="007A7AC5"/>
    <w:rsid w:val="007A7BDB"/>
    <w:rsid w:val="007A7DC6"/>
    <w:rsid w:val="007A7FE7"/>
    <w:rsid w:val="007B07E1"/>
    <w:rsid w:val="007B09E7"/>
    <w:rsid w:val="007B0B02"/>
    <w:rsid w:val="007B0BEC"/>
    <w:rsid w:val="007B0D54"/>
    <w:rsid w:val="007B0D87"/>
    <w:rsid w:val="007B0F0D"/>
    <w:rsid w:val="007B10A1"/>
    <w:rsid w:val="007B1105"/>
    <w:rsid w:val="007B12F9"/>
    <w:rsid w:val="007B16B0"/>
    <w:rsid w:val="007B1897"/>
    <w:rsid w:val="007B1C22"/>
    <w:rsid w:val="007B1E36"/>
    <w:rsid w:val="007B1E7D"/>
    <w:rsid w:val="007B1F8E"/>
    <w:rsid w:val="007B1FDE"/>
    <w:rsid w:val="007B1FE5"/>
    <w:rsid w:val="007B20B0"/>
    <w:rsid w:val="007B211E"/>
    <w:rsid w:val="007B2746"/>
    <w:rsid w:val="007B32A7"/>
    <w:rsid w:val="007B38C3"/>
    <w:rsid w:val="007B396F"/>
    <w:rsid w:val="007B3B39"/>
    <w:rsid w:val="007B3D75"/>
    <w:rsid w:val="007B3DE1"/>
    <w:rsid w:val="007B3E0D"/>
    <w:rsid w:val="007B4453"/>
    <w:rsid w:val="007B4826"/>
    <w:rsid w:val="007B54C2"/>
    <w:rsid w:val="007B5529"/>
    <w:rsid w:val="007B5618"/>
    <w:rsid w:val="007B58CA"/>
    <w:rsid w:val="007B5976"/>
    <w:rsid w:val="007B5A51"/>
    <w:rsid w:val="007B60A3"/>
    <w:rsid w:val="007B62A1"/>
    <w:rsid w:val="007B63FF"/>
    <w:rsid w:val="007B6578"/>
    <w:rsid w:val="007B6766"/>
    <w:rsid w:val="007B6BF3"/>
    <w:rsid w:val="007B6D45"/>
    <w:rsid w:val="007B6EF2"/>
    <w:rsid w:val="007B70DB"/>
    <w:rsid w:val="007B73F1"/>
    <w:rsid w:val="007B7416"/>
    <w:rsid w:val="007B7998"/>
    <w:rsid w:val="007B7CBE"/>
    <w:rsid w:val="007B7DE5"/>
    <w:rsid w:val="007C03C8"/>
    <w:rsid w:val="007C04B5"/>
    <w:rsid w:val="007C0955"/>
    <w:rsid w:val="007C101C"/>
    <w:rsid w:val="007C12E2"/>
    <w:rsid w:val="007C1438"/>
    <w:rsid w:val="007C15F6"/>
    <w:rsid w:val="007C18BA"/>
    <w:rsid w:val="007C18CE"/>
    <w:rsid w:val="007C18E5"/>
    <w:rsid w:val="007C206F"/>
    <w:rsid w:val="007C290D"/>
    <w:rsid w:val="007C2A05"/>
    <w:rsid w:val="007C2A76"/>
    <w:rsid w:val="007C2BCF"/>
    <w:rsid w:val="007C2D2A"/>
    <w:rsid w:val="007C2E60"/>
    <w:rsid w:val="007C2F7B"/>
    <w:rsid w:val="007C3238"/>
    <w:rsid w:val="007C3439"/>
    <w:rsid w:val="007C3698"/>
    <w:rsid w:val="007C3727"/>
    <w:rsid w:val="007C374A"/>
    <w:rsid w:val="007C395D"/>
    <w:rsid w:val="007C397F"/>
    <w:rsid w:val="007C3A55"/>
    <w:rsid w:val="007C3AFC"/>
    <w:rsid w:val="007C3D75"/>
    <w:rsid w:val="007C4300"/>
    <w:rsid w:val="007C4339"/>
    <w:rsid w:val="007C43DE"/>
    <w:rsid w:val="007C4678"/>
    <w:rsid w:val="007C46BF"/>
    <w:rsid w:val="007C4770"/>
    <w:rsid w:val="007C4A9C"/>
    <w:rsid w:val="007C4B99"/>
    <w:rsid w:val="007C4FB1"/>
    <w:rsid w:val="007C5390"/>
    <w:rsid w:val="007C5794"/>
    <w:rsid w:val="007C58F3"/>
    <w:rsid w:val="007C58FD"/>
    <w:rsid w:val="007C5985"/>
    <w:rsid w:val="007C5B31"/>
    <w:rsid w:val="007C5CBD"/>
    <w:rsid w:val="007C5DB1"/>
    <w:rsid w:val="007C6397"/>
    <w:rsid w:val="007C65C7"/>
    <w:rsid w:val="007C669C"/>
    <w:rsid w:val="007C688A"/>
    <w:rsid w:val="007C693A"/>
    <w:rsid w:val="007C6DE6"/>
    <w:rsid w:val="007C6F3F"/>
    <w:rsid w:val="007C71AC"/>
    <w:rsid w:val="007C745A"/>
    <w:rsid w:val="007C7AF1"/>
    <w:rsid w:val="007C7CA7"/>
    <w:rsid w:val="007C7D94"/>
    <w:rsid w:val="007D013C"/>
    <w:rsid w:val="007D0DBD"/>
    <w:rsid w:val="007D0E1A"/>
    <w:rsid w:val="007D0E36"/>
    <w:rsid w:val="007D0FBF"/>
    <w:rsid w:val="007D135D"/>
    <w:rsid w:val="007D137A"/>
    <w:rsid w:val="007D141A"/>
    <w:rsid w:val="007D16FA"/>
    <w:rsid w:val="007D1B65"/>
    <w:rsid w:val="007D1EC3"/>
    <w:rsid w:val="007D21A7"/>
    <w:rsid w:val="007D21AD"/>
    <w:rsid w:val="007D2296"/>
    <w:rsid w:val="007D22C8"/>
    <w:rsid w:val="007D24AA"/>
    <w:rsid w:val="007D273C"/>
    <w:rsid w:val="007D2C1B"/>
    <w:rsid w:val="007D344A"/>
    <w:rsid w:val="007D3E59"/>
    <w:rsid w:val="007D416E"/>
    <w:rsid w:val="007D44A2"/>
    <w:rsid w:val="007D44C9"/>
    <w:rsid w:val="007D4B22"/>
    <w:rsid w:val="007D4E13"/>
    <w:rsid w:val="007D5202"/>
    <w:rsid w:val="007D57C1"/>
    <w:rsid w:val="007D599A"/>
    <w:rsid w:val="007D5A79"/>
    <w:rsid w:val="007D5A82"/>
    <w:rsid w:val="007D60A0"/>
    <w:rsid w:val="007D63B7"/>
    <w:rsid w:val="007D658C"/>
    <w:rsid w:val="007D65DD"/>
    <w:rsid w:val="007D6986"/>
    <w:rsid w:val="007D6C8B"/>
    <w:rsid w:val="007D712D"/>
    <w:rsid w:val="007D73C4"/>
    <w:rsid w:val="007D7442"/>
    <w:rsid w:val="007D74CB"/>
    <w:rsid w:val="007D7548"/>
    <w:rsid w:val="007D7627"/>
    <w:rsid w:val="007D7A29"/>
    <w:rsid w:val="007D7AE2"/>
    <w:rsid w:val="007D7C7F"/>
    <w:rsid w:val="007D7E71"/>
    <w:rsid w:val="007E01E6"/>
    <w:rsid w:val="007E0424"/>
    <w:rsid w:val="007E095D"/>
    <w:rsid w:val="007E0ABD"/>
    <w:rsid w:val="007E0C94"/>
    <w:rsid w:val="007E0E9C"/>
    <w:rsid w:val="007E108C"/>
    <w:rsid w:val="007E13E8"/>
    <w:rsid w:val="007E186D"/>
    <w:rsid w:val="007E18B1"/>
    <w:rsid w:val="007E1A83"/>
    <w:rsid w:val="007E20D8"/>
    <w:rsid w:val="007E2585"/>
    <w:rsid w:val="007E2696"/>
    <w:rsid w:val="007E29F4"/>
    <w:rsid w:val="007E3028"/>
    <w:rsid w:val="007E30D4"/>
    <w:rsid w:val="007E31AB"/>
    <w:rsid w:val="007E330C"/>
    <w:rsid w:val="007E3A63"/>
    <w:rsid w:val="007E3A77"/>
    <w:rsid w:val="007E3B39"/>
    <w:rsid w:val="007E3BAC"/>
    <w:rsid w:val="007E3ED1"/>
    <w:rsid w:val="007E3FA7"/>
    <w:rsid w:val="007E4482"/>
    <w:rsid w:val="007E44CB"/>
    <w:rsid w:val="007E4533"/>
    <w:rsid w:val="007E464C"/>
    <w:rsid w:val="007E4798"/>
    <w:rsid w:val="007E47DA"/>
    <w:rsid w:val="007E4A4D"/>
    <w:rsid w:val="007E5110"/>
    <w:rsid w:val="007E5415"/>
    <w:rsid w:val="007E576D"/>
    <w:rsid w:val="007E5902"/>
    <w:rsid w:val="007E5C50"/>
    <w:rsid w:val="007E683B"/>
    <w:rsid w:val="007E6B03"/>
    <w:rsid w:val="007E6C43"/>
    <w:rsid w:val="007E6D0C"/>
    <w:rsid w:val="007E6DB7"/>
    <w:rsid w:val="007E6EA9"/>
    <w:rsid w:val="007E6FD2"/>
    <w:rsid w:val="007E7104"/>
    <w:rsid w:val="007E730C"/>
    <w:rsid w:val="007E7966"/>
    <w:rsid w:val="007E7C7D"/>
    <w:rsid w:val="007F02CF"/>
    <w:rsid w:val="007F0E7D"/>
    <w:rsid w:val="007F12AB"/>
    <w:rsid w:val="007F1737"/>
    <w:rsid w:val="007F1781"/>
    <w:rsid w:val="007F241E"/>
    <w:rsid w:val="007F24DF"/>
    <w:rsid w:val="007F24E9"/>
    <w:rsid w:val="007F2571"/>
    <w:rsid w:val="007F29D0"/>
    <w:rsid w:val="007F2A6C"/>
    <w:rsid w:val="007F2EBB"/>
    <w:rsid w:val="007F33F7"/>
    <w:rsid w:val="007F3435"/>
    <w:rsid w:val="007F359C"/>
    <w:rsid w:val="007F3A2D"/>
    <w:rsid w:val="007F3F91"/>
    <w:rsid w:val="007F47BB"/>
    <w:rsid w:val="007F4FBC"/>
    <w:rsid w:val="007F53D8"/>
    <w:rsid w:val="007F54A9"/>
    <w:rsid w:val="007F5CC0"/>
    <w:rsid w:val="007F651D"/>
    <w:rsid w:val="007F6520"/>
    <w:rsid w:val="007F6819"/>
    <w:rsid w:val="007F6D44"/>
    <w:rsid w:val="007F6E28"/>
    <w:rsid w:val="007F6EFD"/>
    <w:rsid w:val="007F71DB"/>
    <w:rsid w:val="007F7355"/>
    <w:rsid w:val="007F73D2"/>
    <w:rsid w:val="007F75A4"/>
    <w:rsid w:val="007F775F"/>
    <w:rsid w:val="007F7DE4"/>
    <w:rsid w:val="007F7E49"/>
    <w:rsid w:val="007F7FC0"/>
    <w:rsid w:val="00800063"/>
    <w:rsid w:val="00800431"/>
    <w:rsid w:val="00800AB0"/>
    <w:rsid w:val="00800C20"/>
    <w:rsid w:val="0080104E"/>
    <w:rsid w:val="0080139C"/>
    <w:rsid w:val="008013ED"/>
    <w:rsid w:val="008015BA"/>
    <w:rsid w:val="00801C2B"/>
    <w:rsid w:val="00801EC3"/>
    <w:rsid w:val="00802269"/>
    <w:rsid w:val="00802A16"/>
    <w:rsid w:val="00802E1F"/>
    <w:rsid w:val="00803374"/>
    <w:rsid w:val="00803442"/>
    <w:rsid w:val="00803D63"/>
    <w:rsid w:val="00803E0C"/>
    <w:rsid w:val="008044A3"/>
    <w:rsid w:val="00804545"/>
    <w:rsid w:val="0080475D"/>
    <w:rsid w:val="00804A74"/>
    <w:rsid w:val="00804ABD"/>
    <w:rsid w:val="0080549C"/>
    <w:rsid w:val="0080561B"/>
    <w:rsid w:val="00805961"/>
    <w:rsid w:val="00805A03"/>
    <w:rsid w:val="00805D02"/>
    <w:rsid w:val="00805DD4"/>
    <w:rsid w:val="00806002"/>
    <w:rsid w:val="0080647F"/>
    <w:rsid w:val="0080650D"/>
    <w:rsid w:val="0080666B"/>
    <w:rsid w:val="00806FBF"/>
    <w:rsid w:val="00807177"/>
    <w:rsid w:val="008073A7"/>
    <w:rsid w:val="0080766C"/>
    <w:rsid w:val="0080796E"/>
    <w:rsid w:val="00807D28"/>
    <w:rsid w:val="00807E94"/>
    <w:rsid w:val="008101AE"/>
    <w:rsid w:val="00810332"/>
    <w:rsid w:val="00810884"/>
    <w:rsid w:val="00810B65"/>
    <w:rsid w:val="00810B93"/>
    <w:rsid w:val="00810D97"/>
    <w:rsid w:val="00811171"/>
    <w:rsid w:val="008111E8"/>
    <w:rsid w:val="00811A32"/>
    <w:rsid w:val="00812331"/>
    <w:rsid w:val="0081239F"/>
    <w:rsid w:val="00812FA7"/>
    <w:rsid w:val="008130FA"/>
    <w:rsid w:val="00813562"/>
    <w:rsid w:val="00813F9B"/>
    <w:rsid w:val="008141F1"/>
    <w:rsid w:val="00814662"/>
    <w:rsid w:val="00814BAB"/>
    <w:rsid w:val="008157F0"/>
    <w:rsid w:val="0081581F"/>
    <w:rsid w:val="00815E69"/>
    <w:rsid w:val="008161FD"/>
    <w:rsid w:val="008165EB"/>
    <w:rsid w:val="00816855"/>
    <w:rsid w:val="00816D7D"/>
    <w:rsid w:val="00817C12"/>
    <w:rsid w:val="00817DC9"/>
    <w:rsid w:val="0082003F"/>
    <w:rsid w:val="00820569"/>
    <w:rsid w:val="00820BC2"/>
    <w:rsid w:val="00820EB5"/>
    <w:rsid w:val="00820FA1"/>
    <w:rsid w:val="008214F3"/>
    <w:rsid w:val="008216B9"/>
    <w:rsid w:val="008217DB"/>
    <w:rsid w:val="0082197D"/>
    <w:rsid w:val="00822078"/>
    <w:rsid w:val="00822825"/>
    <w:rsid w:val="0082286A"/>
    <w:rsid w:val="00822DCB"/>
    <w:rsid w:val="00822DDD"/>
    <w:rsid w:val="00823364"/>
    <w:rsid w:val="00823A24"/>
    <w:rsid w:val="00823EF6"/>
    <w:rsid w:val="0082411B"/>
    <w:rsid w:val="008246A8"/>
    <w:rsid w:val="00824A6C"/>
    <w:rsid w:val="00825032"/>
    <w:rsid w:val="008250E4"/>
    <w:rsid w:val="00825508"/>
    <w:rsid w:val="0082551F"/>
    <w:rsid w:val="008262E9"/>
    <w:rsid w:val="00826343"/>
    <w:rsid w:val="00826351"/>
    <w:rsid w:val="00826A77"/>
    <w:rsid w:val="00826CF0"/>
    <w:rsid w:val="00826E1C"/>
    <w:rsid w:val="00826EBF"/>
    <w:rsid w:val="00826F52"/>
    <w:rsid w:val="008276F7"/>
    <w:rsid w:val="00827D57"/>
    <w:rsid w:val="00827E11"/>
    <w:rsid w:val="00827E3A"/>
    <w:rsid w:val="00827F54"/>
    <w:rsid w:val="00827F6F"/>
    <w:rsid w:val="00827F7B"/>
    <w:rsid w:val="00830027"/>
    <w:rsid w:val="0083012F"/>
    <w:rsid w:val="00830409"/>
    <w:rsid w:val="00830479"/>
    <w:rsid w:val="00830533"/>
    <w:rsid w:val="00830BD1"/>
    <w:rsid w:val="00830CAB"/>
    <w:rsid w:val="00830F91"/>
    <w:rsid w:val="00830FC3"/>
    <w:rsid w:val="008312F5"/>
    <w:rsid w:val="00831995"/>
    <w:rsid w:val="00831E2C"/>
    <w:rsid w:val="00831E3E"/>
    <w:rsid w:val="00831EB2"/>
    <w:rsid w:val="00831F67"/>
    <w:rsid w:val="00832330"/>
    <w:rsid w:val="00832894"/>
    <w:rsid w:val="00832AF4"/>
    <w:rsid w:val="00832BE1"/>
    <w:rsid w:val="00832EB1"/>
    <w:rsid w:val="008330E4"/>
    <w:rsid w:val="0083320B"/>
    <w:rsid w:val="00833269"/>
    <w:rsid w:val="0083338D"/>
    <w:rsid w:val="00833841"/>
    <w:rsid w:val="00833AB2"/>
    <w:rsid w:val="00833D56"/>
    <w:rsid w:val="00833F5F"/>
    <w:rsid w:val="0083407C"/>
    <w:rsid w:val="00834259"/>
    <w:rsid w:val="00834549"/>
    <w:rsid w:val="0083477B"/>
    <w:rsid w:val="00834929"/>
    <w:rsid w:val="00834B4F"/>
    <w:rsid w:val="00834D5B"/>
    <w:rsid w:val="00834E7E"/>
    <w:rsid w:val="008350E0"/>
    <w:rsid w:val="00835177"/>
    <w:rsid w:val="00835A37"/>
    <w:rsid w:val="00835B60"/>
    <w:rsid w:val="0083604C"/>
    <w:rsid w:val="0083617D"/>
    <w:rsid w:val="008368B8"/>
    <w:rsid w:val="00836E14"/>
    <w:rsid w:val="0083705E"/>
    <w:rsid w:val="008376D2"/>
    <w:rsid w:val="00837AD3"/>
    <w:rsid w:val="00837B86"/>
    <w:rsid w:val="00837F28"/>
    <w:rsid w:val="00840253"/>
    <w:rsid w:val="00840966"/>
    <w:rsid w:val="00840B3D"/>
    <w:rsid w:val="00840BD8"/>
    <w:rsid w:val="0084190E"/>
    <w:rsid w:val="00841A06"/>
    <w:rsid w:val="00841CCD"/>
    <w:rsid w:val="00841F25"/>
    <w:rsid w:val="0084225B"/>
    <w:rsid w:val="008422EA"/>
    <w:rsid w:val="008427AE"/>
    <w:rsid w:val="008427E3"/>
    <w:rsid w:val="00842ADE"/>
    <w:rsid w:val="00842CF0"/>
    <w:rsid w:val="00842DFB"/>
    <w:rsid w:val="0084308D"/>
    <w:rsid w:val="00843699"/>
    <w:rsid w:val="0084375D"/>
    <w:rsid w:val="00843CE0"/>
    <w:rsid w:val="00843D05"/>
    <w:rsid w:val="00843F8F"/>
    <w:rsid w:val="00844381"/>
    <w:rsid w:val="008443FB"/>
    <w:rsid w:val="00844499"/>
    <w:rsid w:val="008444B5"/>
    <w:rsid w:val="00844926"/>
    <w:rsid w:val="00844A08"/>
    <w:rsid w:val="00844B29"/>
    <w:rsid w:val="00844BF4"/>
    <w:rsid w:val="00844C13"/>
    <w:rsid w:val="00844F44"/>
    <w:rsid w:val="00845033"/>
    <w:rsid w:val="00845042"/>
    <w:rsid w:val="00845903"/>
    <w:rsid w:val="00845957"/>
    <w:rsid w:val="00845B1F"/>
    <w:rsid w:val="00845DFB"/>
    <w:rsid w:val="00845EA7"/>
    <w:rsid w:val="008465B4"/>
    <w:rsid w:val="00846843"/>
    <w:rsid w:val="00846CF6"/>
    <w:rsid w:val="00846DE2"/>
    <w:rsid w:val="00847096"/>
    <w:rsid w:val="00847141"/>
    <w:rsid w:val="00847242"/>
    <w:rsid w:val="0084727D"/>
    <w:rsid w:val="008478A8"/>
    <w:rsid w:val="00847DEC"/>
    <w:rsid w:val="00847E43"/>
    <w:rsid w:val="008501B8"/>
    <w:rsid w:val="00850616"/>
    <w:rsid w:val="00850C38"/>
    <w:rsid w:val="00850DD3"/>
    <w:rsid w:val="00850EC2"/>
    <w:rsid w:val="00851264"/>
    <w:rsid w:val="008514E7"/>
    <w:rsid w:val="00851B5F"/>
    <w:rsid w:val="00851EDF"/>
    <w:rsid w:val="00851F48"/>
    <w:rsid w:val="008523E8"/>
    <w:rsid w:val="00852400"/>
    <w:rsid w:val="008528BA"/>
    <w:rsid w:val="0085293C"/>
    <w:rsid w:val="008529BD"/>
    <w:rsid w:val="008529D4"/>
    <w:rsid w:val="00852E23"/>
    <w:rsid w:val="00852FD8"/>
    <w:rsid w:val="00853229"/>
    <w:rsid w:val="00853328"/>
    <w:rsid w:val="0085336A"/>
    <w:rsid w:val="00853EC7"/>
    <w:rsid w:val="0085452B"/>
    <w:rsid w:val="00854576"/>
    <w:rsid w:val="00854638"/>
    <w:rsid w:val="00854894"/>
    <w:rsid w:val="00854926"/>
    <w:rsid w:val="00854A71"/>
    <w:rsid w:val="00854FD7"/>
    <w:rsid w:val="00855277"/>
    <w:rsid w:val="008552A6"/>
    <w:rsid w:val="00855F40"/>
    <w:rsid w:val="00856398"/>
    <w:rsid w:val="008567EA"/>
    <w:rsid w:val="008567F3"/>
    <w:rsid w:val="0085688C"/>
    <w:rsid w:val="00856C5C"/>
    <w:rsid w:val="0085758C"/>
    <w:rsid w:val="00857750"/>
    <w:rsid w:val="00857D3C"/>
    <w:rsid w:val="00857DEA"/>
    <w:rsid w:val="00857E5A"/>
    <w:rsid w:val="00857F0F"/>
    <w:rsid w:val="0086047B"/>
    <w:rsid w:val="008604C4"/>
    <w:rsid w:val="008606A0"/>
    <w:rsid w:val="00860C5C"/>
    <w:rsid w:val="00860DC3"/>
    <w:rsid w:val="00861AA1"/>
    <w:rsid w:val="00861DD9"/>
    <w:rsid w:val="00862085"/>
    <w:rsid w:val="008624C5"/>
    <w:rsid w:val="00862519"/>
    <w:rsid w:val="00862C24"/>
    <w:rsid w:val="00862C77"/>
    <w:rsid w:val="00862CE9"/>
    <w:rsid w:val="00862E66"/>
    <w:rsid w:val="008634B3"/>
    <w:rsid w:val="008634D1"/>
    <w:rsid w:val="008634D5"/>
    <w:rsid w:val="00863666"/>
    <w:rsid w:val="00863B77"/>
    <w:rsid w:val="00863EF6"/>
    <w:rsid w:val="00863F00"/>
    <w:rsid w:val="008642C0"/>
    <w:rsid w:val="008645B5"/>
    <w:rsid w:val="00864B83"/>
    <w:rsid w:val="00864E62"/>
    <w:rsid w:val="00865303"/>
    <w:rsid w:val="00865BFF"/>
    <w:rsid w:val="00865CD8"/>
    <w:rsid w:val="008663CE"/>
    <w:rsid w:val="008665AC"/>
    <w:rsid w:val="008666CF"/>
    <w:rsid w:val="0086682B"/>
    <w:rsid w:val="00866DDD"/>
    <w:rsid w:val="008671B8"/>
    <w:rsid w:val="008675B5"/>
    <w:rsid w:val="0086780B"/>
    <w:rsid w:val="00867882"/>
    <w:rsid w:val="00867EBA"/>
    <w:rsid w:val="00867F24"/>
    <w:rsid w:val="0087005B"/>
    <w:rsid w:val="00870080"/>
    <w:rsid w:val="00870326"/>
    <w:rsid w:val="00870675"/>
    <w:rsid w:val="008708CD"/>
    <w:rsid w:val="008709E7"/>
    <w:rsid w:val="0087107E"/>
    <w:rsid w:val="00871306"/>
    <w:rsid w:val="008713FF"/>
    <w:rsid w:val="008715C4"/>
    <w:rsid w:val="00871D2A"/>
    <w:rsid w:val="00871D4C"/>
    <w:rsid w:val="00871FF1"/>
    <w:rsid w:val="00872795"/>
    <w:rsid w:val="0087279B"/>
    <w:rsid w:val="00872A09"/>
    <w:rsid w:val="00872B26"/>
    <w:rsid w:val="00872ECD"/>
    <w:rsid w:val="0087310B"/>
    <w:rsid w:val="008732A2"/>
    <w:rsid w:val="008732D0"/>
    <w:rsid w:val="0087362F"/>
    <w:rsid w:val="00873BE7"/>
    <w:rsid w:val="00873CF9"/>
    <w:rsid w:val="00873F36"/>
    <w:rsid w:val="008740B7"/>
    <w:rsid w:val="00874280"/>
    <w:rsid w:val="008745B2"/>
    <w:rsid w:val="00874670"/>
    <w:rsid w:val="00874C3E"/>
    <w:rsid w:val="008751D3"/>
    <w:rsid w:val="008755AF"/>
    <w:rsid w:val="00875B9B"/>
    <w:rsid w:val="00875DCB"/>
    <w:rsid w:val="00875DF6"/>
    <w:rsid w:val="00875E74"/>
    <w:rsid w:val="0087610F"/>
    <w:rsid w:val="00876227"/>
    <w:rsid w:val="00876232"/>
    <w:rsid w:val="00876373"/>
    <w:rsid w:val="008767F9"/>
    <w:rsid w:val="00876DC6"/>
    <w:rsid w:val="00876DCB"/>
    <w:rsid w:val="0087704D"/>
    <w:rsid w:val="008772AB"/>
    <w:rsid w:val="00877514"/>
    <w:rsid w:val="00877831"/>
    <w:rsid w:val="00877C25"/>
    <w:rsid w:val="00877C9F"/>
    <w:rsid w:val="008804CA"/>
    <w:rsid w:val="008805E2"/>
    <w:rsid w:val="00880768"/>
    <w:rsid w:val="008808EA"/>
    <w:rsid w:val="00880AF7"/>
    <w:rsid w:val="00880D61"/>
    <w:rsid w:val="00881387"/>
    <w:rsid w:val="00881552"/>
    <w:rsid w:val="0088180A"/>
    <w:rsid w:val="00881A9E"/>
    <w:rsid w:val="00881B04"/>
    <w:rsid w:val="00881B05"/>
    <w:rsid w:val="00881BCD"/>
    <w:rsid w:val="00881D80"/>
    <w:rsid w:val="00882168"/>
    <w:rsid w:val="008826F4"/>
    <w:rsid w:val="00882850"/>
    <w:rsid w:val="008829D4"/>
    <w:rsid w:val="00883330"/>
    <w:rsid w:val="0088388B"/>
    <w:rsid w:val="00883CD7"/>
    <w:rsid w:val="00883D48"/>
    <w:rsid w:val="00883DCB"/>
    <w:rsid w:val="00883E27"/>
    <w:rsid w:val="00883E4D"/>
    <w:rsid w:val="00883FC9"/>
    <w:rsid w:val="00884006"/>
    <w:rsid w:val="008840B5"/>
    <w:rsid w:val="00884364"/>
    <w:rsid w:val="00884574"/>
    <w:rsid w:val="00884685"/>
    <w:rsid w:val="00885291"/>
    <w:rsid w:val="008852E2"/>
    <w:rsid w:val="00885309"/>
    <w:rsid w:val="008859DE"/>
    <w:rsid w:val="00885B15"/>
    <w:rsid w:val="00885B94"/>
    <w:rsid w:val="00885D29"/>
    <w:rsid w:val="00885D2F"/>
    <w:rsid w:val="008865DE"/>
    <w:rsid w:val="00886801"/>
    <w:rsid w:val="00886860"/>
    <w:rsid w:val="00886960"/>
    <w:rsid w:val="008869E6"/>
    <w:rsid w:val="00886AE0"/>
    <w:rsid w:val="008872A4"/>
    <w:rsid w:val="008878F8"/>
    <w:rsid w:val="00887D17"/>
    <w:rsid w:val="00887F97"/>
    <w:rsid w:val="00890094"/>
    <w:rsid w:val="0089048C"/>
    <w:rsid w:val="008906A0"/>
    <w:rsid w:val="00890F20"/>
    <w:rsid w:val="008910BA"/>
    <w:rsid w:val="0089111A"/>
    <w:rsid w:val="008912B3"/>
    <w:rsid w:val="008917D3"/>
    <w:rsid w:val="00891A4D"/>
    <w:rsid w:val="00891B3D"/>
    <w:rsid w:val="00891D76"/>
    <w:rsid w:val="00891EC2"/>
    <w:rsid w:val="008920C1"/>
    <w:rsid w:val="008920F1"/>
    <w:rsid w:val="0089261B"/>
    <w:rsid w:val="008926C8"/>
    <w:rsid w:val="008929C7"/>
    <w:rsid w:val="00892C5C"/>
    <w:rsid w:val="00892F28"/>
    <w:rsid w:val="00892F2B"/>
    <w:rsid w:val="00893373"/>
    <w:rsid w:val="008934AB"/>
    <w:rsid w:val="0089376C"/>
    <w:rsid w:val="00893B77"/>
    <w:rsid w:val="00893B7C"/>
    <w:rsid w:val="00894293"/>
    <w:rsid w:val="008943E6"/>
    <w:rsid w:val="00894496"/>
    <w:rsid w:val="00894696"/>
    <w:rsid w:val="00894772"/>
    <w:rsid w:val="00894AD6"/>
    <w:rsid w:val="00894BFD"/>
    <w:rsid w:val="0089518A"/>
    <w:rsid w:val="008958EB"/>
    <w:rsid w:val="00895D1B"/>
    <w:rsid w:val="00895D85"/>
    <w:rsid w:val="00895F56"/>
    <w:rsid w:val="00896012"/>
    <w:rsid w:val="008961F9"/>
    <w:rsid w:val="0089620D"/>
    <w:rsid w:val="008963E1"/>
    <w:rsid w:val="008968C6"/>
    <w:rsid w:val="00896A1F"/>
    <w:rsid w:val="00896AF3"/>
    <w:rsid w:val="00896F33"/>
    <w:rsid w:val="008971BB"/>
    <w:rsid w:val="008973A1"/>
    <w:rsid w:val="00897625"/>
    <w:rsid w:val="00897A5A"/>
    <w:rsid w:val="00897AAB"/>
    <w:rsid w:val="00897D04"/>
    <w:rsid w:val="00897D4C"/>
    <w:rsid w:val="00897DED"/>
    <w:rsid w:val="008A0060"/>
    <w:rsid w:val="008A0175"/>
    <w:rsid w:val="008A042A"/>
    <w:rsid w:val="008A076C"/>
    <w:rsid w:val="008A08BC"/>
    <w:rsid w:val="008A0B36"/>
    <w:rsid w:val="008A0F72"/>
    <w:rsid w:val="008A0FC5"/>
    <w:rsid w:val="008A15D5"/>
    <w:rsid w:val="008A1765"/>
    <w:rsid w:val="008A1BA0"/>
    <w:rsid w:val="008A21C3"/>
    <w:rsid w:val="008A259F"/>
    <w:rsid w:val="008A282D"/>
    <w:rsid w:val="008A2B92"/>
    <w:rsid w:val="008A3129"/>
    <w:rsid w:val="008A3531"/>
    <w:rsid w:val="008A3593"/>
    <w:rsid w:val="008A3E01"/>
    <w:rsid w:val="008A438A"/>
    <w:rsid w:val="008A447B"/>
    <w:rsid w:val="008A453F"/>
    <w:rsid w:val="008A473C"/>
    <w:rsid w:val="008A4833"/>
    <w:rsid w:val="008A496F"/>
    <w:rsid w:val="008A4B40"/>
    <w:rsid w:val="008A50AA"/>
    <w:rsid w:val="008A52D0"/>
    <w:rsid w:val="008A5820"/>
    <w:rsid w:val="008A5C1C"/>
    <w:rsid w:val="008A5CE4"/>
    <w:rsid w:val="008A646C"/>
    <w:rsid w:val="008A64D5"/>
    <w:rsid w:val="008A6780"/>
    <w:rsid w:val="008A69AE"/>
    <w:rsid w:val="008A69EB"/>
    <w:rsid w:val="008A6EEA"/>
    <w:rsid w:val="008A7245"/>
    <w:rsid w:val="008A7312"/>
    <w:rsid w:val="008A753B"/>
    <w:rsid w:val="008A7672"/>
    <w:rsid w:val="008A790F"/>
    <w:rsid w:val="008A79F1"/>
    <w:rsid w:val="008A7D71"/>
    <w:rsid w:val="008B010C"/>
    <w:rsid w:val="008B02D8"/>
    <w:rsid w:val="008B0434"/>
    <w:rsid w:val="008B06EE"/>
    <w:rsid w:val="008B0777"/>
    <w:rsid w:val="008B0D04"/>
    <w:rsid w:val="008B0DD7"/>
    <w:rsid w:val="008B0F9C"/>
    <w:rsid w:val="008B1245"/>
    <w:rsid w:val="008B127D"/>
    <w:rsid w:val="008B1960"/>
    <w:rsid w:val="008B19B5"/>
    <w:rsid w:val="008B1AC8"/>
    <w:rsid w:val="008B2099"/>
    <w:rsid w:val="008B2558"/>
    <w:rsid w:val="008B262E"/>
    <w:rsid w:val="008B2630"/>
    <w:rsid w:val="008B2866"/>
    <w:rsid w:val="008B2A41"/>
    <w:rsid w:val="008B3022"/>
    <w:rsid w:val="008B330E"/>
    <w:rsid w:val="008B371D"/>
    <w:rsid w:val="008B3AC2"/>
    <w:rsid w:val="008B3BFE"/>
    <w:rsid w:val="008B3FC4"/>
    <w:rsid w:val="008B434D"/>
    <w:rsid w:val="008B49F9"/>
    <w:rsid w:val="008B4A83"/>
    <w:rsid w:val="008B4E4A"/>
    <w:rsid w:val="008B525E"/>
    <w:rsid w:val="008B574E"/>
    <w:rsid w:val="008B58A2"/>
    <w:rsid w:val="008B594E"/>
    <w:rsid w:val="008B5997"/>
    <w:rsid w:val="008B5A16"/>
    <w:rsid w:val="008B5BC4"/>
    <w:rsid w:val="008B5EAD"/>
    <w:rsid w:val="008B5F9A"/>
    <w:rsid w:val="008B6061"/>
    <w:rsid w:val="008B656B"/>
    <w:rsid w:val="008B699D"/>
    <w:rsid w:val="008B69F0"/>
    <w:rsid w:val="008B6EBD"/>
    <w:rsid w:val="008B71F7"/>
    <w:rsid w:val="008B7525"/>
    <w:rsid w:val="008B7929"/>
    <w:rsid w:val="008B7BC4"/>
    <w:rsid w:val="008B7C45"/>
    <w:rsid w:val="008C02EC"/>
    <w:rsid w:val="008C065C"/>
    <w:rsid w:val="008C0900"/>
    <w:rsid w:val="008C091B"/>
    <w:rsid w:val="008C095E"/>
    <w:rsid w:val="008C0A77"/>
    <w:rsid w:val="008C0C08"/>
    <w:rsid w:val="008C0CE1"/>
    <w:rsid w:val="008C0EEF"/>
    <w:rsid w:val="008C14DB"/>
    <w:rsid w:val="008C16FB"/>
    <w:rsid w:val="008C1731"/>
    <w:rsid w:val="008C29E3"/>
    <w:rsid w:val="008C2B3B"/>
    <w:rsid w:val="008C2BFE"/>
    <w:rsid w:val="008C2D38"/>
    <w:rsid w:val="008C3120"/>
    <w:rsid w:val="008C3807"/>
    <w:rsid w:val="008C395F"/>
    <w:rsid w:val="008C4399"/>
    <w:rsid w:val="008C4699"/>
    <w:rsid w:val="008C474E"/>
    <w:rsid w:val="008C4847"/>
    <w:rsid w:val="008C4977"/>
    <w:rsid w:val="008C4B6B"/>
    <w:rsid w:val="008C4BFE"/>
    <w:rsid w:val="008C4C31"/>
    <w:rsid w:val="008C5033"/>
    <w:rsid w:val="008C5658"/>
    <w:rsid w:val="008C5683"/>
    <w:rsid w:val="008C5BF8"/>
    <w:rsid w:val="008C5C15"/>
    <w:rsid w:val="008C5E36"/>
    <w:rsid w:val="008C5EB0"/>
    <w:rsid w:val="008C5FBD"/>
    <w:rsid w:val="008C60CB"/>
    <w:rsid w:val="008C60E2"/>
    <w:rsid w:val="008C671B"/>
    <w:rsid w:val="008C6846"/>
    <w:rsid w:val="008C6C9A"/>
    <w:rsid w:val="008C6EE1"/>
    <w:rsid w:val="008C6F84"/>
    <w:rsid w:val="008C6FDC"/>
    <w:rsid w:val="008C75DE"/>
    <w:rsid w:val="008C7690"/>
    <w:rsid w:val="008C777F"/>
    <w:rsid w:val="008C77B4"/>
    <w:rsid w:val="008C78C7"/>
    <w:rsid w:val="008C78F7"/>
    <w:rsid w:val="008C7C43"/>
    <w:rsid w:val="008C7F78"/>
    <w:rsid w:val="008D0056"/>
    <w:rsid w:val="008D012B"/>
    <w:rsid w:val="008D0C9F"/>
    <w:rsid w:val="008D12F0"/>
    <w:rsid w:val="008D1348"/>
    <w:rsid w:val="008D174F"/>
    <w:rsid w:val="008D1EB6"/>
    <w:rsid w:val="008D1F92"/>
    <w:rsid w:val="008D2398"/>
    <w:rsid w:val="008D2852"/>
    <w:rsid w:val="008D29BE"/>
    <w:rsid w:val="008D2BA1"/>
    <w:rsid w:val="008D2F69"/>
    <w:rsid w:val="008D31C4"/>
    <w:rsid w:val="008D32B3"/>
    <w:rsid w:val="008D33D6"/>
    <w:rsid w:val="008D363C"/>
    <w:rsid w:val="008D379A"/>
    <w:rsid w:val="008D3F50"/>
    <w:rsid w:val="008D43D0"/>
    <w:rsid w:val="008D48B0"/>
    <w:rsid w:val="008D4ACB"/>
    <w:rsid w:val="008D4AF2"/>
    <w:rsid w:val="008D4D6A"/>
    <w:rsid w:val="008D5231"/>
    <w:rsid w:val="008D57B6"/>
    <w:rsid w:val="008D5B38"/>
    <w:rsid w:val="008D5B95"/>
    <w:rsid w:val="008D5B9B"/>
    <w:rsid w:val="008D5BC0"/>
    <w:rsid w:val="008D5E12"/>
    <w:rsid w:val="008D5E94"/>
    <w:rsid w:val="008D6547"/>
    <w:rsid w:val="008D69D9"/>
    <w:rsid w:val="008D6C1D"/>
    <w:rsid w:val="008D6DDD"/>
    <w:rsid w:val="008D7098"/>
    <w:rsid w:val="008D70A2"/>
    <w:rsid w:val="008D712A"/>
    <w:rsid w:val="008D73FA"/>
    <w:rsid w:val="008D7582"/>
    <w:rsid w:val="008D7631"/>
    <w:rsid w:val="008D79FA"/>
    <w:rsid w:val="008E03B3"/>
    <w:rsid w:val="008E049D"/>
    <w:rsid w:val="008E081A"/>
    <w:rsid w:val="008E09D9"/>
    <w:rsid w:val="008E0C3C"/>
    <w:rsid w:val="008E0E06"/>
    <w:rsid w:val="008E106F"/>
    <w:rsid w:val="008E141A"/>
    <w:rsid w:val="008E182D"/>
    <w:rsid w:val="008E1C36"/>
    <w:rsid w:val="008E1C69"/>
    <w:rsid w:val="008E1FD3"/>
    <w:rsid w:val="008E1FE6"/>
    <w:rsid w:val="008E2130"/>
    <w:rsid w:val="008E21CA"/>
    <w:rsid w:val="008E228A"/>
    <w:rsid w:val="008E377D"/>
    <w:rsid w:val="008E3DA0"/>
    <w:rsid w:val="008E3E4D"/>
    <w:rsid w:val="008E3EC6"/>
    <w:rsid w:val="008E45F3"/>
    <w:rsid w:val="008E494D"/>
    <w:rsid w:val="008E4CC2"/>
    <w:rsid w:val="008E52FD"/>
    <w:rsid w:val="008E5854"/>
    <w:rsid w:val="008E5B54"/>
    <w:rsid w:val="008E609A"/>
    <w:rsid w:val="008E60E3"/>
    <w:rsid w:val="008E6327"/>
    <w:rsid w:val="008E6565"/>
    <w:rsid w:val="008E6900"/>
    <w:rsid w:val="008E6DD6"/>
    <w:rsid w:val="008E70BE"/>
    <w:rsid w:val="008E715D"/>
    <w:rsid w:val="008E7237"/>
    <w:rsid w:val="008E756A"/>
    <w:rsid w:val="008E7841"/>
    <w:rsid w:val="008E79D4"/>
    <w:rsid w:val="008E7B8B"/>
    <w:rsid w:val="008E7F0C"/>
    <w:rsid w:val="008F08D3"/>
    <w:rsid w:val="008F0A6A"/>
    <w:rsid w:val="008F0EAB"/>
    <w:rsid w:val="008F16E4"/>
    <w:rsid w:val="008F18FA"/>
    <w:rsid w:val="008F193F"/>
    <w:rsid w:val="008F1B62"/>
    <w:rsid w:val="008F2025"/>
    <w:rsid w:val="008F2268"/>
    <w:rsid w:val="008F2431"/>
    <w:rsid w:val="008F2A4F"/>
    <w:rsid w:val="008F2CA6"/>
    <w:rsid w:val="008F3375"/>
    <w:rsid w:val="008F3377"/>
    <w:rsid w:val="008F391E"/>
    <w:rsid w:val="008F398F"/>
    <w:rsid w:val="008F3A27"/>
    <w:rsid w:val="008F3DB4"/>
    <w:rsid w:val="008F456F"/>
    <w:rsid w:val="008F4C70"/>
    <w:rsid w:val="008F512F"/>
    <w:rsid w:val="008F5322"/>
    <w:rsid w:val="008F581B"/>
    <w:rsid w:val="008F58D9"/>
    <w:rsid w:val="008F5A57"/>
    <w:rsid w:val="008F5C11"/>
    <w:rsid w:val="008F5E4B"/>
    <w:rsid w:val="008F642D"/>
    <w:rsid w:val="008F65A9"/>
    <w:rsid w:val="008F662C"/>
    <w:rsid w:val="008F681B"/>
    <w:rsid w:val="008F6891"/>
    <w:rsid w:val="008F6BA4"/>
    <w:rsid w:val="008F6DA4"/>
    <w:rsid w:val="008F6E88"/>
    <w:rsid w:val="008F7338"/>
    <w:rsid w:val="008F7A42"/>
    <w:rsid w:val="008F7C5B"/>
    <w:rsid w:val="008F7D97"/>
    <w:rsid w:val="008F7DFD"/>
    <w:rsid w:val="0090021C"/>
    <w:rsid w:val="00900728"/>
    <w:rsid w:val="0090089A"/>
    <w:rsid w:val="00900C97"/>
    <w:rsid w:val="00900F3B"/>
    <w:rsid w:val="009010D0"/>
    <w:rsid w:val="00901223"/>
    <w:rsid w:val="0090145C"/>
    <w:rsid w:val="009015FC"/>
    <w:rsid w:val="0090160E"/>
    <w:rsid w:val="009019C5"/>
    <w:rsid w:val="00901AD8"/>
    <w:rsid w:val="00901EAC"/>
    <w:rsid w:val="00901ECE"/>
    <w:rsid w:val="00901FCC"/>
    <w:rsid w:val="0090239F"/>
    <w:rsid w:val="009023CE"/>
    <w:rsid w:val="009026F7"/>
    <w:rsid w:val="00902810"/>
    <w:rsid w:val="0090291F"/>
    <w:rsid w:val="00902CCC"/>
    <w:rsid w:val="009033AB"/>
    <w:rsid w:val="00904356"/>
    <w:rsid w:val="00904456"/>
    <w:rsid w:val="0090446B"/>
    <w:rsid w:val="0090446E"/>
    <w:rsid w:val="0090485E"/>
    <w:rsid w:val="00904B33"/>
    <w:rsid w:val="00904C12"/>
    <w:rsid w:val="00904EEF"/>
    <w:rsid w:val="009050C1"/>
    <w:rsid w:val="00905165"/>
    <w:rsid w:val="009052AA"/>
    <w:rsid w:val="00905322"/>
    <w:rsid w:val="009053A5"/>
    <w:rsid w:val="00905428"/>
    <w:rsid w:val="00905797"/>
    <w:rsid w:val="0090591F"/>
    <w:rsid w:val="00905E37"/>
    <w:rsid w:val="00905E3A"/>
    <w:rsid w:val="00905EFC"/>
    <w:rsid w:val="00905F73"/>
    <w:rsid w:val="00906040"/>
    <w:rsid w:val="00906329"/>
    <w:rsid w:val="00906925"/>
    <w:rsid w:val="00906C4F"/>
    <w:rsid w:val="00906E87"/>
    <w:rsid w:val="0090700A"/>
    <w:rsid w:val="009070C0"/>
    <w:rsid w:val="00907398"/>
    <w:rsid w:val="0090750F"/>
    <w:rsid w:val="0090759D"/>
    <w:rsid w:val="00907631"/>
    <w:rsid w:val="00907AD6"/>
    <w:rsid w:val="00907B2A"/>
    <w:rsid w:val="00907E3E"/>
    <w:rsid w:val="00907E8C"/>
    <w:rsid w:val="0091016A"/>
    <w:rsid w:val="00910AA5"/>
    <w:rsid w:val="00910B99"/>
    <w:rsid w:val="00910BE3"/>
    <w:rsid w:val="00911042"/>
    <w:rsid w:val="00911225"/>
    <w:rsid w:val="00911707"/>
    <w:rsid w:val="0091183F"/>
    <w:rsid w:val="00911F66"/>
    <w:rsid w:val="00912131"/>
    <w:rsid w:val="0091228E"/>
    <w:rsid w:val="00912685"/>
    <w:rsid w:val="00912717"/>
    <w:rsid w:val="0091288A"/>
    <w:rsid w:val="00912965"/>
    <w:rsid w:val="00912B62"/>
    <w:rsid w:val="00912D11"/>
    <w:rsid w:val="00912DC5"/>
    <w:rsid w:val="00912EED"/>
    <w:rsid w:val="009135E8"/>
    <w:rsid w:val="0091398D"/>
    <w:rsid w:val="00913CC8"/>
    <w:rsid w:val="0091405B"/>
    <w:rsid w:val="009140E7"/>
    <w:rsid w:val="009142FA"/>
    <w:rsid w:val="00914351"/>
    <w:rsid w:val="00914657"/>
    <w:rsid w:val="00914842"/>
    <w:rsid w:val="009149F1"/>
    <w:rsid w:val="00914AE7"/>
    <w:rsid w:val="00914EFD"/>
    <w:rsid w:val="00915173"/>
    <w:rsid w:val="009153D7"/>
    <w:rsid w:val="00915B3A"/>
    <w:rsid w:val="00915FD5"/>
    <w:rsid w:val="0091637C"/>
    <w:rsid w:val="00916603"/>
    <w:rsid w:val="00916CC0"/>
    <w:rsid w:val="009173E0"/>
    <w:rsid w:val="00917400"/>
    <w:rsid w:val="00917543"/>
    <w:rsid w:val="00917846"/>
    <w:rsid w:val="00917A64"/>
    <w:rsid w:val="00920282"/>
    <w:rsid w:val="0092038D"/>
    <w:rsid w:val="009203CF"/>
    <w:rsid w:val="00920749"/>
    <w:rsid w:val="00920891"/>
    <w:rsid w:val="009208A0"/>
    <w:rsid w:val="00920E21"/>
    <w:rsid w:val="009212D1"/>
    <w:rsid w:val="009212D5"/>
    <w:rsid w:val="0092189B"/>
    <w:rsid w:val="00921B7E"/>
    <w:rsid w:val="00921BBF"/>
    <w:rsid w:val="00921C44"/>
    <w:rsid w:val="00921E37"/>
    <w:rsid w:val="00922119"/>
    <w:rsid w:val="00922CAA"/>
    <w:rsid w:val="00923082"/>
    <w:rsid w:val="00923454"/>
    <w:rsid w:val="0092365E"/>
    <w:rsid w:val="00923696"/>
    <w:rsid w:val="00923B71"/>
    <w:rsid w:val="00923E45"/>
    <w:rsid w:val="00923F61"/>
    <w:rsid w:val="00924460"/>
    <w:rsid w:val="00924682"/>
    <w:rsid w:val="009247C8"/>
    <w:rsid w:val="009248F0"/>
    <w:rsid w:val="00924927"/>
    <w:rsid w:val="00924D5C"/>
    <w:rsid w:val="00924F16"/>
    <w:rsid w:val="009251A9"/>
    <w:rsid w:val="009251BE"/>
    <w:rsid w:val="00925308"/>
    <w:rsid w:val="0092552A"/>
    <w:rsid w:val="00925853"/>
    <w:rsid w:val="00925C2D"/>
    <w:rsid w:val="00925C84"/>
    <w:rsid w:val="00925E5B"/>
    <w:rsid w:val="009262B7"/>
    <w:rsid w:val="009262FF"/>
    <w:rsid w:val="00926401"/>
    <w:rsid w:val="00926559"/>
    <w:rsid w:val="00926700"/>
    <w:rsid w:val="0092691C"/>
    <w:rsid w:val="0092697E"/>
    <w:rsid w:val="00926A7D"/>
    <w:rsid w:val="00926E55"/>
    <w:rsid w:val="00926F14"/>
    <w:rsid w:val="00926F62"/>
    <w:rsid w:val="00927810"/>
    <w:rsid w:val="00927C6B"/>
    <w:rsid w:val="00927CC5"/>
    <w:rsid w:val="00927F8A"/>
    <w:rsid w:val="009301C0"/>
    <w:rsid w:val="0093055F"/>
    <w:rsid w:val="009305D4"/>
    <w:rsid w:val="00930B20"/>
    <w:rsid w:val="00930D46"/>
    <w:rsid w:val="009310AF"/>
    <w:rsid w:val="00931341"/>
    <w:rsid w:val="00931CE9"/>
    <w:rsid w:val="00931D42"/>
    <w:rsid w:val="00931D46"/>
    <w:rsid w:val="009322A6"/>
    <w:rsid w:val="0093242D"/>
    <w:rsid w:val="00932468"/>
    <w:rsid w:val="00932979"/>
    <w:rsid w:val="00932E27"/>
    <w:rsid w:val="00932E7C"/>
    <w:rsid w:val="0093328D"/>
    <w:rsid w:val="0093383F"/>
    <w:rsid w:val="00933905"/>
    <w:rsid w:val="009339BD"/>
    <w:rsid w:val="00933D12"/>
    <w:rsid w:val="00933F90"/>
    <w:rsid w:val="00934050"/>
    <w:rsid w:val="009340B4"/>
    <w:rsid w:val="009341CC"/>
    <w:rsid w:val="00934578"/>
    <w:rsid w:val="00934705"/>
    <w:rsid w:val="00934787"/>
    <w:rsid w:val="0093498F"/>
    <w:rsid w:val="00934B65"/>
    <w:rsid w:val="0093500A"/>
    <w:rsid w:val="0093503F"/>
    <w:rsid w:val="00935499"/>
    <w:rsid w:val="009354F6"/>
    <w:rsid w:val="0093560D"/>
    <w:rsid w:val="00935814"/>
    <w:rsid w:val="00935832"/>
    <w:rsid w:val="00935ECB"/>
    <w:rsid w:val="00936F20"/>
    <w:rsid w:val="009370EA"/>
    <w:rsid w:val="00937380"/>
    <w:rsid w:val="009373C7"/>
    <w:rsid w:val="00937648"/>
    <w:rsid w:val="009377E5"/>
    <w:rsid w:val="00937A31"/>
    <w:rsid w:val="00937AD5"/>
    <w:rsid w:val="00937D29"/>
    <w:rsid w:val="00937D36"/>
    <w:rsid w:val="00937DB1"/>
    <w:rsid w:val="00937DFE"/>
    <w:rsid w:val="0094012E"/>
    <w:rsid w:val="0094025E"/>
    <w:rsid w:val="009403DD"/>
    <w:rsid w:val="00940478"/>
    <w:rsid w:val="00940845"/>
    <w:rsid w:val="00940B28"/>
    <w:rsid w:val="00940CB9"/>
    <w:rsid w:val="00941368"/>
    <w:rsid w:val="00941B2D"/>
    <w:rsid w:val="00941ED7"/>
    <w:rsid w:val="0094224B"/>
    <w:rsid w:val="0094249E"/>
    <w:rsid w:val="00943707"/>
    <w:rsid w:val="00943D03"/>
    <w:rsid w:val="009442BB"/>
    <w:rsid w:val="00944545"/>
    <w:rsid w:val="00944885"/>
    <w:rsid w:val="00944944"/>
    <w:rsid w:val="00944DE2"/>
    <w:rsid w:val="00944E6D"/>
    <w:rsid w:val="00945238"/>
    <w:rsid w:val="00945CE4"/>
    <w:rsid w:val="00945FA5"/>
    <w:rsid w:val="00946A0B"/>
    <w:rsid w:val="00946D5B"/>
    <w:rsid w:val="00946D6D"/>
    <w:rsid w:val="00946DB6"/>
    <w:rsid w:val="00946F16"/>
    <w:rsid w:val="00946F62"/>
    <w:rsid w:val="00947978"/>
    <w:rsid w:val="00947CF0"/>
    <w:rsid w:val="00947D3A"/>
    <w:rsid w:val="00947EB9"/>
    <w:rsid w:val="00950006"/>
    <w:rsid w:val="00950502"/>
    <w:rsid w:val="00950561"/>
    <w:rsid w:val="009505BF"/>
    <w:rsid w:val="0095066E"/>
    <w:rsid w:val="00950D2C"/>
    <w:rsid w:val="00950F94"/>
    <w:rsid w:val="00950FFD"/>
    <w:rsid w:val="0095134D"/>
    <w:rsid w:val="009514C4"/>
    <w:rsid w:val="00951BD9"/>
    <w:rsid w:val="00951F7B"/>
    <w:rsid w:val="009520FA"/>
    <w:rsid w:val="009525C9"/>
    <w:rsid w:val="009527DC"/>
    <w:rsid w:val="0095290A"/>
    <w:rsid w:val="00952A2F"/>
    <w:rsid w:val="00952EB3"/>
    <w:rsid w:val="0095317C"/>
    <w:rsid w:val="0095324E"/>
    <w:rsid w:val="00953267"/>
    <w:rsid w:val="009533D6"/>
    <w:rsid w:val="0095363F"/>
    <w:rsid w:val="0095373F"/>
    <w:rsid w:val="009537EC"/>
    <w:rsid w:val="00953C42"/>
    <w:rsid w:val="00953D9A"/>
    <w:rsid w:val="00953ED0"/>
    <w:rsid w:val="00953F0F"/>
    <w:rsid w:val="00954619"/>
    <w:rsid w:val="009546FA"/>
    <w:rsid w:val="00955096"/>
    <w:rsid w:val="009556E4"/>
    <w:rsid w:val="00955D9C"/>
    <w:rsid w:val="00956665"/>
    <w:rsid w:val="00957829"/>
    <w:rsid w:val="00957955"/>
    <w:rsid w:val="00957B1D"/>
    <w:rsid w:val="00957C9D"/>
    <w:rsid w:val="009600E1"/>
    <w:rsid w:val="009602AE"/>
    <w:rsid w:val="0096036D"/>
    <w:rsid w:val="009608DA"/>
    <w:rsid w:val="00960B46"/>
    <w:rsid w:val="00960E1A"/>
    <w:rsid w:val="00960E36"/>
    <w:rsid w:val="00961AA6"/>
    <w:rsid w:val="00961C96"/>
    <w:rsid w:val="00961CCD"/>
    <w:rsid w:val="00962670"/>
    <w:rsid w:val="00962921"/>
    <w:rsid w:val="00962C7E"/>
    <w:rsid w:val="00963204"/>
    <w:rsid w:val="00963331"/>
    <w:rsid w:val="00963D19"/>
    <w:rsid w:val="00963E37"/>
    <w:rsid w:val="0096457C"/>
    <w:rsid w:val="00964669"/>
    <w:rsid w:val="0096471F"/>
    <w:rsid w:val="00964A62"/>
    <w:rsid w:val="00964F4A"/>
    <w:rsid w:val="0096508A"/>
    <w:rsid w:val="0096540F"/>
    <w:rsid w:val="009654B2"/>
    <w:rsid w:val="0096562F"/>
    <w:rsid w:val="009659C8"/>
    <w:rsid w:val="00965A0D"/>
    <w:rsid w:val="00965A3A"/>
    <w:rsid w:val="00965CCF"/>
    <w:rsid w:val="009660A4"/>
    <w:rsid w:val="0096658B"/>
    <w:rsid w:val="00966C5C"/>
    <w:rsid w:val="00966CEC"/>
    <w:rsid w:val="00966F7A"/>
    <w:rsid w:val="009675BB"/>
    <w:rsid w:val="009678DC"/>
    <w:rsid w:val="00967D51"/>
    <w:rsid w:val="0097001E"/>
    <w:rsid w:val="009700A4"/>
    <w:rsid w:val="009706AB"/>
    <w:rsid w:val="0097071B"/>
    <w:rsid w:val="00970771"/>
    <w:rsid w:val="00970945"/>
    <w:rsid w:val="00970D00"/>
    <w:rsid w:val="00970F4B"/>
    <w:rsid w:val="00971017"/>
    <w:rsid w:val="00971463"/>
    <w:rsid w:val="009717AC"/>
    <w:rsid w:val="00971BCF"/>
    <w:rsid w:val="00971C5C"/>
    <w:rsid w:val="00971C81"/>
    <w:rsid w:val="00971DB4"/>
    <w:rsid w:val="00972186"/>
    <w:rsid w:val="00972199"/>
    <w:rsid w:val="00972567"/>
    <w:rsid w:val="009725F7"/>
    <w:rsid w:val="00972AED"/>
    <w:rsid w:val="00972C48"/>
    <w:rsid w:val="00972D58"/>
    <w:rsid w:val="00972DB7"/>
    <w:rsid w:val="00973187"/>
    <w:rsid w:val="00973AB2"/>
    <w:rsid w:val="00974337"/>
    <w:rsid w:val="00974362"/>
    <w:rsid w:val="009747EE"/>
    <w:rsid w:val="009749C7"/>
    <w:rsid w:val="00974B9C"/>
    <w:rsid w:val="009751C9"/>
    <w:rsid w:val="0097523E"/>
    <w:rsid w:val="009753EF"/>
    <w:rsid w:val="0097578B"/>
    <w:rsid w:val="00975979"/>
    <w:rsid w:val="00975A7A"/>
    <w:rsid w:val="00975D96"/>
    <w:rsid w:val="00975E20"/>
    <w:rsid w:val="00975F3F"/>
    <w:rsid w:val="00976040"/>
    <w:rsid w:val="009765E2"/>
    <w:rsid w:val="00976695"/>
    <w:rsid w:val="00976707"/>
    <w:rsid w:val="009767CA"/>
    <w:rsid w:val="009768F9"/>
    <w:rsid w:val="00976D87"/>
    <w:rsid w:val="00976FA7"/>
    <w:rsid w:val="009774E0"/>
    <w:rsid w:val="00977A86"/>
    <w:rsid w:val="00977AA3"/>
    <w:rsid w:val="00977CC3"/>
    <w:rsid w:val="00977DEC"/>
    <w:rsid w:val="00977FF0"/>
    <w:rsid w:val="0098010F"/>
    <w:rsid w:val="009802D7"/>
    <w:rsid w:val="0098033B"/>
    <w:rsid w:val="009804DA"/>
    <w:rsid w:val="0098089C"/>
    <w:rsid w:val="0098103B"/>
    <w:rsid w:val="0098112D"/>
    <w:rsid w:val="0098116B"/>
    <w:rsid w:val="00981197"/>
    <w:rsid w:val="009812C0"/>
    <w:rsid w:val="00981F76"/>
    <w:rsid w:val="00982038"/>
    <w:rsid w:val="00982188"/>
    <w:rsid w:val="0098227C"/>
    <w:rsid w:val="0098242A"/>
    <w:rsid w:val="009825B5"/>
    <w:rsid w:val="009825C6"/>
    <w:rsid w:val="0098267E"/>
    <w:rsid w:val="00982843"/>
    <w:rsid w:val="00982BB9"/>
    <w:rsid w:val="00982C76"/>
    <w:rsid w:val="00983413"/>
    <w:rsid w:val="009837C3"/>
    <w:rsid w:val="00983EFF"/>
    <w:rsid w:val="00984447"/>
    <w:rsid w:val="00985249"/>
    <w:rsid w:val="00985308"/>
    <w:rsid w:val="0098547A"/>
    <w:rsid w:val="00985700"/>
    <w:rsid w:val="00985803"/>
    <w:rsid w:val="0098698A"/>
    <w:rsid w:val="00986A1E"/>
    <w:rsid w:val="00986A87"/>
    <w:rsid w:val="00986AF0"/>
    <w:rsid w:val="00986B1F"/>
    <w:rsid w:val="00986F7F"/>
    <w:rsid w:val="009872A6"/>
    <w:rsid w:val="009872E3"/>
    <w:rsid w:val="00987BE0"/>
    <w:rsid w:val="00990131"/>
    <w:rsid w:val="0099074C"/>
    <w:rsid w:val="00990760"/>
    <w:rsid w:val="00990957"/>
    <w:rsid w:val="00990CB3"/>
    <w:rsid w:val="009910E2"/>
    <w:rsid w:val="0099117F"/>
    <w:rsid w:val="00991235"/>
    <w:rsid w:val="0099128C"/>
    <w:rsid w:val="0099152C"/>
    <w:rsid w:val="00992214"/>
    <w:rsid w:val="00992A2A"/>
    <w:rsid w:val="00992D3A"/>
    <w:rsid w:val="00992D44"/>
    <w:rsid w:val="00993269"/>
    <w:rsid w:val="009932B3"/>
    <w:rsid w:val="00993B87"/>
    <w:rsid w:val="00993EF2"/>
    <w:rsid w:val="00993FCF"/>
    <w:rsid w:val="00994201"/>
    <w:rsid w:val="009945C5"/>
    <w:rsid w:val="00994E2A"/>
    <w:rsid w:val="00994EBB"/>
    <w:rsid w:val="00994EEF"/>
    <w:rsid w:val="00994FC4"/>
    <w:rsid w:val="009954BE"/>
    <w:rsid w:val="009954C2"/>
    <w:rsid w:val="00995540"/>
    <w:rsid w:val="009957A3"/>
    <w:rsid w:val="00995C25"/>
    <w:rsid w:val="00995ED7"/>
    <w:rsid w:val="00996ACD"/>
    <w:rsid w:val="00996DDC"/>
    <w:rsid w:val="00996E01"/>
    <w:rsid w:val="009971AB"/>
    <w:rsid w:val="00997520"/>
    <w:rsid w:val="009975E0"/>
    <w:rsid w:val="009978F4"/>
    <w:rsid w:val="009979D2"/>
    <w:rsid w:val="00997A6E"/>
    <w:rsid w:val="00997CCE"/>
    <w:rsid w:val="009A0225"/>
    <w:rsid w:val="009A0771"/>
    <w:rsid w:val="009A0CDB"/>
    <w:rsid w:val="009A12ED"/>
    <w:rsid w:val="009A1524"/>
    <w:rsid w:val="009A1686"/>
    <w:rsid w:val="009A1D8D"/>
    <w:rsid w:val="009A1F5D"/>
    <w:rsid w:val="009A20D6"/>
    <w:rsid w:val="009A21A2"/>
    <w:rsid w:val="009A2212"/>
    <w:rsid w:val="009A2544"/>
    <w:rsid w:val="009A2678"/>
    <w:rsid w:val="009A275E"/>
    <w:rsid w:val="009A279F"/>
    <w:rsid w:val="009A2CC2"/>
    <w:rsid w:val="009A3048"/>
    <w:rsid w:val="009A35C9"/>
    <w:rsid w:val="009A375A"/>
    <w:rsid w:val="009A38CA"/>
    <w:rsid w:val="009A3B81"/>
    <w:rsid w:val="009A3D98"/>
    <w:rsid w:val="009A3E0D"/>
    <w:rsid w:val="009A3E35"/>
    <w:rsid w:val="009A43A9"/>
    <w:rsid w:val="009A46CA"/>
    <w:rsid w:val="009A4E7D"/>
    <w:rsid w:val="009A4E9B"/>
    <w:rsid w:val="009A4F65"/>
    <w:rsid w:val="009A50B8"/>
    <w:rsid w:val="009A54FA"/>
    <w:rsid w:val="009A58CE"/>
    <w:rsid w:val="009A5F48"/>
    <w:rsid w:val="009A64F5"/>
    <w:rsid w:val="009A6630"/>
    <w:rsid w:val="009A6B03"/>
    <w:rsid w:val="009A6D77"/>
    <w:rsid w:val="009A6DB2"/>
    <w:rsid w:val="009A7086"/>
    <w:rsid w:val="009A72D4"/>
    <w:rsid w:val="009A76A7"/>
    <w:rsid w:val="009A7716"/>
    <w:rsid w:val="009A7920"/>
    <w:rsid w:val="009B032E"/>
    <w:rsid w:val="009B04A0"/>
    <w:rsid w:val="009B0C8A"/>
    <w:rsid w:val="009B0E1C"/>
    <w:rsid w:val="009B0FED"/>
    <w:rsid w:val="009B130F"/>
    <w:rsid w:val="009B1764"/>
    <w:rsid w:val="009B17B5"/>
    <w:rsid w:val="009B1A6A"/>
    <w:rsid w:val="009B1E74"/>
    <w:rsid w:val="009B2154"/>
    <w:rsid w:val="009B2304"/>
    <w:rsid w:val="009B2DCC"/>
    <w:rsid w:val="009B2EB1"/>
    <w:rsid w:val="009B3987"/>
    <w:rsid w:val="009B3E55"/>
    <w:rsid w:val="009B3EC6"/>
    <w:rsid w:val="009B3F1B"/>
    <w:rsid w:val="009B4257"/>
    <w:rsid w:val="009B478A"/>
    <w:rsid w:val="009B4A0B"/>
    <w:rsid w:val="009B4AF9"/>
    <w:rsid w:val="009B4B46"/>
    <w:rsid w:val="009B4BA1"/>
    <w:rsid w:val="009B4FFA"/>
    <w:rsid w:val="009B52F1"/>
    <w:rsid w:val="009B543F"/>
    <w:rsid w:val="009B5637"/>
    <w:rsid w:val="009B5744"/>
    <w:rsid w:val="009B58B0"/>
    <w:rsid w:val="009B5A7C"/>
    <w:rsid w:val="009B5E58"/>
    <w:rsid w:val="009B6156"/>
    <w:rsid w:val="009B65DA"/>
    <w:rsid w:val="009B67CC"/>
    <w:rsid w:val="009B6A12"/>
    <w:rsid w:val="009B6A70"/>
    <w:rsid w:val="009B6FE0"/>
    <w:rsid w:val="009B70D3"/>
    <w:rsid w:val="009B7116"/>
    <w:rsid w:val="009B712B"/>
    <w:rsid w:val="009B7138"/>
    <w:rsid w:val="009B72BC"/>
    <w:rsid w:val="009B74DA"/>
    <w:rsid w:val="009B7655"/>
    <w:rsid w:val="009B7C9C"/>
    <w:rsid w:val="009C004B"/>
    <w:rsid w:val="009C009C"/>
    <w:rsid w:val="009C011D"/>
    <w:rsid w:val="009C018C"/>
    <w:rsid w:val="009C0432"/>
    <w:rsid w:val="009C0D98"/>
    <w:rsid w:val="009C11BE"/>
    <w:rsid w:val="009C13D5"/>
    <w:rsid w:val="009C148F"/>
    <w:rsid w:val="009C162C"/>
    <w:rsid w:val="009C1ADD"/>
    <w:rsid w:val="009C1C51"/>
    <w:rsid w:val="009C1E4D"/>
    <w:rsid w:val="009C1EAE"/>
    <w:rsid w:val="009C205F"/>
    <w:rsid w:val="009C20F7"/>
    <w:rsid w:val="009C22BC"/>
    <w:rsid w:val="009C2405"/>
    <w:rsid w:val="009C2615"/>
    <w:rsid w:val="009C2837"/>
    <w:rsid w:val="009C2CB4"/>
    <w:rsid w:val="009C311D"/>
    <w:rsid w:val="009C3385"/>
    <w:rsid w:val="009C338C"/>
    <w:rsid w:val="009C36AD"/>
    <w:rsid w:val="009C382A"/>
    <w:rsid w:val="009C3B2C"/>
    <w:rsid w:val="009C3BE8"/>
    <w:rsid w:val="009C3D71"/>
    <w:rsid w:val="009C4148"/>
    <w:rsid w:val="009C455C"/>
    <w:rsid w:val="009C4E34"/>
    <w:rsid w:val="009C4F33"/>
    <w:rsid w:val="009C50D3"/>
    <w:rsid w:val="009C51C3"/>
    <w:rsid w:val="009C5548"/>
    <w:rsid w:val="009C5C0D"/>
    <w:rsid w:val="009C5DB9"/>
    <w:rsid w:val="009C5FE8"/>
    <w:rsid w:val="009C6BE0"/>
    <w:rsid w:val="009C6F64"/>
    <w:rsid w:val="009C704B"/>
    <w:rsid w:val="009C713A"/>
    <w:rsid w:val="009C72B3"/>
    <w:rsid w:val="009C72D0"/>
    <w:rsid w:val="009C7686"/>
    <w:rsid w:val="009C7B33"/>
    <w:rsid w:val="009C7B78"/>
    <w:rsid w:val="009C7BB2"/>
    <w:rsid w:val="009C7E47"/>
    <w:rsid w:val="009D017B"/>
    <w:rsid w:val="009D01E0"/>
    <w:rsid w:val="009D021C"/>
    <w:rsid w:val="009D072F"/>
    <w:rsid w:val="009D09D9"/>
    <w:rsid w:val="009D0B06"/>
    <w:rsid w:val="009D0DC2"/>
    <w:rsid w:val="009D0F21"/>
    <w:rsid w:val="009D10D5"/>
    <w:rsid w:val="009D128B"/>
    <w:rsid w:val="009D1CAB"/>
    <w:rsid w:val="009D1D9B"/>
    <w:rsid w:val="009D2373"/>
    <w:rsid w:val="009D2AF3"/>
    <w:rsid w:val="009D2C19"/>
    <w:rsid w:val="009D34FC"/>
    <w:rsid w:val="009D360D"/>
    <w:rsid w:val="009D39CD"/>
    <w:rsid w:val="009D3A0B"/>
    <w:rsid w:val="009D3C8B"/>
    <w:rsid w:val="009D3E95"/>
    <w:rsid w:val="009D40FC"/>
    <w:rsid w:val="009D442B"/>
    <w:rsid w:val="009D46CC"/>
    <w:rsid w:val="009D48A9"/>
    <w:rsid w:val="009D4A6D"/>
    <w:rsid w:val="009D4AE6"/>
    <w:rsid w:val="009D4AF6"/>
    <w:rsid w:val="009D4BC0"/>
    <w:rsid w:val="009D4DFE"/>
    <w:rsid w:val="009D4E7D"/>
    <w:rsid w:val="009D57D1"/>
    <w:rsid w:val="009D5822"/>
    <w:rsid w:val="009D597E"/>
    <w:rsid w:val="009D5BBD"/>
    <w:rsid w:val="009D63F0"/>
    <w:rsid w:val="009D6606"/>
    <w:rsid w:val="009D6647"/>
    <w:rsid w:val="009D688D"/>
    <w:rsid w:val="009D6DF3"/>
    <w:rsid w:val="009D7321"/>
    <w:rsid w:val="009D741E"/>
    <w:rsid w:val="009D761A"/>
    <w:rsid w:val="009D784B"/>
    <w:rsid w:val="009E051D"/>
    <w:rsid w:val="009E05E7"/>
    <w:rsid w:val="009E0BE2"/>
    <w:rsid w:val="009E0CB7"/>
    <w:rsid w:val="009E0E20"/>
    <w:rsid w:val="009E12E6"/>
    <w:rsid w:val="009E1B2B"/>
    <w:rsid w:val="009E1BEB"/>
    <w:rsid w:val="009E2197"/>
    <w:rsid w:val="009E2C46"/>
    <w:rsid w:val="009E2C99"/>
    <w:rsid w:val="009E30A7"/>
    <w:rsid w:val="009E3CCA"/>
    <w:rsid w:val="009E4372"/>
    <w:rsid w:val="009E463D"/>
    <w:rsid w:val="009E493F"/>
    <w:rsid w:val="009E497B"/>
    <w:rsid w:val="009E497E"/>
    <w:rsid w:val="009E4AA7"/>
    <w:rsid w:val="009E4AB8"/>
    <w:rsid w:val="009E4C11"/>
    <w:rsid w:val="009E4F74"/>
    <w:rsid w:val="009E4FE8"/>
    <w:rsid w:val="009E5124"/>
    <w:rsid w:val="009E5313"/>
    <w:rsid w:val="009E56C7"/>
    <w:rsid w:val="009E599F"/>
    <w:rsid w:val="009E5B52"/>
    <w:rsid w:val="009E5BB9"/>
    <w:rsid w:val="009E5F01"/>
    <w:rsid w:val="009E5F29"/>
    <w:rsid w:val="009E5FCF"/>
    <w:rsid w:val="009E62BB"/>
    <w:rsid w:val="009E634E"/>
    <w:rsid w:val="009E641A"/>
    <w:rsid w:val="009E65E9"/>
    <w:rsid w:val="009E677E"/>
    <w:rsid w:val="009E67E0"/>
    <w:rsid w:val="009E6937"/>
    <w:rsid w:val="009E6A8E"/>
    <w:rsid w:val="009E6DCB"/>
    <w:rsid w:val="009E7737"/>
    <w:rsid w:val="009E7DCA"/>
    <w:rsid w:val="009F0908"/>
    <w:rsid w:val="009F0AD3"/>
    <w:rsid w:val="009F0CB7"/>
    <w:rsid w:val="009F1388"/>
    <w:rsid w:val="009F1613"/>
    <w:rsid w:val="009F1C4C"/>
    <w:rsid w:val="009F1DEC"/>
    <w:rsid w:val="009F1F13"/>
    <w:rsid w:val="009F2083"/>
    <w:rsid w:val="009F2378"/>
    <w:rsid w:val="009F2716"/>
    <w:rsid w:val="009F29B6"/>
    <w:rsid w:val="009F2A28"/>
    <w:rsid w:val="009F2BE2"/>
    <w:rsid w:val="009F2CBA"/>
    <w:rsid w:val="009F2EE7"/>
    <w:rsid w:val="009F34D8"/>
    <w:rsid w:val="009F410A"/>
    <w:rsid w:val="009F43D7"/>
    <w:rsid w:val="009F44BB"/>
    <w:rsid w:val="009F44E8"/>
    <w:rsid w:val="009F4B14"/>
    <w:rsid w:val="009F4D22"/>
    <w:rsid w:val="009F4E86"/>
    <w:rsid w:val="009F5035"/>
    <w:rsid w:val="009F50D5"/>
    <w:rsid w:val="009F512A"/>
    <w:rsid w:val="009F525A"/>
    <w:rsid w:val="009F53DA"/>
    <w:rsid w:val="009F5521"/>
    <w:rsid w:val="009F569F"/>
    <w:rsid w:val="009F56DD"/>
    <w:rsid w:val="009F57B5"/>
    <w:rsid w:val="009F61E5"/>
    <w:rsid w:val="009F6711"/>
    <w:rsid w:val="009F6772"/>
    <w:rsid w:val="009F6992"/>
    <w:rsid w:val="009F6C38"/>
    <w:rsid w:val="009F7055"/>
    <w:rsid w:val="009F73A8"/>
    <w:rsid w:val="009F7A23"/>
    <w:rsid w:val="009F7BBB"/>
    <w:rsid w:val="009F7C31"/>
    <w:rsid w:val="009F7C8A"/>
    <w:rsid w:val="009F7DCE"/>
    <w:rsid w:val="009F7F92"/>
    <w:rsid w:val="009F7FA6"/>
    <w:rsid w:val="00A0017C"/>
    <w:rsid w:val="00A002BD"/>
    <w:rsid w:val="00A0077D"/>
    <w:rsid w:val="00A00996"/>
    <w:rsid w:val="00A009C1"/>
    <w:rsid w:val="00A00A88"/>
    <w:rsid w:val="00A00BEE"/>
    <w:rsid w:val="00A00C19"/>
    <w:rsid w:val="00A00FE1"/>
    <w:rsid w:val="00A01EFD"/>
    <w:rsid w:val="00A01FAD"/>
    <w:rsid w:val="00A02409"/>
    <w:rsid w:val="00A02648"/>
    <w:rsid w:val="00A0276C"/>
    <w:rsid w:val="00A028E4"/>
    <w:rsid w:val="00A02C4B"/>
    <w:rsid w:val="00A03713"/>
    <w:rsid w:val="00A03765"/>
    <w:rsid w:val="00A037CC"/>
    <w:rsid w:val="00A03DA9"/>
    <w:rsid w:val="00A03F4B"/>
    <w:rsid w:val="00A04359"/>
    <w:rsid w:val="00A0467A"/>
    <w:rsid w:val="00A04842"/>
    <w:rsid w:val="00A04B35"/>
    <w:rsid w:val="00A04FEE"/>
    <w:rsid w:val="00A04FF1"/>
    <w:rsid w:val="00A05155"/>
    <w:rsid w:val="00A05397"/>
    <w:rsid w:val="00A0540C"/>
    <w:rsid w:val="00A05970"/>
    <w:rsid w:val="00A05B51"/>
    <w:rsid w:val="00A05C34"/>
    <w:rsid w:val="00A06074"/>
    <w:rsid w:val="00A06306"/>
    <w:rsid w:val="00A0631A"/>
    <w:rsid w:val="00A06413"/>
    <w:rsid w:val="00A0675D"/>
    <w:rsid w:val="00A069E1"/>
    <w:rsid w:val="00A06E83"/>
    <w:rsid w:val="00A06E87"/>
    <w:rsid w:val="00A07716"/>
    <w:rsid w:val="00A077E9"/>
    <w:rsid w:val="00A07F3F"/>
    <w:rsid w:val="00A104EB"/>
    <w:rsid w:val="00A10610"/>
    <w:rsid w:val="00A1077A"/>
    <w:rsid w:val="00A10B0B"/>
    <w:rsid w:val="00A10C67"/>
    <w:rsid w:val="00A10ED3"/>
    <w:rsid w:val="00A10F1C"/>
    <w:rsid w:val="00A11007"/>
    <w:rsid w:val="00A11036"/>
    <w:rsid w:val="00A111B5"/>
    <w:rsid w:val="00A114CF"/>
    <w:rsid w:val="00A1180B"/>
    <w:rsid w:val="00A1199A"/>
    <w:rsid w:val="00A11D71"/>
    <w:rsid w:val="00A12271"/>
    <w:rsid w:val="00A12340"/>
    <w:rsid w:val="00A1238D"/>
    <w:rsid w:val="00A12792"/>
    <w:rsid w:val="00A12B93"/>
    <w:rsid w:val="00A12CBF"/>
    <w:rsid w:val="00A131C9"/>
    <w:rsid w:val="00A139E6"/>
    <w:rsid w:val="00A13BF8"/>
    <w:rsid w:val="00A1448E"/>
    <w:rsid w:val="00A14774"/>
    <w:rsid w:val="00A14A82"/>
    <w:rsid w:val="00A152A3"/>
    <w:rsid w:val="00A159EA"/>
    <w:rsid w:val="00A16C3F"/>
    <w:rsid w:val="00A16DF4"/>
    <w:rsid w:val="00A1703C"/>
    <w:rsid w:val="00A17254"/>
    <w:rsid w:val="00A173A5"/>
    <w:rsid w:val="00A17A41"/>
    <w:rsid w:val="00A17BB0"/>
    <w:rsid w:val="00A17EE8"/>
    <w:rsid w:val="00A20739"/>
    <w:rsid w:val="00A20897"/>
    <w:rsid w:val="00A20AA7"/>
    <w:rsid w:val="00A20CE6"/>
    <w:rsid w:val="00A210BE"/>
    <w:rsid w:val="00A21479"/>
    <w:rsid w:val="00A2155F"/>
    <w:rsid w:val="00A21B63"/>
    <w:rsid w:val="00A220A1"/>
    <w:rsid w:val="00A223FE"/>
    <w:rsid w:val="00A22C1C"/>
    <w:rsid w:val="00A22C36"/>
    <w:rsid w:val="00A22DDD"/>
    <w:rsid w:val="00A231EA"/>
    <w:rsid w:val="00A234B2"/>
    <w:rsid w:val="00A23751"/>
    <w:rsid w:val="00A243B5"/>
    <w:rsid w:val="00A245BC"/>
    <w:rsid w:val="00A2480A"/>
    <w:rsid w:val="00A249A7"/>
    <w:rsid w:val="00A249B3"/>
    <w:rsid w:val="00A24CBF"/>
    <w:rsid w:val="00A2500A"/>
    <w:rsid w:val="00A25460"/>
    <w:rsid w:val="00A25984"/>
    <w:rsid w:val="00A25A16"/>
    <w:rsid w:val="00A25E7B"/>
    <w:rsid w:val="00A26328"/>
    <w:rsid w:val="00A267C9"/>
    <w:rsid w:val="00A26AAA"/>
    <w:rsid w:val="00A26B6B"/>
    <w:rsid w:val="00A271CF"/>
    <w:rsid w:val="00A27986"/>
    <w:rsid w:val="00A27BF3"/>
    <w:rsid w:val="00A3002A"/>
    <w:rsid w:val="00A30072"/>
    <w:rsid w:val="00A307BE"/>
    <w:rsid w:val="00A307ED"/>
    <w:rsid w:val="00A30992"/>
    <w:rsid w:val="00A30BA4"/>
    <w:rsid w:val="00A30F7D"/>
    <w:rsid w:val="00A310E7"/>
    <w:rsid w:val="00A313EF"/>
    <w:rsid w:val="00A31512"/>
    <w:rsid w:val="00A3198D"/>
    <w:rsid w:val="00A319FE"/>
    <w:rsid w:val="00A31DAC"/>
    <w:rsid w:val="00A31F3B"/>
    <w:rsid w:val="00A31F66"/>
    <w:rsid w:val="00A32463"/>
    <w:rsid w:val="00A325F5"/>
    <w:rsid w:val="00A3291A"/>
    <w:rsid w:val="00A32B85"/>
    <w:rsid w:val="00A32BDE"/>
    <w:rsid w:val="00A334BC"/>
    <w:rsid w:val="00A3374C"/>
    <w:rsid w:val="00A338DC"/>
    <w:rsid w:val="00A33B57"/>
    <w:rsid w:val="00A33C94"/>
    <w:rsid w:val="00A341B9"/>
    <w:rsid w:val="00A34334"/>
    <w:rsid w:val="00A34900"/>
    <w:rsid w:val="00A349F0"/>
    <w:rsid w:val="00A34E00"/>
    <w:rsid w:val="00A34EDF"/>
    <w:rsid w:val="00A3501E"/>
    <w:rsid w:val="00A351AD"/>
    <w:rsid w:val="00A353BC"/>
    <w:rsid w:val="00A3558D"/>
    <w:rsid w:val="00A35A71"/>
    <w:rsid w:val="00A35BB1"/>
    <w:rsid w:val="00A3616A"/>
    <w:rsid w:val="00A36A48"/>
    <w:rsid w:val="00A36C77"/>
    <w:rsid w:val="00A37135"/>
    <w:rsid w:val="00A3717F"/>
    <w:rsid w:val="00A37402"/>
    <w:rsid w:val="00A374D9"/>
    <w:rsid w:val="00A37680"/>
    <w:rsid w:val="00A37976"/>
    <w:rsid w:val="00A37E64"/>
    <w:rsid w:val="00A400D2"/>
    <w:rsid w:val="00A40514"/>
    <w:rsid w:val="00A409E2"/>
    <w:rsid w:val="00A40E51"/>
    <w:rsid w:val="00A41036"/>
    <w:rsid w:val="00A4129C"/>
    <w:rsid w:val="00A412CF"/>
    <w:rsid w:val="00A4135C"/>
    <w:rsid w:val="00A416F5"/>
    <w:rsid w:val="00A41742"/>
    <w:rsid w:val="00A4176C"/>
    <w:rsid w:val="00A41892"/>
    <w:rsid w:val="00A420DB"/>
    <w:rsid w:val="00A4220C"/>
    <w:rsid w:val="00A42274"/>
    <w:rsid w:val="00A42A84"/>
    <w:rsid w:val="00A42DC6"/>
    <w:rsid w:val="00A4308D"/>
    <w:rsid w:val="00A430A0"/>
    <w:rsid w:val="00A43737"/>
    <w:rsid w:val="00A43757"/>
    <w:rsid w:val="00A43770"/>
    <w:rsid w:val="00A4397F"/>
    <w:rsid w:val="00A4435B"/>
    <w:rsid w:val="00A448FF"/>
    <w:rsid w:val="00A449EE"/>
    <w:rsid w:val="00A44AF6"/>
    <w:rsid w:val="00A44DAE"/>
    <w:rsid w:val="00A44DC2"/>
    <w:rsid w:val="00A450C7"/>
    <w:rsid w:val="00A4547F"/>
    <w:rsid w:val="00A455C9"/>
    <w:rsid w:val="00A45678"/>
    <w:rsid w:val="00A45865"/>
    <w:rsid w:val="00A45A22"/>
    <w:rsid w:val="00A45A42"/>
    <w:rsid w:val="00A45CF5"/>
    <w:rsid w:val="00A45D10"/>
    <w:rsid w:val="00A45E27"/>
    <w:rsid w:val="00A46262"/>
    <w:rsid w:val="00A464BD"/>
    <w:rsid w:val="00A465AD"/>
    <w:rsid w:val="00A4681C"/>
    <w:rsid w:val="00A472D1"/>
    <w:rsid w:val="00A474A2"/>
    <w:rsid w:val="00A478A0"/>
    <w:rsid w:val="00A47B9A"/>
    <w:rsid w:val="00A47F30"/>
    <w:rsid w:val="00A500EF"/>
    <w:rsid w:val="00A50354"/>
    <w:rsid w:val="00A50793"/>
    <w:rsid w:val="00A50B83"/>
    <w:rsid w:val="00A50F3E"/>
    <w:rsid w:val="00A510AD"/>
    <w:rsid w:val="00A51A81"/>
    <w:rsid w:val="00A51D0E"/>
    <w:rsid w:val="00A52197"/>
    <w:rsid w:val="00A521FE"/>
    <w:rsid w:val="00A522CF"/>
    <w:rsid w:val="00A52679"/>
    <w:rsid w:val="00A528E6"/>
    <w:rsid w:val="00A52C63"/>
    <w:rsid w:val="00A52CE5"/>
    <w:rsid w:val="00A52ECE"/>
    <w:rsid w:val="00A53004"/>
    <w:rsid w:val="00A53012"/>
    <w:rsid w:val="00A53282"/>
    <w:rsid w:val="00A53503"/>
    <w:rsid w:val="00A53747"/>
    <w:rsid w:val="00A54068"/>
    <w:rsid w:val="00A5406B"/>
    <w:rsid w:val="00A54297"/>
    <w:rsid w:val="00A54755"/>
    <w:rsid w:val="00A54A7B"/>
    <w:rsid w:val="00A54E9D"/>
    <w:rsid w:val="00A552B1"/>
    <w:rsid w:val="00A5534C"/>
    <w:rsid w:val="00A55672"/>
    <w:rsid w:val="00A5574C"/>
    <w:rsid w:val="00A55840"/>
    <w:rsid w:val="00A558EB"/>
    <w:rsid w:val="00A55DD4"/>
    <w:rsid w:val="00A56266"/>
    <w:rsid w:val="00A564CE"/>
    <w:rsid w:val="00A5683B"/>
    <w:rsid w:val="00A56B47"/>
    <w:rsid w:val="00A56D0D"/>
    <w:rsid w:val="00A571DB"/>
    <w:rsid w:val="00A57213"/>
    <w:rsid w:val="00A57257"/>
    <w:rsid w:val="00A57555"/>
    <w:rsid w:val="00A57911"/>
    <w:rsid w:val="00A57C6A"/>
    <w:rsid w:val="00A57E5E"/>
    <w:rsid w:val="00A57F6E"/>
    <w:rsid w:val="00A604A2"/>
    <w:rsid w:val="00A606C7"/>
    <w:rsid w:val="00A60B8E"/>
    <w:rsid w:val="00A60E15"/>
    <w:rsid w:val="00A61146"/>
    <w:rsid w:val="00A61441"/>
    <w:rsid w:val="00A61494"/>
    <w:rsid w:val="00A615A9"/>
    <w:rsid w:val="00A61639"/>
    <w:rsid w:val="00A61982"/>
    <w:rsid w:val="00A61D61"/>
    <w:rsid w:val="00A6200F"/>
    <w:rsid w:val="00A6206C"/>
    <w:rsid w:val="00A62571"/>
    <w:rsid w:val="00A62596"/>
    <w:rsid w:val="00A626E1"/>
    <w:rsid w:val="00A62981"/>
    <w:rsid w:val="00A62AA7"/>
    <w:rsid w:val="00A62D79"/>
    <w:rsid w:val="00A6345C"/>
    <w:rsid w:val="00A6353C"/>
    <w:rsid w:val="00A6375A"/>
    <w:rsid w:val="00A63849"/>
    <w:rsid w:val="00A63A4B"/>
    <w:rsid w:val="00A64055"/>
    <w:rsid w:val="00A64615"/>
    <w:rsid w:val="00A647DF"/>
    <w:rsid w:val="00A64904"/>
    <w:rsid w:val="00A64D61"/>
    <w:rsid w:val="00A64DC3"/>
    <w:rsid w:val="00A6538D"/>
    <w:rsid w:val="00A65968"/>
    <w:rsid w:val="00A65D54"/>
    <w:rsid w:val="00A65DEA"/>
    <w:rsid w:val="00A65FF9"/>
    <w:rsid w:val="00A665CE"/>
    <w:rsid w:val="00A66AD5"/>
    <w:rsid w:val="00A67203"/>
    <w:rsid w:val="00A6725C"/>
    <w:rsid w:val="00A672EA"/>
    <w:rsid w:val="00A67684"/>
    <w:rsid w:val="00A67858"/>
    <w:rsid w:val="00A67C80"/>
    <w:rsid w:val="00A67C96"/>
    <w:rsid w:val="00A70564"/>
    <w:rsid w:val="00A70962"/>
    <w:rsid w:val="00A70F46"/>
    <w:rsid w:val="00A71708"/>
    <w:rsid w:val="00A71724"/>
    <w:rsid w:val="00A71E88"/>
    <w:rsid w:val="00A71EFE"/>
    <w:rsid w:val="00A71F7D"/>
    <w:rsid w:val="00A71F95"/>
    <w:rsid w:val="00A71FCA"/>
    <w:rsid w:val="00A7203A"/>
    <w:rsid w:val="00A7217F"/>
    <w:rsid w:val="00A7221E"/>
    <w:rsid w:val="00A72271"/>
    <w:rsid w:val="00A7287C"/>
    <w:rsid w:val="00A7294B"/>
    <w:rsid w:val="00A72CD1"/>
    <w:rsid w:val="00A72FA3"/>
    <w:rsid w:val="00A72FAE"/>
    <w:rsid w:val="00A72FB1"/>
    <w:rsid w:val="00A73249"/>
    <w:rsid w:val="00A7353C"/>
    <w:rsid w:val="00A73880"/>
    <w:rsid w:val="00A73AFA"/>
    <w:rsid w:val="00A73C8C"/>
    <w:rsid w:val="00A73DB3"/>
    <w:rsid w:val="00A74046"/>
    <w:rsid w:val="00A7443B"/>
    <w:rsid w:val="00A745F7"/>
    <w:rsid w:val="00A74AC6"/>
    <w:rsid w:val="00A74BA0"/>
    <w:rsid w:val="00A74CCE"/>
    <w:rsid w:val="00A752B1"/>
    <w:rsid w:val="00A7533A"/>
    <w:rsid w:val="00A75521"/>
    <w:rsid w:val="00A75901"/>
    <w:rsid w:val="00A75D62"/>
    <w:rsid w:val="00A7617C"/>
    <w:rsid w:val="00A764FD"/>
    <w:rsid w:val="00A765D7"/>
    <w:rsid w:val="00A766C2"/>
    <w:rsid w:val="00A76785"/>
    <w:rsid w:val="00A76947"/>
    <w:rsid w:val="00A769A9"/>
    <w:rsid w:val="00A76A0F"/>
    <w:rsid w:val="00A76E3C"/>
    <w:rsid w:val="00A770E4"/>
    <w:rsid w:val="00A77397"/>
    <w:rsid w:val="00A77417"/>
    <w:rsid w:val="00A77493"/>
    <w:rsid w:val="00A7786A"/>
    <w:rsid w:val="00A77C5E"/>
    <w:rsid w:val="00A77C9C"/>
    <w:rsid w:val="00A77D2F"/>
    <w:rsid w:val="00A77F4F"/>
    <w:rsid w:val="00A802AB"/>
    <w:rsid w:val="00A8047B"/>
    <w:rsid w:val="00A8053E"/>
    <w:rsid w:val="00A805BA"/>
    <w:rsid w:val="00A80AB0"/>
    <w:rsid w:val="00A80C28"/>
    <w:rsid w:val="00A80CA9"/>
    <w:rsid w:val="00A80E11"/>
    <w:rsid w:val="00A81035"/>
    <w:rsid w:val="00A810F0"/>
    <w:rsid w:val="00A81352"/>
    <w:rsid w:val="00A8138B"/>
    <w:rsid w:val="00A8159C"/>
    <w:rsid w:val="00A81649"/>
    <w:rsid w:val="00A81677"/>
    <w:rsid w:val="00A81C4E"/>
    <w:rsid w:val="00A81DF5"/>
    <w:rsid w:val="00A820D2"/>
    <w:rsid w:val="00A821BA"/>
    <w:rsid w:val="00A82CAF"/>
    <w:rsid w:val="00A82DE5"/>
    <w:rsid w:val="00A83081"/>
    <w:rsid w:val="00A830C7"/>
    <w:rsid w:val="00A831A1"/>
    <w:rsid w:val="00A832D5"/>
    <w:rsid w:val="00A83560"/>
    <w:rsid w:val="00A83B01"/>
    <w:rsid w:val="00A83BC2"/>
    <w:rsid w:val="00A83C51"/>
    <w:rsid w:val="00A83D00"/>
    <w:rsid w:val="00A83DB6"/>
    <w:rsid w:val="00A8407F"/>
    <w:rsid w:val="00A8415E"/>
    <w:rsid w:val="00A8423E"/>
    <w:rsid w:val="00A842FD"/>
    <w:rsid w:val="00A8462F"/>
    <w:rsid w:val="00A8490D"/>
    <w:rsid w:val="00A84C55"/>
    <w:rsid w:val="00A84D92"/>
    <w:rsid w:val="00A85007"/>
    <w:rsid w:val="00A86214"/>
    <w:rsid w:val="00A86399"/>
    <w:rsid w:val="00A8690D"/>
    <w:rsid w:val="00A86975"/>
    <w:rsid w:val="00A869BB"/>
    <w:rsid w:val="00A86A52"/>
    <w:rsid w:val="00A875D5"/>
    <w:rsid w:val="00A87606"/>
    <w:rsid w:val="00A877B1"/>
    <w:rsid w:val="00A87800"/>
    <w:rsid w:val="00A87B13"/>
    <w:rsid w:val="00A87B80"/>
    <w:rsid w:val="00A87E07"/>
    <w:rsid w:val="00A87F30"/>
    <w:rsid w:val="00A903A5"/>
    <w:rsid w:val="00A90667"/>
    <w:rsid w:val="00A9083D"/>
    <w:rsid w:val="00A9093B"/>
    <w:rsid w:val="00A90DE1"/>
    <w:rsid w:val="00A91101"/>
    <w:rsid w:val="00A91161"/>
    <w:rsid w:val="00A9117C"/>
    <w:rsid w:val="00A916F5"/>
    <w:rsid w:val="00A9184A"/>
    <w:rsid w:val="00A9185F"/>
    <w:rsid w:val="00A91D1F"/>
    <w:rsid w:val="00A92120"/>
    <w:rsid w:val="00A92196"/>
    <w:rsid w:val="00A921F5"/>
    <w:rsid w:val="00A92252"/>
    <w:rsid w:val="00A926E9"/>
    <w:rsid w:val="00A926FF"/>
    <w:rsid w:val="00A9270C"/>
    <w:rsid w:val="00A92D0B"/>
    <w:rsid w:val="00A92EA9"/>
    <w:rsid w:val="00A93125"/>
    <w:rsid w:val="00A93255"/>
    <w:rsid w:val="00A93391"/>
    <w:rsid w:val="00A93904"/>
    <w:rsid w:val="00A93C4C"/>
    <w:rsid w:val="00A94962"/>
    <w:rsid w:val="00A94B09"/>
    <w:rsid w:val="00A950DD"/>
    <w:rsid w:val="00A958E9"/>
    <w:rsid w:val="00A95C46"/>
    <w:rsid w:val="00A95DCD"/>
    <w:rsid w:val="00A95DD8"/>
    <w:rsid w:val="00A96047"/>
    <w:rsid w:val="00A960A7"/>
    <w:rsid w:val="00A964BD"/>
    <w:rsid w:val="00A966B7"/>
    <w:rsid w:val="00A9679E"/>
    <w:rsid w:val="00A96BD3"/>
    <w:rsid w:val="00A96FA9"/>
    <w:rsid w:val="00A97663"/>
    <w:rsid w:val="00A97773"/>
    <w:rsid w:val="00A97AE8"/>
    <w:rsid w:val="00A97C07"/>
    <w:rsid w:val="00A97F64"/>
    <w:rsid w:val="00AA00EA"/>
    <w:rsid w:val="00AA022F"/>
    <w:rsid w:val="00AA02A6"/>
    <w:rsid w:val="00AA05BA"/>
    <w:rsid w:val="00AA0892"/>
    <w:rsid w:val="00AA0C33"/>
    <w:rsid w:val="00AA0C4F"/>
    <w:rsid w:val="00AA1397"/>
    <w:rsid w:val="00AA1526"/>
    <w:rsid w:val="00AA1787"/>
    <w:rsid w:val="00AA1A91"/>
    <w:rsid w:val="00AA1E53"/>
    <w:rsid w:val="00AA2284"/>
    <w:rsid w:val="00AA231E"/>
    <w:rsid w:val="00AA2BEE"/>
    <w:rsid w:val="00AA2C6B"/>
    <w:rsid w:val="00AA2E46"/>
    <w:rsid w:val="00AA2F29"/>
    <w:rsid w:val="00AA30FF"/>
    <w:rsid w:val="00AA3A1C"/>
    <w:rsid w:val="00AA4970"/>
    <w:rsid w:val="00AA4A1D"/>
    <w:rsid w:val="00AA4A26"/>
    <w:rsid w:val="00AA5283"/>
    <w:rsid w:val="00AA55F2"/>
    <w:rsid w:val="00AA5672"/>
    <w:rsid w:val="00AA56D7"/>
    <w:rsid w:val="00AA58B6"/>
    <w:rsid w:val="00AA59D8"/>
    <w:rsid w:val="00AA5BCB"/>
    <w:rsid w:val="00AA6129"/>
    <w:rsid w:val="00AA624E"/>
    <w:rsid w:val="00AA6811"/>
    <w:rsid w:val="00AA7181"/>
    <w:rsid w:val="00AA7294"/>
    <w:rsid w:val="00AA734A"/>
    <w:rsid w:val="00AA756B"/>
    <w:rsid w:val="00AA7722"/>
    <w:rsid w:val="00AA7B5E"/>
    <w:rsid w:val="00AA7BFB"/>
    <w:rsid w:val="00AA7E0D"/>
    <w:rsid w:val="00AB0188"/>
    <w:rsid w:val="00AB0221"/>
    <w:rsid w:val="00AB03C5"/>
    <w:rsid w:val="00AB04CC"/>
    <w:rsid w:val="00AB0CB9"/>
    <w:rsid w:val="00AB0D05"/>
    <w:rsid w:val="00AB0E41"/>
    <w:rsid w:val="00AB0ED1"/>
    <w:rsid w:val="00AB0F91"/>
    <w:rsid w:val="00AB1464"/>
    <w:rsid w:val="00AB17E2"/>
    <w:rsid w:val="00AB183E"/>
    <w:rsid w:val="00AB1E31"/>
    <w:rsid w:val="00AB1EC1"/>
    <w:rsid w:val="00AB225D"/>
    <w:rsid w:val="00AB2690"/>
    <w:rsid w:val="00AB2A24"/>
    <w:rsid w:val="00AB2B71"/>
    <w:rsid w:val="00AB2C93"/>
    <w:rsid w:val="00AB309A"/>
    <w:rsid w:val="00AB3935"/>
    <w:rsid w:val="00AB3A21"/>
    <w:rsid w:val="00AB43E9"/>
    <w:rsid w:val="00AB4772"/>
    <w:rsid w:val="00AB4CFE"/>
    <w:rsid w:val="00AB4DC9"/>
    <w:rsid w:val="00AB4F9A"/>
    <w:rsid w:val="00AB5945"/>
    <w:rsid w:val="00AB5A2C"/>
    <w:rsid w:val="00AB5C3A"/>
    <w:rsid w:val="00AB5E08"/>
    <w:rsid w:val="00AB5F4B"/>
    <w:rsid w:val="00AB6909"/>
    <w:rsid w:val="00AB6958"/>
    <w:rsid w:val="00AB6969"/>
    <w:rsid w:val="00AB736C"/>
    <w:rsid w:val="00AB74EC"/>
    <w:rsid w:val="00AB7587"/>
    <w:rsid w:val="00AB7B63"/>
    <w:rsid w:val="00AB7CC8"/>
    <w:rsid w:val="00AB7FC9"/>
    <w:rsid w:val="00AC0158"/>
    <w:rsid w:val="00AC04C4"/>
    <w:rsid w:val="00AC07ED"/>
    <w:rsid w:val="00AC09D4"/>
    <w:rsid w:val="00AC0C77"/>
    <w:rsid w:val="00AC11AC"/>
    <w:rsid w:val="00AC1599"/>
    <w:rsid w:val="00AC16CC"/>
    <w:rsid w:val="00AC190C"/>
    <w:rsid w:val="00AC1A6F"/>
    <w:rsid w:val="00AC1BAF"/>
    <w:rsid w:val="00AC2557"/>
    <w:rsid w:val="00AC28EC"/>
    <w:rsid w:val="00AC2B23"/>
    <w:rsid w:val="00AC2DCC"/>
    <w:rsid w:val="00AC3473"/>
    <w:rsid w:val="00AC376C"/>
    <w:rsid w:val="00AC3C3E"/>
    <w:rsid w:val="00AC3C61"/>
    <w:rsid w:val="00AC3E1F"/>
    <w:rsid w:val="00AC413F"/>
    <w:rsid w:val="00AC468D"/>
    <w:rsid w:val="00AC4848"/>
    <w:rsid w:val="00AC4DA6"/>
    <w:rsid w:val="00AC589D"/>
    <w:rsid w:val="00AC61F2"/>
    <w:rsid w:val="00AC65DA"/>
    <w:rsid w:val="00AC69B4"/>
    <w:rsid w:val="00AC6E81"/>
    <w:rsid w:val="00AC732E"/>
    <w:rsid w:val="00AC77BB"/>
    <w:rsid w:val="00AC7937"/>
    <w:rsid w:val="00AC7984"/>
    <w:rsid w:val="00AD00C6"/>
    <w:rsid w:val="00AD01FB"/>
    <w:rsid w:val="00AD042A"/>
    <w:rsid w:val="00AD08BC"/>
    <w:rsid w:val="00AD0A18"/>
    <w:rsid w:val="00AD0AE9"/>
    <w:rsid w:val="00AD0CE7"/>
    <w:rsid w:val="00AD0EF6"/>
    <w:rsid w:val="00AD1024"/>
    <w:rsid w:val="00AD1100"/>
    <w:rsid w:val="00AD11FD"/>
    <w:rsid w:val="00AD1343"/>
    <w:rsid w:val="00AD1406"/>
    <w:rsid w:val="00AD14B5"/>
    <w:rsid w:val="00AD1969"/>
    <w:rsid w:val="00AD20A8"/>
    <w:rsid w:val="00AD2112"/>
    <w:rsid w:val="00AD23EF"/>
    <w:rsid w:val="00AD25B7"/>
    <w:rsid w:val="00AD25C7"/>
    <w:rsid w:val="00AD26C8"/>
    <w:rsid w:val="00AD2B93"/>
    <w:rsid w:val="00AD2DB2"/>
    <w:rsid w:val="00AD3272"/>
    <w:rsid w:val="00AD35E9"/>
    <w:rsid w:val="00AD38D3"/>
    <w:rsid w:val="00AD3C30"/>
    <w:rsid w:val="00AD3C54"/>
    <w:rsid w:val="00AD3C73"/>
    <w:rsid w:val="00AD42ED"/>
    <w:rsid w:val="00AD43C3"/>
    <w:rsid w:val="00AD45E6"/>
    <w:rsid w:val="00AD4A08"/>
    <w:rsid w:val="00AD5052"/>
    <w:rsid w:val="00AD52B4"/>
    <w:rsid w:val="00AD627D"/>
    <w:rsid w:val="00AD63C1"/>
    <w:rsid w:val="00AD69ED"/>
    <w:rsid w:val="00AD6A2D"/>
    <w:rsid w:val="00AD6AA1"/>
    <w:rsid w:val="00AD6BF6"/>
    <w:rsid w:val="00AD6E5E"/>
    <w:rsid w:val="00AD6F6A"/>
    <w:rsid w:val="00AD6F92"/>
    <w:rsid w:val="00AD7108"/>
    <w:rsid w:val="00AD7508"/>
    <w:rsid w:val="00AD75B8"/>
    <w:rsid w:val="00AD795C"/>
    <w:rsid w:val="00AD7D0C"/>
    <w:rsid w:val="00AE0509"/>
    <w:rsid w:val="00AE0692"/>
    <w:rsid w:val="00AE0A66"/>
    <w:rsid w:val="00AE0D05"/>
    <w:rsid w:val="00AE1074"/>
    <w:rsid w:val="00AE109B"/>
    <w:rsid w:val="00AE15C4"/>
    <w:rsid w:val="00AE168D"/>
    <w:rsid w:val="00AE1871"/>
    <w:rsid w:val="00AE1AE9"/>
    <w:rsid w:val="00AE1AFC"/>
    <w:rsid w:val="00AE250C"/>
    <w:rsid w:val="00AE262E"/>
    <w:rsid w:val="00AE29F4"/>
    <w:rsid w:val="00AE2B39"/>
    <w:rsid w:val="00AE2B59"/>
    <w:rsid w:val="00AE2CE7"/>
    <w:rsid w:val="00AE2F71"/>
    <w:rsid w:val="00AE30E2"/>
    <w:rsid w:val="00AE34E5"/>
    <w:rsid w:val="00AE3572"/>
    <w:rsid w:val="00AE36E2"/>
    <w:rsid w:val="00AE3897"/>
    <w:rsid w:val="00AE3F39"/>
    <w:rsid w:val="00AE3F4B"/>
    <w:rsid w:val="00AE40A9"/>
    <w:rsid w:val="00AE40D7"/>
    <w:rsid w:val="00AE41D4"/>
    <w:rsid w:val="00AE47A1"/>
    <w:rsid w:val="00AE4955"/>
    <w:rsid w:val="00AE4ABA"/>
    <w:rsid w:val="00AE4E17"/>
    <w:rsid w:val="00AE4F12"/>
    <w:rsid w:val="00AE4FD9"/>
    <w:rsid w:val="00AE53EF"/>
    <w:rsid w:val="00AE59F2"/>
    <w:rsid w:val="00AE5B40"/>
    <w:rsid w:val="00AE5CEC"/>
    <w:rsid w:val="00AE672C"/>
    <w:rsid w:val="00AE6D09"/>
    <w:rsid w:val="00AE7191"/>
    <w:rsid w:val="00AE754A"/>
    <w:rsid w:val="00AE7ACF"/>
    <w:rsid w:val="00AE7CCD"/>
    <w:rsid w:val="00AE7D7E"/>
    <w:rsid w:val="00AE7E09"/>
    <w:rsid w:val="00AF01F8"/>
    <w:rsid w:val="00AF03E5"/>
    <w:rsid w:val="00AF0428"/>
    <w:rsid w:val="00AF04D7"/>
    <w:rsid w:val="00AF087B"/>
    <w:rsid w:val="00AF0914"/>
    <w:rsid w:val="00AF114A"/>
    <w:rsid w:val="00AF13EB"/>
    <w:rsid w:val="00AF14D2"/>
    <w:rsid w:val="00AF1564"/>
    <w:rsid w:val="00AF163D"/>
    <w:rsid w:val="00AF16E9"/>
    <w:rsid w:val="00AF1AED"/>
    <w:rsid w:val="00AF1EE1"/>
    <w:rsid w:val="00AF2241"/>
    <w:rsid w:val="00AF2401"/>
    <w:rsid w:val="00AF2962"/>
    <w:rsid w:val="00AF2A35"/>
    <w:rsid w:val="00AF2AB4"/>
    <w:rsid w:val="00AF3206"/>
    <w:rsid w:val="00AF32FD"/>
    <w:rsid w:val="00AF338A"/>
    <w:rsid w:val="00AF3AB4"/>
    <w:rsid w:val="00AF3C1E"/>
    <w:rsid w:val="00AF408D"/>
    <w:rsid w:val="00AF4263"/>
    <w:rsid w:val="00AF489B"/>
    <w:rsid w:val="00AF4A9E"/>
    <w:rsid w:val="00AF4B1A"/>
    <w:rsid w:val="00AF4CF6"/>
    <w:rsid w:val="00AF4EBF"/>
    <w:rsid w:val="00AF538F"/>
    <w:rsid w:val="00AF5602"/>
    <w:rsid w:val="00AF584F"/>
    <w:rsid w:val="00AF64D4"/>
    <w:rsid w:val="00AF65BE"/>
    <w:rsid w:val="00AF6627"/>
    <w:rsid w:val="00AF6708"/>
    <w:rsid w:val="00AF67F2"/>
    <w:rsid w:val="00AF6B62"/>
    <w:rsid w:val="00AF6C57"/>
    <w:rsid w:val="00AF6CE1"/>
    <w:rsid w:val="00AF7027"/>
    <w:rsid w:val="00AF7163"/>
    <w:rsid w:val="00AF75A2"/>
    <w:rsid w:val="00AF780A"/>
    <w:rsid w:val="00AF78AB"/>
    <w:rsid w:val="00AF795A"/>
    <w:rsid w:val="00AF7AA5"/>
    <w:rsid w:val="00B0002E"/>
    <w:rsid w:val="00B007A5"/>
    <w:rsid w:val="00B007BF"/>
    <w:rsid w:val="00B009B5"/>
    <w:rsid w:val="00B009C7"/>
    <w:rsid w:val="00B00D42"/>
    <w:rsid w:val="00B00D5F"/>
    <w:rsid w:val="00B013A3"/>
    <w:rsid w:val="00B01CF0"/>
    <w:rsid w:val="00B01D2E"/>
    <w:rsid w:val="00B0206B"/>
    <w:rsid w:val="00B026E1"/>
    <w:rsid w:val="00B02F93"/>
    <w:rsid w:val="00B0325A"/>
    <w:rsid w:val="00B033F8"/>
    <w:rsid w:val="00B03FFE"/>
    <w:rsid w:val="00B040ED"/>
    <w:rsid w:val="00B041BD"/>
    <w:rsid w:val="00B04671"/>
    <w:rsid w:val="00B04A21"/>
    <w:rsid w:val="00B04F50"/>
    <w:rsid w:val="00B05227"/>
    <w:rsid w:val="00B052CB"/>
    <w:rsid w:val="00B054D6"/>
    <w:rsid w:val="00B056E4"/>
    <w:rsid w:val="00B05706"/>
    <w:rsid w:val="00B05ED0"/>
    <w:rsid w:val="00B06326"/>
    <w:rsid w:val="00B0674D"/>
    <w:rsid w:val="00B06A4F"/>
    <w:rsid w:val="00B06E3A"/>
    <w:rsid w:val="00B0709C"/>
    <w:rsid w:val="00B07318"/>
    <w:rsid w:val="00B07378"/>
    <w:rsid w:val="00B0772E"/>
    <w:rsid w:val="00B0794A"/>
    <w:rsid w:val="00B10021"/>
    <w:rsid w:val="00B1017D"/>
    <w:rsid w:val="00B108C8"/>
    <w:rsid w:val="00B10A2F"/>
    <w:rsid w:val="00B1115F"/>
    <w:rsid w:val="00B1119F"/>
    <w:rsid w:val="00B115F4"/>
    <w:rsid w:val="00B116A0"/>
    <w:rsid w:val="00B117DC"/>
    <w:rsid w:val="00B11B27"/>
    <w:rsid w:val="00B12125"/>
    <w:rsid w:val="00B12139"/>
    <w:rsid w:val="00B12A17"/>
    <w:rsid w:val="00B12F8A"/>
    <w:rsid w:val="00B13004"/>
    <w:rsid w:val="00B13041"/>
    <w:rsid w:val="00B1314E"/>
    <w:rsid w:val="00B13348"/>
    <w:rsid w:val="00B133BD"/>
    <w:rsid w:val="00B135AE"/>
    <w:rsid w:val="00B13C9B"/>
    <w:rsid w:val="00B13D36"/>
    <w:rsid w:val="00B13EA6"/>
    <w:rsid w:val="00B13EAA"/>
    <w:rsid w:val="00B1458A"/>
    <w:rsid w:val="00B145D6"/>
    <w:rsid w:val="00B14C39"/>
    <w:rsid w:val="00B14F91"/>
    <w:rsid w:val="00B15D56"/>
    <w:rsid w:val="00B15EAE"/>
    <w:rsid w:val="00B16317"/>
    <w:rsid w:val="00B16421"/>
    <w:rsid w:val="00B167C3"/>
    <w:rsid w:val="00B1690D"/>
    <w:rsid w:val="00B16F6E"/>
    <w:rsid w:val="00B17386"/>
    <w:rsid w:val="00B17734"/>
    <w:rsid w:val="00B20061"/>
    <w:rsid w:val="00B20332"/>
    <w:rsid w:val="00B206A2"/>
    <w:rsid w:val="00B20756"/>
    <w:rsid w:val="00B2078F"/>
    <w:rsid w:val="00B20A40"/>
    <w:rsid w:val="00B20ACE"/>
    <w:rsid w:val="00B210CF"/>
    <w:rsid w:val="00B2110E"/>
    <w:rsid w:val="00B212E5"/>
    <w:rsid w:val="00B2173F"/>
    <w:rsid w:val="00B219C7"/>
    <w:rsid w:val="00B21BD4"/>
    <w:rsid w:val="00B21F37"/>
    <w:rsid w:val="00B223DB"/>
    <w:rsid w:val="00B22764"/>
    <w:rsid w:val="00B22BDE"/>
    <w:rsid w:val="00B22EEB"/>
    <w:rsid w:val="00B22F1C"/>
    <w:rsid w:val="00B23115"/>
    <w:rsid w:val="00B236C4"/>
    <w:rsid w:val="00B2391F"/>
    <w:rsid w:val="00B23982"/>
    <w:rsid w:val="00B23C59"/>
    <w:rsid w:val="00B23CE8"/>
    <w:rsid w:val="00B23E06"/>
    <w:rsid w:val="00B23E12"/>
    <w:rsid w:val="00B2404C"/>
    <w:rsid w:val="00B242D4"/>
    <w:rsid w:val="00B2439D"/>
    <w:rsid w:val="00B24860"/>
    <w:rsid w:val="00B24B72"/>
    <w:rsid w:val="00B24D98"/>
    <w:rsid w:val="00B252C3"/>
    <w:rsid w:val="00B253C9"/>
    <w:rsid w:val="00B25ACA"/>
    <w:rsid w:val="00B25E7B"/>
    <w:rsid w:val="00B25E9C"/>
    <w:rsid w:val="00B26075"/>
    <w:rsid w:val="00B2696B"/>
    <w:rsid w:val="00B26E3A"/>
    <w:rsid w:val="00B26ECF"/>
    <w:rsid w:val="00B27127"/>
    <w:rsid w:val="00B272EE"/>
    <w:rsid w:val="00B27941"/>
    <w:rsid w:val="00B27F31"/>
    <w:rsid w:val="00B27F9E"/>
    <w:rsid w:val="00B30190"/>
    <w:rsid w:val="00B3037E"/>
    <w:rsid w:val="00B30730"/>
    <w:rsid w:val="00B30A49"/>
    <w:rsid w:val="00B30D1B"/>
    <w:rsid w:val="00B30DD3"/>
    <w:rsid w:val="00B310AD"/>
    <w:rsid w:val="00B31B5A"/>
    <w:rsid w:val="00B31B99"/>
    <w:rsid w:val="00B31BB1"/>
    <w:rsid w:val="00B322C8"/>
    <w:rsid w:val="00B32302"/>
    <w:rsid w:val="00B3269E"/>
    <w:rsid w:val="00B32AC0"/>
    <w:rsid w:val="00B33004"/>
    <w:rsid w:val="00B33926"/>
    <w:rsid w:val="00B33E13"/>
    <w:rsid w:val="00B33EEA"/>
    <w:rsid w:val="00B34057"/>
    <w:rsid w:val="00B346ED"/>
    <w:rsid w:val="00B34B3C"/>
    <w:rsid w:val="00B34CB5"/>
    <w:rsid w:val="00B34D9F"/>
    <w:rsid w:val="00B34E3A"/>
    <w:rsid w:val="00B35454"/>
    <w:rsid w:val="00B35968"/>
    <w:rsid w:val="00B36194"/>
    <w:rsid w:val="00B361F8"/>
    <w:rsid w:val="00B36579"/>
    <w:rsid w:val="00B36793"/>
    <w:rsid w:val="00B367BF"/>
    <w:rsid w:val="00B36B45"/>
    <w:rsid w:val="00B36F08"/>
    <w:rsid w:val="00B37307"/>
    <w:rsid w:val="00B37791"/>
    <w:rsid w:val="00B37B81"/>
    <w:rsid w:val="00B37D78"/>
    <w:rsid w:val="00B37F97"/>
    <w:rsid w:val="00B40050"/>
    <w:rsid w:val="00B402C4"/>
    <w:rsid w:val="00B4067F"/>
    <w:rsid w:val="00B40AF8"/>
    <w:rsid w:val="00B40C3B"/>
    <w:rsid w:val="00B40C3D"/>
    <w:rsid w:val="00B40CF8"/>
    <w:rsid w:val="00B40E86"/>
    <w:rsid w:val="00B41932"/>
    <w:rsid w:val="00B4198B"/>
    <w:rsid w:val="00B41CD4"/>
    <w:rsid w:val="00B41E72"/>
    <w:rsid w:val="00B41F09"/>
    <w:rsid w:val="00B41FAD"/>
    <w:rsid w:val="00B422F8"/>
    <w:rsid w:val="00B42432"/>
    <w:rsid w:val="00B427C3"/>
    <w:rsid w:val="00B42A45"/>
    <w:rsid w:val="00B42C4C"/>
    <w:rsid w:val="00B42F4E"/>
    <w:rsid w:val="00B42FC6"/>
    <w:rsid w:val="00B433D5"/>
    <w:rsid w:val="00B43B38"/>
    <w:rsid w:val="00B443D6"/>
    <w:rsid w:val="00B44500"/>
    <w:rsid w:val="00B4476D"/>
    <w:rsid w:val="00B4490C"/>
    <w:rsid w:val="00B449E8"/>
    <w:rsid w:val="00B449F9"/>
    <w:rsid w:val="00B44B31"/>
    <w:rsid w:val="00B44C08"/>
    <w:rsid w:val="00B45067"/>
    <w:rsid w:val="00B45495"/>
    <w:rsid w:val="00B45522"/>
    <w:rsid w:val="00B458A2"/>
    <w:rsid w:val="00B459A3"/>
    <w:rsid w:val="00B45C3D"/>
    <w:rsid w:val="00B4604B"/>
    <w:rsid w:val="00B460EB"/>
    <w:rsid w:val="00B46261"/>
    <w:rsid w:val="00B46829"/>
    <w:rsid w:val="00B46BD8"/>
    <w:rsid w:val="00B47896"/>
    <w:rsid w:val="00B47A2C"/>
    <w:rsid w:val="00B47CD6"/>
    <w:rsid w:val="00B47EB9"/>
    <w:rsid w:val="00B50223"/>
    <w:rsid w:val="00B50981"/>
    <w:rsid w:val="00B50B30"/>
    <w:rsid w:val="00B50E9B"/>
    <w:rsid w:val="00B50FF1"/>
    <w:rsid w:val="00B51712"/>
    <w:rsid w:val="00B5171B"/>
    <w:rsid w:val="00B51738"/>
    <w:rsid w:val="00B51883"/>
    <w:rsid w:val="00B519F9"/>
    <w:rsid w:val="00B51A66"/>
    <w:rsid w:val="00B51DEF"/>
    <w:rsid w:val="00B51E4D"/>
    <w:rsid w:val="00B520BE"/>
    <w:rsid w:val="00B52229"/>
    <w:rsid w:val="00B52264"/>
    <w:rsid w:val="00B522A7"/>
    <w:rsid w:val="00B5276D"/>
    <w:rsid w:val="00B52A15"/>
    <w:rsid w:val="00B52BC3"/>
    <w:rsid w:val="00B52E56"/>
    <w:rsid w:val="00B530D4"/>
    <w:rsid w:val="00B537DB"/>
    <w:rsid w:val="00B538A9"/>
    <w:rsid w:val="00B53CFB"/>
    <w:rsid w:val="00B54191"/>
    <w:rsid w:val="00B5441F"/>
    <w:rsid w:val="00B5458C"/>
    <w:rsid w:val="00B54795"/>
    <w:rsid w:val="00B548C2"/>
    <w:rsid w:val="00B548CC"/>
    <w:rsid w:val="00B54C4D"/>
    <w:rsid w:val="00B54C93"/>
    <w:rsid w:val="00B54CEF"/>
    <w:rsid w:val="00B550B4"/>
    <w:rsid w:val="00B555D9"/>
    <w:rsid w:val="00B56016"/>
    <w:rsid w:val="00B560DF"/>
    <w:rsid w:val="00B56120"/>
    <w:rsid w:val="00B5645C"/>
    <w:rsid w:val="00B565CE"/>
    <w:rsid w:val="00B565F3"/>
    <w:rsid w:val="00B57731"/>
    <w:rsid w:val="00B57841"/>
    <w:rsid w:val="00B57A3A"/>
    <w:rsid w:val="00B57BC9"/>
    <w:rsid w:val="00B57C17"/>
    <w:rsid w:val="00B60095"/>
    <w:rsid w:val="00B600A0"/>
    <w:rsid w:val="00B60126"/>
    <w:rsid w:val="00B604AD"/>
    <w:rsid w:val="00B606E6"/>
    <w:rsid w:val="00B60CF6"/>
    <w:rsid w:val="00B60EEF"/>
    <w:rsid w:val="00B61169"/>
    <w:rsid w:val="00B61172"/>
    <w:rsid w:val="00B613EB"/>
    <w:rsid w:val="00B61622"/>
    <w:rsid w:val="00B616EF"/>
    <w:rsid w:val="00B620DB"/>
    <w:rsid w:val="00B620E7"/>
    <w:rsid w:val="00B62116"/>
    <w:rsid w:val="00B6214C"/>
    <w:rsid w:val="00B6230A"/>
    <w:rsid w:val="00B624B9"/>
    <w:rsid w:val="00B626E0"/>
    <w:rsid w:val="00B629CA"/>
    <w:rsid w:val="00B631DB"/>
    <w:rsid w:val="00B634B2"/>
    <w:rsid w:val="00B63804"/>
    <w:rsid w:val="00B638C1"/>
    <w:rsid w:val="00B6398D"/>
    <w:rsid w:val="00B63CCC"/>
    <w:rsid w:val="00B63FA6"/>
    <w:rsid w:val="00B6419B"/>
    <w:rsid w:val="00B6479B"/>
    <w:rsid w:val="00B6482D"/>
    <w:rsid w:val="00B64867"/>
    <w:rsid w:val="00B649ED"/>
    <w:rsid w:val="00B65411"/>
    <w:rsid w:val="00B655DB"/>
    <w:rsid w:val="00B657B4"/>
    <w:rsid w:val="00B6584C"/>
    <w:rsid w:val="00B658AF"/>
    <w:rsid w:val="00B65D44"/>
    <w:rsid w:val="00B66216"/>
    <w:rsid w:val="00B66BB3"/>
    <w:rsid w:val="00B66DE3"/>
    <w:rsid w:val="00B67C3A"/>
    <w:rsid w:val="00B67F35"/>
    <w:rsid w:val="00B702FD"/>
    <w:rsid w:val="00B708AF"/>
    <w:rsid w:val="00B70E29"/>
    <w:rsid w:val="00B71403"/>
    <w:rsid w:val="00B719B7"/>
    <w:rsid w:val="00B71B49"/>
    <w:rsid w:val="00B71E42"/>
    <w:rsid w:val="00B720B5"/>
    <w:rsid w:val="00B720CB"/>
    <w:rsid w:val="00B7221C"/>
    <w:rsid w:val="00B728F1"/>
    <w:rsid w:val="00B72BE3"/>
    <w:rsid w:val="00B72C66"/>
    <w:rsid w:val="00B72D5B"/>
    <w:rsid w:val="00B72DD6"/>
    <w:rsid w:val="00B72E53"/>
    <w:rsid w:val="00B72F5A"/>
    <w:rsid w:val="00B73233"/>
    <w:rsid w:val="00B7351D"/>
    <w:rsid w:val="00B739AB"/>
    <w:rsid w:val="00B73F7B"/>
    <w:rsid w:val="00B74179"/>
    <w:rsid w:val="00B7434D"/>
    <w:rsid w:val="00B745CC"/>
    <w:rsid w:val="00B74B76"/>
    <w:rsid w:val="00B74C38"/>
    <w:rsid w:val="00B7517F"/>
    <w:rsid w:val="00B75522"/>
    <w:rsid w:val="00B7601E"/>
    <w:rsid w:val="00B76471"/>
    <w:rsid w:val="00B7660C"/>
    <w:rsid w:val="00B766C5"/>
    <w:rsid w:val="00B767F3"/>
    <w:rsid w:val="00B768A9"/>
    <w:rsid w:val="00B76978"/>
    <w:rsid w:val="00B76990"/>
    <w:rsid w:val="00B76E41"/>
    <w:rsid w:val="00B76F20"/>
    <w:rsid w:val="00B76FB7"/>
    <w:rsid w:val="00B77196"/>
    <w:rsid w:val="00B77669"/>
    <w:rsid w:val="00B77C2E"/>
    <w:rsid w:val="00B77E2A"/>
    <w:rsid w:val="00B802B6"/>
    <w:rsid w:val="00B80640"/>
    <w:rsid w:val="00B80831"/>
    <w:rsid w:val="00B80AFC"/>
    <w:rsid w:val="00B80C32"/>
    <w:rsid w:val="00B8101F"/>
    <w:rsid w:val="00B810EE"/>
    <w:rsid w:val="00B81328"/>
    <w:rsid w:val="00B81A0E"/>
    <w:rsid w:val="00B81C5E"/>
    <w:rsid w:val="00B81FA0"/>
    <w:rsid w:val="00B81FF9"/>
    <w:rsid w:val="00B82752"/>
    <w:rsid w:val="00B8279D"/>
    <w:rsid w:val="00B827FB"/>
    <w:rsid w:val="00B82A08"/>
    <w:rsid w:val="00B82A93"/>
    <w:rsid w:val="00B82C8A"/>
    <w:rsid w:val="00B8303C"/>
    <w:rsid w:val="00B833F9"/>
    <w:rsid w:val="00B8353F"/>
    <w:rsid w:val="00B83691"/>
    <w:rsid w:val="00B8399E"/>
    <w:rsid w:val="00B83A07"/>
    <w:rsid w:val="00B83CB4"/>
    <w:rsid w:val="00B83EB5"/>
    <w:rsid w:val="00B84623"/>
    <w:rsid w:val="00B84829"/>
    <w:rsid w:val="00B8484D"/>
    <w:rsid w:val="00B84943"/>
    <w:rsid w:val="00B850A7"/>
    <w:rsid w:val="00B85178"/>
    <w:rsid w:val="00B857EB"/>
    <w:rsid w:val="00B85DAC"/>
    <w:rsid w:val="00B85F94"/>
    <w:rsid w:val="00B86093"/>
    <w:rsid w:val="00B8609D"/>
    <w:rsid w:val="00B86350"/>
    <w:rsid w:val="00B863F3"/>
    <w:rsid w:val="00B863FE"/>
    <w:rsid w:val="00B8648C"/>
    <w:rsid w:val="00B864E8"/>
    <w:rsid w:val="00B8658D"/>
    <w:rsid w:val="00B868B0"/>
    <w:rsid w:val="00B86A90"/>
    <w:rsid w:val="00B86DA7"/>
    <w:rsid w:val="00B86F12"/>
    <w:rsid w:val="00B870BF"/>
    <w:rsid w:val="00B8759B"/>
    <w:rsid w:val="00B875B7"/>
    <w:rsid w:val="00B87796"/>
    <w:rsid w:val="00B87862"/>
    <w:rsid w:val="00B87ABA"/>
    <w:rsid w:val="00B87BAE"/>
    <w:rsid w:val="00B87BC9"/>
    <w:rsid w:val="00B90014"/>
    <w:rsid w:val="00B901CC"/>
    <w:rsid w:val="00B902CE"/>
    <w:rsid w:val="00B911C4"/>
    <w:rsid w:val="00B9152E"/>
    <w:rsid w:val="00B916D2"/>
    <w:rsid w:val="00B91AF1"/>
    <w:rsid w:val="00B91D1B"/>
    <w:rsid w:val="00B92151"/>
    <w:rsid w:val="00B926A5"/>
    <w:rsid w:val="00B926C6"/>
    <w:rsid w:val="00B93382"/>
    <w:rsid w:val="00B93774"/>
    <w:rsid w:val="00B93782"/>
    <w:rsid w:val="00B93BCB"/>
    <w:rsid w:val="00B93CE7"/>
    <w:rsid w:val="00B94054"/>
    <w:rsid w:val="00B942A2"/>
    <w:rsid w:val="00B942AF"/>
    <w:rsid w:val="00B947D8"/>
    <w:rsid w:val="00B9496A"/>
    <w:rsid w:val="00B94B40"/>
    <w:rsid w:val="00B9517A"/>
    <w:rsid w:val="00B958BD"/>
    <w:rsid w:val="00B95983"/>
    <w:rsid w:val="00B95BC0"/>
    <w:rsid w:val="00B95C6E"/>
    <w:rsid w:val="00B95D9F"/>
    <w:rsid w:val="00B96047"/>
    <w:rsid w:val="00B96499"/>
    <w:rsid w:val="00B964D9"/>
    <w:rsid w:val="00B966F2"/>
    <w:rsid w:val="00B968E6"/>
    <w:rsid w:val="00B969C0"/>
    <w:rsid w:val="00B96A68"/>
    <w:rsid w:val="00B96B69"/>
    <w:rsid w:val="00B96C4C"/>
    <w:rsid w:val="00B972A2"/>
    <w:rsid w:val="00BA028C"/>
    <w:rsid w:val="00BA039E"/>
    <w:rsid w:val="00BA09AD"/>
    <w:rsid w:val="00BA0E3F"/>
    <w:rsid w:val="00BA143F"/>
    <w:rsid w:val="00BA19A8"/>
    <w:rsid w:val="00BA1AAB"/>
    <w:rsid w:val="00BA1BAC"/>
    <w:rsid w:val="00BA1C43"/>
    <w:rsid w:val="00BA1EFE"/>
    <w:rsid w:val="00BA279F"/>
    <w:rsid w:val="00BA27EE"/>
    <w:rsid w:val="00BA28AE"/>
    <w:rsid w:val="00BA28FA"/>
    <w:rsid w:val="00BA2F1B"/>
    <w:rsid w:val="00BA326D"/>
    <w:rsid w:val="00BA3604"/>
    <w:rsid w:val="00BA499C"/>
    <w:rsid w:val="00BA4DAF"/>
    <w:rsid w:val="00BA4FF8"/>
    <w:rsid w:val="00BA5193"/>
    <w:rsid w:val="00BA5283"/>
    <w:rsid w:val="00BA53C2"/>
    <w:rsid w:val="00BA54BD"/>
    <w:rsid w:val="00BA5BDA"/>
    <w:rsid w:val="00BA5D57"/>
    <w:rsid w:val="00BA5D93"/>
    <w:rsid w:val="00BA5EB9"/>
    <w:rsid w:val="00BA607C"/>
    <w:rsid w:val="00BA6252"/>
    <w:rsid w:val="00BA66AE"/>
    <w:rsid w:val="00BA6A19"/>
    <w:rsid w:val="00BA6F2A"/>
    <w:rsid w:val="00BA706A"/>
    <w:rsid w:val="00BA70E0"/>
    <w:rsid w:val="00BA72C0"/>
    <w:rsid w:val="00BA7678"/>
    <w:rsid w:val="00BA787B"/>
    <w:rsid w:val="00BA78D5"/>
    <w:rsid w:val="00BA7B45"/>
    <w:rsid w:val="00BA7E42"/>
    <w:rsid w:val="00BA7EAB"/>
    <w:rsid w:val="00BA7EBF"/>
    <w:rsid w:val="00BB00FC"/>
    <w:rsid w:val="00BB05DA"/>
    <w:rsid w:val="00BB0724"/>
    <w:rsid w:val="00BB0A5B"/>
    <w:rsid w:val="00BB0D5F"/>
    <w:rsid w:val="00BB0FE2"/>
    <w:rsid w:val="00BB1293"/>
    <w:rsid w:val="00BB12B8"/>
    <w:rsid w:val="00BB1526"/>
    <w:rsid w:val="00BB1632"/>
    <w:rsid w:val="00BB16EE"/>
    <w:rsid w:val="00BB1804"/>
    <w:rsid w:val="00BB18B3"/>
    <w:rsid w:val="00BB1AA8"/>
    <w:rsid w:val="00BB1F2C"/>
    <w:rsid w:val="00BB23E6"/>
    <w:rsid w:val="00BB241F"/>
    <w:rsid w:val="00BB2B01"/>
    <w:rsid w:val="00BB3DE0"/>
    <w:rsid w:val="00BB3E82"/>
    <w:rsid w:val="00BB3F75"/>
    <w:rsid w:val="00BB4C76"/>
    <w:rsid w:val="00BB4E94"/>
    <w:rsid w:val="00BB52B8"/>
    <w:rsid w:val="00BB5CC3"/>
    <w:rsid w:val="00BB6985"/>
    <w:rsid w:val="00BB6E7A"/>
    <w:rsid w:val="00BB712B"/>
    <w:rsid w:val="00BB7453"/>
    <w:rsid w:val="00BB7E5D"/>
    <w:rsid w:val="00BC0128"/>
    <w:rsid w:val="00BC02BF"/>
    <w:rsid w:val="00BC0311"/>
    <w:rsid w:val="00BC044D"/>
    <w:rsid w:val="00BC0788"/>
    <w:rsid w:val="00BC07F1"/>
    <w:rsid w:val="00BC08EF"/>
    <w:rsid w:val="00BC0BB6"/>
    <w:rsid w:val="00BC0E50"/>
    <w:rsid w:val="00BC0EA4"/>
    <w:rsid w:val="00BC1051"/>
    <w:rsid w:val="00BC1317"/>
    <w:rsid w:val="00BC1FEB"/>
    <w:rsid w:val="00BC25AC"/>
    <w:rsid w:val="00BC2609"/>
    <w:rsid w:val="00BC263F"/>
    <w:rsid w:val="00BC2649"/>
    <w:rsid w:val="00BC2786"/>
    <w:rsid w:val="00BC2A57"/>
    <w:rsid w:val="00BC2A9D"/>
    <w:rsid w:val="00BC2F01"/>
    <w:rsid w:val="00BC366F"/>
    <w:rsid w:val="00BC369E"/>
    <w:rsid w:val="00BC3B05"/>
    <w:rsid w:val="00BC3EAE"/>
    <w:rsid w:val="00BC3F79"/>
    <w:rsid w:val="00BC44A2"/>
    <w:rsid w:val="00BC481C"/>
    <w:rsid w:val="00BC4AA3"/>
    <w:rsid w:val="00BC518D"/>
    <w:rsid w:val="00BC5290"/>
    <w:rsid w:val="00BC56B3"/>
    <w:rsid w:val="00BC5C66"/>
    <w:rsid w:val="00BC6315"/>
    <w:rsid w:val="00BC64FC"/>
    <w:rsid w:val="00BC6A91"/>
    <w:rsid w:val="00BC6B97"/>
    <w:rsid w:val="00BC6FE2"/>
    <w:rsid w:val="00BC7149"/>
    <w:rsid w:val="00BC731C"/>
    <w:rsid w:val="00BC74FB"/>
    <w:rsid w:val="00BC7ABF"/>
    <w:rsid w:val="00BD021A"/>
    <w:rsid w:val="00BD069A"/>
    <w:rsid w:val="00BD0765"/>
    <w:rsid w:val="00BD0A17"/>
    <w:rsid w:val="00BD0A20"/>
    <w:rsid w:val="00BD0B5E"/>
    <w:rsid w:val="00BD0BB5"/>
    <w:rsid w:val="00BD0D35"/>
    <w:rsid w:val="00BD11E4"/>
    <w:rsid w:val="00BD1689"/>
    <w:rsid w:val="00BD185B"/>
    <w:rsid w:val="00BD1D85"/>
    <w:rsid w:val="00BD1DF5"/>
    <w:rsid w:val="00BD2049"/>
    <w:rsid w:val="00BD255F"/>
    <w:rsid w:val="00BD25BF"/>
    <w:rsid w:val="00BD25DA"/>
    <w:rsid w:val="00BD2683"/>
    <w:rsid w:val="00BD288E"/>
    <w:rsid w:val="00BD30AF"/>
    <w:rsid w:val="00BD3AAB"/>
    <w:rsid w:val="00BD3AC8"/>
    <w:rsid w:val="00BD3D62"/>
    <w:rsid w:val="00BD3DE3"/>
    <w:rsid w:val="00BD41CC"/>
    <w:rsid w:val="00BD42ED"/>
    <w:rsid w:val="00BD4A67"/>
    <w:rsid w:val="00BD4F6C"/>
    <w:rsid w:val="00BD4FDC"/>
    <w:rsid w:val="00BD5227"/>
    <w:rsid w:val="00BD52BF"/>
    <w:rsid w:val="00BD5824"/>
    <w:rsid w:val="00BD59BD"/>
    <w:rsid w:val="00BD59EF"/>
    <w:rsid w:val="00BD6E9C"/>
    <w:rsid w:val="00BD70C2"/>
    <w:rsid w:val="00BD70DA"/>
    <w:rsid w:val="00BD71A2"/>
    <w:rsid w:val="00BD72B7"/>
    <w:rsid w:val="00BD73A1"/>
    <w:rsid w:val="00BD7760"/>
    <w:rsid w:val="00BD7876"/>
    <w:rsid w:val="00BD7A7F"/>
    <w:rsid w:val="00BD7DA8"/>
    <w:rsid w:val="00BE01B6"/>
    <w:rsid w:val="00BE07EF"/>
    <w:rsid w:val="00BE0A9F"/>
    <w:rsid w:val="00BE0C6D"/>
    <w:rsid w:val="00BE0F8C"/>
    <w:rsid w:val="00BE0FB8"/>
    <w:rsid w:val="00BE104B"/>
    <w:rsid w:val="00BE11E5"/>
    <w:rsid w:val="00BE123A"/>
    <w:rsid w:val="00BE1679"/>
    <w:rsid w:val="00BE1ADB"/>
    <w:rsid w:val="00BE1D12"/>
    <w:rsid w:val="00BE214E"/>
    <w:rsid w:val="00BE21DE"/>
    <w:rsid w:val="00BE22E0"/>
    <w:rsid w:val="00BE27A6"/>
    <w:rsid w:val="00BE2AF1"/>
    <w:rsid w:val="00BE2DCA"/>
    <w:rsid w:val="00BE3495"/>
    <w:rsid w:val="00BE34E0"/>
    <w:rsid w:val="00BE361C"/>
    <w:rsid w:val="00BE368B"/>
    <w:rsid w:val="00BE3814"/>
    <w:rsid w:val="00BE3DB9"/>
    <w:rsid w:val="00BE3DE9"/>
    <w:rsid w:val="00BE41B2"/>
    <w:rsid w:val="00BE456F"/>
    <w:rsid w:val="00BE4608"/>
    <w:rsid w:val="00BE498E"/>
    <w:rsid w:val="00BE4A4D"/>
    <w:rsid w:val="00BE4A67"/>
    <w:rsid w:val="00BE4D69"/>
    <w:rsid w:val="00BE4EBF"/>
    <w:rsid w:val="00BE4F50"/>
    <w:rsid w:val="00BE5867"/>
    <w:rsid w:val="00BE5B15"/>
    <w:rsid w:val="00BE5DCC"/>
    <w:rsid w:val="00BE5EFE"/>
    <w:rsid w:val="00BE63A5"/>
    <w:rsid w:val="00BE6ABB"/>
    <w:rsid w:val="00BE6CE3"/>
    <w:rsid w:val="00BE7081"/>
    <w:rsid w:val="00BE7323"/>
    <w:rsid w:val="00BE78AE"/>
    <w:rsid w:val="00BE7AEC"/>
    <w:rsid w:val="00BF001E"/>
    <w:rsid w:val="00BF02FF"/>
    <w:rsid w:val="00BF0363"/>
    <w:rsid w:val="00BF06DF"/>
    <w:rsid w:val="00BF145D"/>
    <w:rsid w:val="00BF1AE8"/>
    <w:rsid w:val="00BF1FD6"/>
    <w:rsid w:val="00BF20B0"/>
    <w:rsid w:val="00BF2409"/>
    <w:rsid w:val="00BF283A"/>
    <w:rsid w:val="00BF2B4F"/>
    <w:rsid w:val="00BF2B56"/>
    <w:rsid w:val="00BF2B89"/>
    <w:rsid w:val="00BF2EE8"/>
    <w:rsid w:val="00BF3088"/>
    <w:rsid w:val="00BF3258"/>
    <w:rsid w:val="00BF3659"/>
    <w:rsid w:val="00BF3E11"/>
    <w:rsid w:val="00BF3E31"/>
    <w:rsid w:val="00BF44C4"/>
    <w:rsid w:val="00BF48B1"/>
    <w:rsid w:val="00BF4C45"/>
    <w:rsid w:val="00BF4D96"/>
    <w:rsid w:val="00BF4DE4"/>
    <w:rsid w:val="00BF4FEB"/>
    <w:rsid w:val="00BF523F"/>
    <w:rsid w:val="00BF5A36"/>
    <w:rsid w:val="00BF5CAF"/>
    <w:rsid w:val="00BF5E3F"/>
    <w:rsid w:val="00BF6318"/>
    <w:rsid w:val="00BF6818"/>
    <w:rsid w:val="00BF68C2"/>
    <w:rsid w:val="00BF6D64"/>
    <w:rsid w:val="00BF6EC9"/>
    <w:rsid w:val="00BF7064"/>
    <w:rsid w:val="00BF71B4"/>
    <w:rsid w:val="00BF7446"/>
    <w:rsid w:val="00BF7598"/>
    <w:rsid w:val="00BF76D7"/>
    <w:rsid w:val="00BF7765"/>
    <w:rsid w:val="00BF78FF"/>
    <w:rsid w:val="00BF7AF0"/>
    <w:rsid w:val="00BF7E34"/>
    <w:rsid w:val="00BF7F45"/>
    <w:rsid w:val="00C00469"/>
    <w:rsid w:val="00C00493"/>
    <w:rsid w:val="00C0067C"/>
    <w:rsid w:val="00C006EF"/>
    <w:rsid w:val="00C0071D"/>
    <w:rsid w:val="00C00857"/>
    <w:rsid w:val="00C008B1"/>
    <w:rsid w:val="00C009A0"/>
    <w:rsid w:val="00C00A73"/>
    <w:rsid w:val="00C00C96"/>
    <w:rsid w:val="00C00ED1"/>
    <w:rsid w:val="00C0128B"/>
    <w:rsid w:val="00C018AD"/>
    <w:rsid w:val="00C01DB1"/>
    <w:rsid w:val="00C01F10"/>
    <w:rsid w:val="00C023B1"/>
    <w:rsid w:val="00C02441"/>
    <w:rsid w:val="00C024E1"/>
    <w:rsid w:val="00C029DC"/>
    <w:rsid w:val="00C02AC9"/>
    <w:rsid w:val="00C02B86"/>
    <w:rsid w:val="00C02F07"/>
    <w:rsid w:val="00C03001"/>
    <w:rsid w:val="00C0337F"/>
    <w:rsid w:val="00C03841"/>
    <w:rsid w:val="00C04278"/>
    <w:rsid w:val="00C054E2"/>
    <w:rsid w:val="00C05913"/>
    <w:rsid w:val="00C05B7B"/>
    <w:rsid w:val="00C05C0E"/>
    <w:rsid w:val="00C05D31"/>
    <w:rsid w:val="00C05ED8"/>
    <w:rsid w:val="00C0618E"/>
    <w:rsid w:val="00C061C8"/>
    <w:rsid w:val="00C06290"/>
    <w:rsid w:val="00C0635C"/>
    <w:rsid w:val="00C06658"/>
    <w:rsid w:val="00C06B17"/>
    <w:rsid w:val="00C0704D"/>
    <w:rsid w:val="00C07431"/>
    <w:rsid w:val="00C0763F"/>
    <w:rsid w:val="00C07740"/>
    <w:rsid w:val="00C078DC"/>
    <w:rsid w:val="00C07FE7"/>
    <w:rsid w:val="00C10069"/>
    <w:rsid w:val="00C107C4"/>
    <w:rsid w:val="00C10A0C"/>
    <w:rsid w:val="00C10DCB"/>
    <w:rsid w:val="00C10EAB"/>
    <w:rsid w:val="00C10F27"/>
    <w:rsid w:val="00C11108"/>
    <w:rsid w:val="00C11227"/>
    <w:rsid w:val="00C11437"/>
    <w:rsid w:val="00C118C2"/>
    <w:rsid w:val="00C1195B"/>
    <w:rsid w:val="00C11ADB"/>
    <w:rsid w:val="00C11CF8"/>
    <w:rsid w:val="00C11E5D"/>
    <w:rsid w:val="00C11F7C"/>
    <w:rsid w:val="00C120BA"/>
    <w:rsid w:val="00C121F4"/>
    <w:rsid w:val="00C1237C"/>
    <w:rsid w:val="00C12627"/>
    <w:rsid w:val="00C129BA"/>
    <w:rsid w:val="00C12A3D"/>
    <w:rsid w:val="00C12EC5"/>
    <w:rsid w:val="00C1306F"/>
    <w:rsid w:val="00C13092"/>
    <w:rsid w:val="00C13236"/>
    <w:rsid w:val="00C13343"/>
    <w:rsid w:val="00C133EF"/>
    <w:rsid w:val="00C135E6"/>
    <w:rsid w:val="00C136AB"/>
    <w:rsid w:val="00C138A5"/>
    <w:rsid w:val="00C13BB2"/>
    <w:rsid w:val="00C140B3"/>
    <w:rsid w:val="00C14622"/>
    <w:rsid w:val="00C146A1"/>
    <w:rsid w:val="00C14C72"/>
    <w:rsid w:val="00C152CE"/>
    <w:rsid w:val="00C15366"/>
    <w:rsid w:val="00C15513"/>
    <w:rsid w:val="00C156F0"/>
    <w:rsid w:val="00C15764"/>
    <w:rsid w:val="00C15905"/>
    <w:rsid w:val="00C15AB1"/>
    <w:rsid w:val="00C15AE7"/>
    <w:rsid w:val="00C15BB5"/>
    <w:rsid w:val="00C161D8"/>
    <w:rsid w:val="00C16660"/>
    <w:rsid w:val="00C16830"/>
    <w:rsid w:val="00C16C56"/>
    <w:rsid w:val="00C17252"/>
    <w:rsid w:val="00C174D4"/>
    <w:rsid w:val="00C1764A"/>
    <w:rsid w:val="00C176F1"/>
    <w:rsid w:val="00C1788E"/>
    <w:rsid w:val="00C17D8A"/>
    <w:rsid w:val="00C17F16"/>
    <w:rsid w:val="00C20634"/>
    <w:rsid w:val="00C2064F"/>
    <w:rsid w:val="00C20B93"/>
    <w:rsid w:val="00C21146"/>
    <w:rsid w:val="00C213F1"/>
    <w:rsid w:val="00C21B9D"/>
    <w:rsid w:val="00C21CA3"/>
    <w:rsid w:val="00C21D9A"/>
    <w:rsid w:val="00C220DF"/>
    <w:rsid w:val="00C22431"/>
    <w:rsid w:val="00C2260C"/>
    <w:rsid w:val="00C2260F"/>
    <w:rsid w:val="00C227C2"/>
    <w:rsid w:val="00C22A1D"/>
    <w:rsid w:val="00C22ED3"/>
    <w:rsid w:val="00C232B5"/>
    <w:rsid w:val="00C2330D"/>
    <w:rsid w:val="00C23378"/>
    <w:rsid w:val="00C233F3"/>
    <w:rsid w:val="00C23723"/>
    <w:rsid w:val="00C239FF"/>
    <w:rsid w:val="00C24558"/>
    <w:rsid w:val="00C249E2"/>
    <w:rsid w:val="00C24A61"/>
    <w:rsid w:val="00C24B6A"/>
    <w:rsid w:val="00C24D00"/>
    <w:rsid w:val="00C256EB"/>
    <w:rsid w:val="00C258A7"/>
    <w:rsid w:val="00C259E3"/>
    <w:rsid w:val="00C25D03"/>
    <w:rsid w:val="00C25D3C"/>
    <w:rsid w:val="00C25D3D"/>
    <w:rsid w:val="00C26154"/>
    <w:rsid w:val="00C26367"/>
    <w:rsid w:val="00C263A3"/>
    <w:rsid w:val="00C264D0"/>
    <w:rsid w:val="00C267D1"/>
    <w:rsid w:val="00C26891"/>
    <w:rsid w:val="00C269AE"/>
    <w:rsid w:val="00C26F16"/>
    <w:rsid w:val="00C27146"/>
    <w:rsid w:val="00C2721C"/>
    <w:rsid w:val="00C273DC"/>
    <w:rsid w:val="00C27D03"/>
    <w:rsid w:val="00C27E49"/>
    <w:rsid w:val="00C27F2F"/>
    <w:rsid w:val="00C30052"/>
    <w:rsid w:val="00C30107"/>
    <w:rsid w:val="00C30F43"/>
    <w:rsid w:val="00C30F5F"/>
    <w:rsid w:val="00C31130"/>
    <w:rsid w:val="00C3162D"/>
    <w:rsid w:val="00C3186E"/>
    <w:rsid w:val="00C318CA"/>
    <w:rsid w:val="00C31A15"/>
    <w:rsid w:val="00C322EE"/>
    <w:rsid w:val="00C325A1"/>
    <w:rsid w:val="00C325C2"/>
    <w:rsid w:val="00C32E8A"/>
    <w:rsid w:val="00C3327F"/>
    <w:rsid w:val="00C3353D"/>
    <w:rsid w:val="00C339CD"/>
    <w:rsid w:val="00C33B0D"/>
    <w:rsid w:val="00C34265"/>
    <w:rsid w:val="00C34BAD"/>
    <w:rsid w:val="00C34C7D"/>
    <w:rsid w:val="00C3530D"/>
    <w:rsid w:val="00C35AA1"/>
    <w:rsid w:val="00C35E38"/>
    <w:rsid w:val="00C360C8"/>
    <w:rsid w:val="00C36191"/>
    <w:rsid w:val="00C364CA"/>
    <w:rsid w:val="00C36519"/>
    <w:rsid w:val="00C36E13"/>
    <w:rsid w:val="00C372F7"/>
    <w:rsid w:val="00C37928"/>
    <w:rsid w:val="00C37980"/>
    <w:rsid w:val="00C37C30"/>
    <w:rsid w:val="00C37EE7"/>
    <w:rsid w:val="00C401E5"/>
    <w:rsid w:val="00C4080E"/>
    <w:rsid w:val="00C40ABA"/>
    <w:rsid w:val="00C40B8D"/>
    <w:rsid w:val="00C417D5"/>
    <w:rsid w:val="00C419F8"/>
    <w:rsid w:val="00C41B63"/>
    <w:rsid w:val="00C41C91"/>
    <w:rsid w:val="00C41CBC"/>
    <w:rsid w:val="00C41D37"/>
    <w:rsid w:val="00C41F51"/>
    <w:rsid w:val="00C41F5E"/>
    <w:rsid w:val="00C41FBF"/>
    <w:rsid w:val="00C42107"/>
    <w:rsid w:val="00C42170"/>
    <w:rsid w:val="00C42268"/>
    <w:rsid w:val="00C42565"/>
    <w:rsid w:val="00C4269B"/>
    <w:rsid w:val="00C4283D"/>
    <w:rsid w:val="00C4287D"/>
    <w:rsid w:val="00C42D01"/>
    <w:rsid w:val="00C42D24"/>
    <w:rsid w:val="00C43117"/>
    <w:rsid w:val="00C437B0"/>
    <w:rsid w:val="00C43CBB"/>
    <w:rsid w:val="00C43D78"/>
    <w:rsid w:val="00C440FF"/>
    <w:rsid w:val="00C447C3"/>
    <w:rsid w:val="00C44918"/>
    <w:rsid w:val="00C44980"/>
    <w:rsid w:val="00C44A91"/>
    <w:rsid w:val="00C44E7C"/>
    <w:rsid w:val="00C45376"/>
    <w:rsid w:val="00C454BA"/>
    <w:rsid w:val="00C45508"/>
    <w:rsid w:val="00C4576C"/>
    <w:rsid w:val="00C4594D"/>
    <w:rsid w:val="00C45E60"/>
    <w:rsid w:val="00C45F46"/>
    <w:rsid w:val="00C45FA0"/>
    <w:rsid w:val="00C4624C"/>
    <w:rsid w:val="00C462FA"/>
    <w:rsid w:val="00C46807"/>
    <w:rsid w:val="00C4701D"/>
    <w:rsid w:val="00C472A5"/>
    <w:rsid w:val="00C47365"/>
    <w:rsid w:val="00C47C7A"/>
    <w:rsid w:val="00C5032A"/>
    <w:rsid w:val="00C504A2"/>
    <w:rsid w:val="00C506AE"/>
    <w:rsid w:val="00C51285"/>
    <w:rsid w:val="00C51622"/>
    <w:rsid w:val="00C51A93"/>
    <w:rsid w:val="00C52068"/>
    <w:rsid w:val="00C52777"/>
    <w:rsid w:val="00C52D82"/>
    <w:rsid w:val="00C52FC8"/>
    <w:rsid w:val="00C535DB"/>
    <w:rsid w:val="00C53664"/>
    <w:rsid w:val="00C5375A"/>
    <w:rsid w:val="00C5411A"/>
    <w:rsid w:val="00C541BD"/>
    <w:rsid w:val="00C5479A"/>
    <w:rsid w:val="00C54DE4"/>
    <w:rsid w:val="00C552F9"/>
    <w:rsid w:val="00C5567E"/>
    <w:rsid w:val="00C5617E"/>
    <w:rsid w:val="00C561ED"/>
    <w:rsid w:val="00C5633E"/>
    <w:rsid w:val="00C56529"/>
    <w:rsid w:val="00C56AF6"/>
    <w:rsid w:val="00C56C20"/>
    <w:rsid w:val="00C56CB1"/>
    <w:rsid w:val="00C5722A"/>
    <w:rsid w:val="00C572EE"/>
    <w:rsid w:val="00C5732B"/>
    <w:rsid w:val="00C57398"/>
    <w:rsid w:val="00C57625"/>
    <w:rsid w:val="00C5777A"/>
    <w:rsid w:val="00C579D4"/>
    <w:rsid w:val="00C57A2C"/>
    <w:rsid w:val="00C57AE9"/>
    <w:rsid w:val="00C57E75"/>
    <w:rsid w:val="00C60105"/>
    <w:rsid w:val="00C601BF"/>
    <w:rsid w:val="00C60463"/>
    <w:rsid w:val="00C6074A"/>
    <w:rsid w:val="00C607A0"/>
    <w:rsid w:val="00C60D1D"/>
    <w:rsid w:val="00C61153"/>
    <w:rsid w:val="00C612DD"/>
    <w:rsid w:val="00C61403"/>
    <w:rsid w:val="00C6178B"/>
    <w:rsid w:val="00C619CC"/>
    <w:rsid w:val="00C61E0A"/>
    <w:rsid w:val="00C62389"/>
    <w:rsid w:val="00C62CA2"/>
    <w:rsid w:val="00C6306F"/>
    <w:rsid w:val="00C63211"/>
    <w:rsid w:val="00C63843"/>
    <w:rsid w:val="00C63E5A"/>
    <w:rsid w:val="00C643C1"/>
    <w:rsid w:val="00C6483C"/>
    <w:rsid w:val="00C64983"/>
    <w:rsid w:val="00C64AE9"/>
    <w:rsid w:val="00C65100"/>
    <w:rsid w:val="00C65207"/>
    <w:rsid w:val="00C65692"/>
    <w:rsid w:val="00C656BC"/>
    <w:rsid w:val="00C65852"/>
    <w:rsid w:val="00C65B45"/>
    <w:rsid w:val="00C65C28"/>
    <w:rsid w:val="00C66245"/>
    <w:rsid w:val="00C665EF"/>
    <w:rsid w:val="00C66776"/>
    <w:rsid w:val="00C66BB2"/>
    <w:rsid w:val="00C67426"/>
    <w:rsid w:val="00C6757E"/>
    <w:rsid w:val="00C67AEA"/>
    <w:rsid w:val="00C67B65"/>
    <w:rsid w:val="00C67EDA"/>
    <w:rsid w:val="00C70076"/>
    <w:rsid w:val="00C701D7"/>
    <w:rsid w:val="00C703EF"/>
    <w:rsid w:val="00C71490"/>
    <w:rsid w:val="00C71613"/>
    <w:rsid w:val="00C71653"/>
    <w:rsid w:val="00C71680"/>
    <w:rsid w:val="00C71796"/>
    <w:rsid w:val="00C7183E"/>
    <w:rsid w:val="00C71CE6"/>
    <w:rsid w:val="00C71DD1"/>
    <w:rsid w:val="00C723E4"/>
    <w:rsid w:val="00C72726"/>
    <w:rsid w:val="00C72BB9"/>
    <w:rsid w:val="00C72BCA"/>
    <w:rsid w:val="00C72C7A"/>
    <w:rsid w:val="00C72CC5"/>
    <w:rsid w:val="00C7359C"/>
    <w:rsid w:val="00C74166"/>
    <w:rsid w:val="00C743DF"/>
    <w:rsid w:val="00C7445A"/>
    <w:rsid w:val="00C7462B"/>
    <w:rsid w:val="00C7489C"/>
    <w:rsid w:val="00C748E6"/>
    <w:rsid w:val="00C7495C"/>
    <w:rsid w:val="00C74EAC"/>
    <w:rsid w:val="00C7529C"/>
    <w:rsid w:val="00C75B8E"/>
    <w:rsid w:val="00C75C70"/>
    <w:rsid w:val="00C75DA0"/>
    <w:rsid w:val="00C75DD5"/>
    <w:rsid w:val="00C75F0A"/>
    <w:rsid w:val="00C75FAB"/>
    <w:rsid w:val="00C765CB"/>
    <w:rsid w:val="00C76835"/>
    <w:rsid w:val="00C76F2D"/>
    <w:rsid w:val="00C77328"/>
    <w:rsid w:val="00C77436"/>
    <w:rsid w:val="00C77499"/>
    <w:rsid w:val="00C77EC5"/>
    <w:rsid w:val="00C80244"/>
    <w:rsid w:val="00C80A52"/>
    <w:rsid w:val="00C80AEC"/>
    <w:rsid w:val="00C80EA0"/>
    <w:rsid w:val="00C8172D"/>
    <w:rsid w:val="00C81A2F"/>
    <w:rsid w:val="00C81AE0"/>
    <w:rsid w:val="00C81BFD"/>
    <w:rsid w:val="00C81C7B"/>
    <w:rsid w:val="00C81C88"/>
    <w:rsid w:val="00C81CDD"/>
    <w:rsid w:val="00C82337"/>
    <w:rsid w:val="00C827A2"/>
    <w:rsid w:val="00C82D84"/>
    <w:rsid w:val="00C82FEE"/>
    <w:rsid w:val="00C831CE"/>
    <w:rsid w:val="00C83B21"/>
    <w:rsid w:val="00C83BC4"/>
    <w:rsid w:val="00C8465F"/>
    <w:rsid w:val="00C846B0"/>
    <w:rsid w:val="00C847C4"/>
    <w:rsid w:val="00C847C6"/>
    <w:rsid w:val="00C84DD0"/>
    <w:rsid w:val="00C84EA2"/>
    <w:rsid w:val="00C86236"/>
    <w:rsid w:val="00C86287"/>
    <w:rsid w:val="00C86317"/>
    <w:rsid w:val="00C865C2"/>
    <w:rsid w:val="00C87721"/>
    <w:rsid w:val="00C87783"/>
    <w:rsid w:val="00C879E0"/>
    <w:rsid w:val="00C87A9A"/>
    <w:rsid w:val="00C87F83"/>
    <w:rsid w:val="00C9008C"/>
    <w:rsid w:val="00C90129"/>
    <w:rsid w:val="00C901F1"/>
    <w:rsid w:val="00C9079D"/>
    <w:rsid w:val="00C90A12"/>
    <w:rsid w:val="00C90A34"/>
    <w:rsid w:val="00C90DA0"/>
    <w:rsid w:val="00C91004"/>
    <w:rsid w:val="00C9130D"/>
    <w:rsid w:val="00C916D4"/>
    <w:rsid w:val="00C91730"/>
    <w:rsid w:val="00C926EA"/>
    <w:rsid w:val="00C928A9"/>
    <w:rsid w:val="00C93107"/>
    <w:rsid w:val="00C93270"/>
    <w:rsid w:val="00C9328D"/>
    <w:rsid w:val="00C93531"/>
    <w:rsid w:val="00C935CC"/>
    <w:rsid w:val="00C9387D"/>
    <w:rsid w:val="00C93A22"/>
    <w:rsid w:val="00C93F25"/>
    <w:rsid w:val="00C93FAD"/>
    <w:rsid w:val="00C93FF1"/>
    <w:rsid w:val="00C9409D"/>
    <w:rsid w:val="00C947FC"/>
    <w:rsid w:val="00C94A98"/>
    <w:rsid w:val="00C94BCF"/>
    <w:rsid w:val="00C94C00"/>
    <w:rsid w:val="00C94C92"/>
    <w:rsid w:val="00C94D07"/>
    <w:rsid w:val="00C95398"/>
    <w:rsid w:val="00C954B4"/>
    <w:rsid w:val="00C955E6"/>
    <w:rsid w:val="00C95627"/>
    <w:rsid w:val="00C95773"/>
    <w:rsid w:val="00C95ABE"/>
    <w:rsid w:val="00C95E71"/>
    <w:rsid w:val="00C95F07"/>
    <w:rsid w:val="00C960DC"/>
    <w:rsid w:val="00C96325"/>
    <w:rsid w:val="00C9637D"/>
    <w:rsid w:val="00C96384"/>
    <w:rsid w:val="00C964B5"/>
    <w:rsid w:val="00C96AF6"/>
    <w:rsid w:val="00C96B5B"/>
    <w:rsid w:val="00C96BA2"/>
    <w:rsid w:val="00C96F19"/>
    <w:rsid w:val="00C972C2"/>
    <w:rsid w:val="00C9738E"/>
    <w:rsid w:val="00C9744D"/>
    <w:rsid w:val="00C97744"/>
    <w:rsid w:val="00C97A1B"/>
    <w:rsid w:val="00CA0110"/>
    <w:rsid w:val="00CA01E4"/>
    <w:rsid w:val="00CA0293"/>
    <w:rsid w:val="00CA03E5"/>
    <w:rsid w:val="00CA04FE"/>
    <w:rsid w:val="00CA0649"/>
    <w:rsid w:val="00CA0BB1"/>
    <w:rsid w:val="00CA0EDF"/>
    <w:rsid w:val="00CA1110"/>
    <w:rsid w:val="00CA11AE"/>
    <w:rsid w:val="00CA1AF1"/>
    <w:rsid w:val="00CA1B81"/>
    <w:rsid w:val="00CA1FC9"/>
    <w:rsid w:val="00CA204F"/>
    <w:rsid w:val="00CA2209"/>
    <w:rsid w:val="00CA2383"/>
    <w:rsid w:val="00CA23E6"/>
    <w:rsid w:val="00CA25AB"/>
    <w:rsid w:val="00CA2A79"/>
    <w:rsid w:val="00CA2D95"/>
    <w:rsid w:val="00CA36CC"/>
    <w:rsid w:val="00CA36F5"/>
    <w:rsid w:val="00CA377F"/>
    <w:rsid w:val="00CA3BFA"/>
    <w:rsid w:val="00CA4253"/>
    <w:rsid w:val="00CA453E"/>
    <w:rsid w:val="00CA45F9"/>
    <w:rsid w:val="00CA495A"/>
    <w:rsid w:val="00CA4BA2"/>
    <w:rsid w:val="00CA4FBD"/>
    <w:rsid w:val="00CA5B14"/>
    <w:rsid w:val="00CA5F72"/>
    <w:rsid w:val="00CA67F9"/>
    <w:rsid w:val="00CA6A3E"/>
    <w:rsid w:val="00CA6E96"/>
    <w:rsid w:val="00CA6F40"/>
    <w:rsid w:val="00CA718E"/>
    <w:rsid w:val="00CA73E2"/>
    <w:rsid w:val="00CA754D"/>
    <w:rsid w:val="00CA78EB"/>
    <w:rsid w:val="00CA7A5A"/>
    <w:rsid w:val="00CA7BF7"/>
    <w:rsid w:val="00CB00A7"/>
    <w:rsid w:val="00CB00F3"/>
    <w:rsid w:val="00CB03C4"/>
    <w:rsid w:val="00CB047E"/>
    <w:rsid w:val="00CB0882"/>
    <w:rsid w:val="00CB0888"/>
    <w:rsid w:val="00CB0B78"/>
    <w:rsid w:val="00CB0BCC"/>
    <w:rsid w:val="00CB0D33"/>
    <w:rsid w:val="00CB0D87"/>
    <w:rsid w:val="00CB1541"/>
    <w:rsid w:val="00CB15A8"/>
    <w:rsid w:val="00CB17A8"/>
    <w:rsid w:val="00CB1EA7"/>
    <w:rsid w:val="00CB1EB7"/>
    <w:rsid w:val="00CB254D"/>
    <w:rsid w:val="00CB2E5F"/>
    <w:rsid w:val="00CB3071"/>
    <w:rsid w:val="00CB3228"/>
    <w:rsid w:val="00CB33B8"/>
    <w:rsid w:val="00CB3A9C"/>
    <w:rsid w:val="00CB3C07"/>
    <w:rsid w:val="00CB3F8E"/>
    <w:rsid w:val="00CB3F8F"/>
    <w:rsid w:val="00CB40DC"/>
    <w:rsid w:val="00CB418D"/>
    <w:rsid w:val="00CB41D8"/>
    <w:rsid w:val="00CB4646"/>
    <w:rsid w:val="00CB4868"/>
    <w:rsid w:val="00CB48F8"/>
    <w:rsid w:val="00CB4B89"/>
    <w:rsid w:val="00CB4BCF"/>
    <w:rsid w:val="00CB4D00"/>
    <w:rsid w:val="00CB4D1A"/>
    <w:rsid w:val="00CB4D5A"/>
    <w:rsid w:val="00CB4E80"/>
    <w:rsid w:val="00CB516C"/>
    <w:rsid w:val="00CB54C8"/>
    <w:rsid w:val="00CB562E"/>
    <w:rsid w:val="00CB58F3"/>
    <w:rsid w:val="00CB591D"/>
    <w:rsid w:val="00CB5AF1"/>
    <w:rsid w:val="00CB5CA4"/>
    <w:rsid w:val="00CB5D9A"/>
    <w:rsid w:val="00CB5ED0"/>
    <w:rsid w:val="00CB62B4"/>
    <w:rsid w:val="00CB643A"/>
    <w:rsid w:val="00CB6555"/>
    <w:rsid w:val="00CB6561"/>
    <w:rsid w:val="00CB6700"/>
    <w:rsid w:val="00CB698B"/>
    <w:rsid w:val="00CB69BA"/>
    <w:rsid w:val="00CB6D54"/>
    <w:rsid w:val="00CB6DA3"/>
    <w:rsid w:val="00CB6EF2"/>
    <w:rsid w:val="00CB6FF1"/>
    <w:rsid w:val="00CB72AF"/>
    <w:rsid w:val="00CB787F"/>
    <w:rsid w:val="00CB790D"/>
    <w:rsid w:val="00CB7B0B"/>
    <w:rsid w:val="00CB7DDE"/>
    <w:rsid w:val="00CC032B"/>
    <w:rsid w:val="00CC039E"/>
    <w:rsid w:val="00CC03D6"/>
    <w:rsid w:val="00CC03E6"/>
    <w:rsid w:val="00CC0694"/>
    <w:rsid w:val="00CC083E"/>
    <w:rsid w:val="00CC0A0C"/>
    <w:rsid w:val="00CC0AAC"/>
    <w:rsid w:val="00CC0AFD"/>
    <w:rsid w:val="00CC0EAE"/>
    <w:rsid w:val="00CC164C"/>
    <w:rsid w:val="00CC1711"/>
    <w:rsid w:val="00CC1772"/>
    <w:rsid w:val="00CC1988"/>
    <w:rsid w:val="00CC19C0"/>
    <w:rsid w:val="00CC1DF3"/>
    <w:rsid w:val="00CC238A"/>
    <w:rsid w:val="00CC2580"/>
    <w:rsid w:val="00CC2F6C"/>
    <w:rsid w:val="00CC3114"/>
    <w:rsid w:val="00CC32DD"/>
    <w:rsid w:val="00CC357F"/>
    <w:rsid w:val="00CC38E5"/>
    <w:rsid w:val="00CC392F"/>
    <w:rsid w:val="00CC3C68"/>
    <w:rsid w:val="00CC3FD5"/>
    <w:rsid w:val="00CC439A"/>
    <w:rsid w:val="00CC4B74"/>
    <w:rsid w:val="00CC4BDC"/>
    <w:rsid w:val="00CC51BB"/>
    <w:rsid w:val="00CC5465"/>
    <w:rsid w:val="00CC5500"/>
    <w:rsid w:val="00CC5859"/>
    <w:rsid w:val="00CC586B"/>
    <w:rsid w:val="00CC5AA3"/>
    <w:rsid w:val="00CC5ACC"/>
    <w:rsid w:val="00CC609C"/>
    <w:rsid w:val="00CC6114"/>
    <w:rsid w:val="00CC63D9"/>
    <w:rsid w:val="00CC653E"/>
    <w:rsid w:val="00CC6988"/>
    <w:rsid w:val="00CC6BFF"/>
    <w:rsid w:val="00CC73B3"/>
    <w:rsid w:val="00CC773A"/>
    <w:rsid w:val="00CC7AFF"/>
    <w:rsid w:val="00CC7BED"/>
    <w:rsid w:val="00CD0399"/>
    <w:rsid w:val="00CD0550"/>
    <w:rsid w:val="00CD0610"/>
    <w:rsid w:val="00CD0A35"/>
    <w:rsid w:val="00CD0BD3"/>
    <w:rsid w:val="00CD0E77"/>
    <w:rsid w:val="00CD1180"/>
    <w:rsid w:val="00CD123D"/>
    <w:rsid w:val="00CD1308"/>
    <w:rsid w:val="00CD1410"/>
    <w:rsid w:val="00CD17D2"/>
    <w:rsid w:val="00CD18E0"/>
    <w:rsid w:val="00CD1B13"/>
    <w:rsid w:val="00CD1B2D"/>
    <w:rsid w:val="00CD1B3C"/>
    <w:rsid w:val="00CD1C96"/>
    <w:rsid w:val="00CD1E09"/>
    <w:rsid w:val="00CD1FC7"/>
    <w:rsid w:val="00CD2534"/>
    <w:rsid w:val="00CD28DB"/>
    <w:rsid w:val="00CD2BD9"/>
    <w:rsid w:val="00CD2FBB"/>
    <w:rsid w:val="00CD30DA"/>
    <w:rsid w:val="00CD3171"/>
    <w:rsid w:val="00CD32DE"/>
    <w:rsid w:val="00CD33B8"/>
    <w:rsid w:val="00CD33F7"/>
    <w:rsid w:val="00CD3556"/>
    <w:rsid w:val="00CD36F3"/>
    <w:rsid w:val="00CD3D28"/>
    <w:rsid w:val="00CD3DA9"/>
    <w:rsid w:val="00CD3E58"/>
    <w:rsid w:val="00CD40D0"/>
    <w:rsid w:val="00CD46E3"/>
    <w:rsid w:val="00CD4721"/>
    <w:rsid w:val="00CD4C34"/>
    <w:rsid w:val="00CD4D7E"/>
    <w:rsid w:val="00CD5224"/>
    <w:rsid w:val="00CD59CF"/>
    <w:rsid w:val="00CD5B2E"/>
    <w:rsid w:val="00CD63D6"/>
    <w:rsid w:val="00CD6EAC"/>
    <w:rsid w:val="00CD7490"/>
    <w:rsid w:val="00CD777C"/>
    <w:rsid w:val="00CD77B0"/>
    <w:rsid w:val="00CD7DE7"/>
    <w:rsid w:val="00CE02CB"/>
    <w:rsid w:val="00CE02DF"/>
    <w:rsid w:val="00CE02F8"/>
    <w:rsid w:val="00CE06B5"/>
    <w:rsid w:val="00CE0E76"/>
    <w:rsid w:val="00CE0EE0"/>
    <w:rsid w:val="00CE10BA"/>
    <w:rsid w:val="00CE1606"/>
    <w:rsid w:val="00CE18F4"/>
    <w:rsid w:val="00CE18FD"/>
    <w:rsid w:val="00CE1984"/>
    <w:rsid w:val="00CE1B9C"/>
    <w:rsid w:val="00CE1BC6"/>
    <w:rsid w:val="00CE1EA3"/>
    <w:rsid w:val="00CE2019"/>
    <w:rsid w:val="00CE22AC"/>
    <w:rsid w:val="00CE24E1"/>
    <w:rsid w:val="00CE2750"/>
    <w:rsid w:val="00CE29AE"/>
    <w:rsid w:val="00CE2A2A"/>
    <w:rsid w:val="00CE2B2E"/>
    <w:rsid w:val="00CE2CA6"/>
    <w:rsid w:val="00CE2D1A"/>
    <w:rsid w:val="00CE31E6"/>
    <w:rsid w:val="00CE3338"/>
    <w:rsid w:val="00CE3676"/>
    <w:rsid w:val="00CE3717"/>
    <w:rsid w:val="00CE38E4"/>
    <w:rsid w:val="00CE3DA9"/>
    <w:rsid w:val="00CE412B"/>
    <w:rsid w:val="00CE4781"/>
    <w:rsid w:val="00CE487D"/>
    <w:rsid w:val="00CE4A63"/>
    <w:rsid w:val="00CE4A83"/>
    <w:rsid w:val="00CE4B76"/>
    <w:rsid w:val="00CE4CB9"/>
    <w:rsid w:val="00CE4E31"/>
    <w:rsid w:val="00CE51AB"/>
    <w:rsid w:val="00CE5948"/>
    <w:rsid w:val="00CE5983"/>
    <w:rsid w:val="00CE5A3C"/>
    <w:rsid w:val="00CE5BE8"/>
    <w:rsid w:val="00CE6480"/>
    <w:rsid w:val="00CE656E"/>
    <w:rsid w:val="00CE6986"/>
    <w:rsid w:val="00CE6994"/>
    <w:rsid w:val="00CE6A19"/>
    <w:rsid w:val="00CE6C6D"/>
    <w:rsid w:val="00CE6DE0"/>
    <w:rsid w:val="00CE6DF3"/>
    <w:rsid w:val="00CE6EB5"/>
    <w:rsid w:val="00CE72D6"/>
    <w:rsid w:val="00CE73BD"/>
    <w:rsid w:val="00CE73C4"/>
    <w:rsid w:val="00CE758E"/>
    <w:rsid w:val="00CE7CB1"/>
    <w:rsid w:val="00CF01BA"/>
    <w:rsid w:val="00CF0542"/>
    <w:rsid w:val="00CF0862"/>
    <w:rsid w:val="00CF0919"/>
    <w:rsid w:val="00CF0920"/>
    <w:rsid w:val="00CF0996"/>
    <w:rsid w:val="00CF0D31"/>
    <w:rsid w:val="00CF0DDD"/>
    <w:rsid w:val="00CF0F50"/>
    <w:rsid w:val="00CF1420"/>
    <w:rsid w:val="00CF1A5A"/>
    <w:rsid w:val="00CF1EA6"/>
    <w:rsid w:val="00CF1F38"/>
    <w:rsid w:val="00CF212C"/>
    <w:rsid w:val="00CF212F"/>
    <w:rsid w:val="00CF2145"/>
    <w:rsid w:val="00CF21C5"/>
    <w:rsid w:val="00CF27D2"/>
    <w:rsid w:val="00CF286B"/>
    <w:rsid w:val="00CF28FF"/>
    <w:rsid w:val="00CF2901"/>
    <w:rsid w:val="00CF320B"/>
    <w:rsid w:val="00CF3247"/>
    <w:rsid w:val="00CF358F"/>
    <w:rsid w:val="00CF373D"/>
    <w:rsid w:val="00CF3E32"/>
    <w:rsid w:val="00CF40C5"/>
    <w:rsid w:val="00CF456B"/>
    <w:rsid w:val="00CF48E0"/>
    <w:rsid w:val="00CF4B62"/>
    <w:rsid w:val="00CF4C08"/>
    <w:rsid w:val="00CF4D10"/>
    <w:rsid w:val="00CF4E74"/>
    <w:rsid w:val="00CF4F55"/>
    <w:rsid w:val="00CF5217"/>
    <w:rsid w:val="00CF5858"/>
    <w:rsid w:val="00CF59B4"/>
    <w:rsid w:val="00CF5B53"/>
    <w:rsid w:val="00CF622E"/>
    <w:rsid w:val="00CF7317"/>
    <w:rsid w:val="00CF77B6"/>
    <w:rsid w:val="00CF79E1"/>
    <w:rsid w:val="00CF7BF2"/>
    <w:rsid w:val="00D0062E"/>
    <w:rsid w:val="00D00986"/>
    <w:rsid w:val="00D00A5A"/>
    <w:rsid w:val="00D00D4A"/>
    <w:rsid w:val="00D01546"/>
    <w:rsid w:val="00D015C8"/>
    <w:rsid w:val="00D0161E"/>
    <w:rsid w:val="00D01B25"/>
    <w:rsid w:val="00D01D41"/>
    <w:rsid w:val="00D01D99"/>
    <w:rsid w:val="00D01DC3"/>
    <w:rsid w:val="00D01F8E"/>
    <w:rsid w:val="00D0237C"/>
    <w:rsid w:val="00D025A1"/>
    <w:rsid w:val="00D02CDA"/>
    <w:rsid w:val="00D02F54"/>
    <w:rsid w:val="00D03167"/>
    <w:rsid w:val="00D033C2"/>
    <w:rsid w:val="00D034D2"/>
    <w:rsid w:val="00D03555"/>
    <w:rsid w:val="00D03B83"/>
    <w:rsid w:val="00D04489"/>
    <w:rsid w:val="00D046B5"/>
    <w:rsid w:val="00D046B6"/>
    <w:rsid w:val="00D04E65"/>
    <w:rsid w:val="00D04F9E"/>
    <w:rsid w:val="00D0520D"/>
    <w:rsid w:val="00D0573D"/>
    <w:rsid w:val="00D0585A"/>
    <w:rsid w:val="00D05CDA"/>
    <w:rsid w:val="00D05CFC"/>
    <w:rsid w:val="00D0617E"/>
    <w:rsid w:val="00D06AC8"/>
    <w:rsid w:val="00D0755D"/>
    <w:rsid w:val="00D07738"/>
    <w:rsid w:val="00D07946"/>
    <w:rsid w:val="00D07F2E"/>
    <w:rsid w:val="00D10201"/>
    <w:rsid w:val="00D1043D"/>
    <w:rsid w:val="00D105F2"/>
    <w:rsid w:val="00D10910"/>
    <w:rsid w:val="00D10DA6"/>
    <w:rsid w:val="00D10EF0"/>
    <w:rsid w:val="00D10EF9"/>
    <w:rsid w:val="00D1116A"/>
    <w:rsid w:val="00D118C4"/>
    <w:rsid w:val="00D11A16"/>
    <w:rsid w:val="00D11A9A"/>
    <w:rsid w:val="00D11DB6"/>
    <w:rsid w:val="00D11DD4"/>
    <w:rsid w:val="00D12751"/>
    <w:rsid w:val="00D12C72"/>
    <w:rsid w:val="00D12E84"/>
    <w:rsid w:val="00D131D0"/>
    <w:rsid w:val="00D136B6"/>
    <w:rsid w:val="00D13782"/>
    <w:rsid w:val="00D13797"/>
    <w:rsid w:val="00D13EA4"/>
    <w:rsid w:val="00D13FF2"/>
    <w:rsid w:val="00D14144"/>
    <w:rsid w:val="00D14349"/>
    <w:rsid w:val="00D14A08"/>
    <w:rsid w:val="00D14EBE"/>
    <w:rsid w:val="00D15079"/>
    <w:rsid w:val="00D15088"/>
    <w:rsid w:val="00D15098"/>
    <w:rsid w:val="00D1511C"/>
    <w:rsid w:val="00D1515B"/>
    <w:rsid w:val="00D15234"/>
    <w:rsid w:val="00D156BA"/>
    <w:rsid w:val="00D15714"/>
    <w:rsid w:val="00D15891"/>
    <w:rsid w:val="00D15A87"/>
    <w:rsid w:val="00D15BE3"/>
    <w:rsid w:val="00D15D9D"/>
    <w:rsid w:val="00D15FBE"/>
    <w:rsid w:val="00D160A1"/>
    <w:rsid w:val="00D161EA"/>
    <w:rsid w:val="00D1748E"/>
    <w:rsid w:val="00D177B7"/>
    <w:rsid w:val="00D178FF"/>
    <w:rsid w:val="00D17C30"/>
    <w:rsid w:val="00D17D91"/>
    <w:rsid w:val="00D17FC8"/>
    <w:rsid w:val="00D20112"/>
    <w:rsid w:val="00D2030E"/>
    <w:rsid w:val="00D2034E"/>
    <w:rsid w:val="00D20758"/>
    <w:rsid w:val="00D209AC"/>
    <w:rsid w:val="00D20C15"/>
    <w:rsid w:val="00D20CC4"/>
    <w:rsid w:val="00D20D42"/>
    <w:rsid w:val="00D20E1F"/>
    <w:rsid w:val="00D20FE0"/>
    <w:rsid w:val="00D21018"/>
    <w:rsid w:val="00D210FE"/>
    <w:rsid w:val="00D213DA"/>
    <w:rsid w:val="00D21496"/>
    <w:rsid w:val="00D2213D"/>
    <w:rsid w:val="00D22A3F"/>
    <w:rsid w:val="00D22EDC"/>
    <w:rsid w:val="00D22F48"/>
    <w:rsid w:val="00D234F8"/>
    <w:rsid w:val="00D235A8"/>
    <w:rsid w:val="00D2393C"/>
    <w:rsid w:val="00D23C11"/>
    <w:rsid w:val="00D23C34"/>
    <w:rsid w:val="00D23F4A"/>
    <w:rsid w:val="00D2407D"/>
    <w:rsid w:val="00D24395"/>
    <w:rsid w:val="00D245CC"/>
    <w:rsid w:val="00D2553E"/>
    <w:rsid w:val="00D25546"/>
    <w:rsid w:val="00D25588"/>
    <w:rsid w:val="00D257D9"/>
    <w:rsid w:val="00D25CDE"/>
    <w:rsid w:val="00D25D00"/>
    <w:rsid w:val="00D25DE8"/>
    <w:rsid w:val="00D25F50"/>
    <w:rsid w:val="00D2622A"/>
    <w:rsid w:val="00D2653A"/>
    <w:rsid w:val="00D2687F"/>
    <w:rsid w:val="00D269CB"/>
    <w:rsid w:val="00D26AB3"/>
    <w:rsid w:val="00D26B3B"/>
    <w:rsid w:val="00D26B99"/>
    <w:rsid w:val="00D26E8E"/>
    <w:rsid w:val="00D27042"/>
    <w:rsid w:val="00D2705A"/>
    <w:rsid w:val="00D27304"/>
    <w:rsid w:val="00D2746F"/>
    <w:rsid w:val="00D279D5"/>
    <w:rsid w:val="00D27B4B"/>
    <w:rsid w:val="00D27C89"/>
    <w:rsid w:val="00D27E0D"/>
    <w:rsid w:val="00D30138"/>
    <w:rsid w:val="00D301B9"/>
    <w:rsid w:val="00D306A6"/>
    <w:rsid w:val="00D309AF"/>
    <w:rsid w:val="00D30DB4"/>
    <w:rsid w:val="00D30E9F"/>
    <w:rsid w:val="00D310F5"/>
    <w:rsid w:val="00D31440"/>
    <w:rsid w:val="00D314D8"/>
    <w:rsid w:val="00D31868"/>
    <w:rsid w:val="00D319C5"/>
    <w:rsid w:val="00D31E1E"/>
    <w:rsid w:val="00D31E7E"/>
    <w:rsid w:val="00D3209D"/>
    <w:rsid w:val="00D3211A"/>
    <w:rsid w:val="00D322D2"/>
    <w:rsid w:val="00D324B2"/>
    <w:rsid w:val="00D325BB"/>
    <w:rsid w:val="00D32934"/>
    <w:rsid w:val="00D329D5"/>
    <w:rsid w:val="00D32A38"/>
    <w:rsid w:val="00D32A94"/>
    <w:rsid w:val="00D32DC2"/>
    <w:rsid w:val="00D33062"/>
    <w:rsid w:val="00D3315F"/>
    <w:rsid w:val="00D33825"/>
    <w:rsid w:val="00D346D2"/>
    <w:rsid w:val="00D34933"/>
    <w:rsid w:val="00D35398"/>
    <w:rsid w:val="00D355BA"/>
    <w:rsid w:val="00D358A8"/>
    <w:rsid w:val="00D35CDD"/>
    <w:rsid w:val="00D35E4A"/>
    <w:rsid w:val="00D3600A"/>
    <w:rsid w:val="00D36332"/>
    <w:rsid w:val="00D36345"/>
    <w:rsid w:val="00D365B6"/>
    <w:rsid w:val="00D36F76"/>
    <w:rsid w:val="00D37AE9"/>
    <w:rsid w:val="00D40077"/>
    <w:rsid w:val="00D40139"/>
    <w:rsid w:val="00D4032D"/>
    <w:rsid w:val="00D4072C"/>
    <w:rsid w:val="00D40AEC"/>
    <w:rsid w:val="00D40BFF"/>
    <w:rsid w:val="00D4103F"/>
    <w:rsid w:val="00D41398"/>
    <w:rsid w:val="00D41494"/>
    <w:rsid w:val="00D414AE"/>
    <w:rsid w:val="00D41556"/>
    <w:rsid w:val="00D418CF"/>
    <w:rsid w:val="00D41E16"/>
    <w:rsid w:val="00D41E77"/>
    <w:rsid w:val="00D41EB5"/>
    <w:rsid w:val="00D4279C"/>
    <w:rsid w:val="00D42989"/>
    <w:rsid w:val="00D42A51"/>
    <w:rsid w:val="00D42A64"/>
    <w:rsid w:val="00D42A9F"/>
    <w:rsid w:val="00D430AC"/>
    <w:rsid w:val="00D4322B"/>
    <w:rsid w:val="00D43367"/>
    <w:rsid w:val="00D43703"/>
    <w:rsid w:val="00D4421B"/>
    <w:rsid w:val="00D4456B"/>
    <w:rsid w:val="00D44D14"/>
    <w:rsid w:val="00D44DC6"/>
    <w:rsid w:val="00D44F48"/>
    <w:rsid w:val="00D45032"/>
    <w:rsid w:val="00D451F2"/>
    <w:rsid w:val="00D456A5"/>
    <w:rsid w:val="00D45712"/>
    <w:rsid w:val="00D45D12"/>
    <w:rsid w:val="00D45D6E"/>
    <w:rsid w:val="00D46337"/>
    <w:rsid w:val="00D46ACE"/>
    <w:rsid w:val="00D46B71"/>
    <w:rsid w:val="00D46BE4"/>
    <w:rsid w:val="00D502AD"/>
    <w:rsid w:val="00D50A65"/>
    <w:rsid w:val="00D50AA7"/>
    <w:rsid w:val="00D50B0B"/>
    <w:rsid w:val="00D50B25"/>
    <w:rsid w:val="00D50EB1"/>
    <w:rsid w:val="00D51204"/>
    <w:rsid w:val="00D51358"/>
    <w:rsid w:val="00D5138C"/>
    <w:rsid w:val="00D51487"/>
    <w:rsid w:val="00D5151D"/>
    <w:rsid w:val="00D5176D"/>
    <w:rsid w:val="00D5177A"/>
    <w:rsid w:val="00D5196E"/>
    <w:rsid w:val="00D51999"/>
    <w:rsid w:val="00D51A5F"/>
    <w:rsid w:val="00D51D0F"/>
    <w:rsid w:val="00D51ED8"/>
    <w:rsid w:val="00D51EEA"/>
    <w:rsid w:val="00D51F09"/>
    <w:rsid w:val="00D5263F"/>
    <w:rsid w:val="00D529B9"/>
    <w:rsid w:val="00D534EB"/>
    <w:rsid w:val="00D53827"/>
    <w:rsid w:val="00D53927"/>
    <w:rsid w:val="00D539E4"/>
    <w:rsid w:val="00D53CC8"/>
    <w:rsid w:val="00D53DB1"/>
    <w:rsid w:val="00D540FB"/>
    <w:rsid w:val="00D542BB"/>
    <w:rsid w:val="00D54382"/>
    <w:rsid w:val="00D54B52"/>
    <w:rsid w:val="00D55492"/>
    <w:rsid w:val="00D55E00"/>
    <w:rsid w:val="00D56320"/>
    <w:rsid w:val="00D5658C"/>
    <w:rsid w:val="00D5688B"/>
    <w:rsid w:val="00D56A57"/>
    <w:rsid w:val="00D56CD5"/>
    <w:rsid w:val="00D56F65"/>
    <w:rsid w:val="00D56F70"/>
    <w:rsid w:val="00D571CE"/>
    <w:rsid w:val="00D57403"/>
    <w:rsid w:val="00D576AA"/>
    <w:rsid w:val="00D5789D"/>
    <w:rsid w:val="00D5794D"/>
    <w:rsid w:val="00D579CC"/>
    <w:rsid w:val="00D57A0A"/>
    <w:rsid w:val="00D57A3A"/>
    <w:rsid w:val="00D605D0"/>
    <w:rsid w:val="00D608A8"/>
    <w:rsid w:val="00D60BD5"/>
    <w:rsid w:val="00D61459"/>
    <w:rsid w:val="00D61460"/>
    <w:rsid w:val="00D61495"/>
    <w:rsid w:val="00D61908"/>
    <w:rsid w:val="00D61BD5"/>
    <w:rsid w:val="00D61BE3"/>
    <w:rsid w:val="00D61C3C"/>
    <w:rsid w:val="00D61DAD"/>
    <w:rsid w:val="00D61FA6"/>
    <w:rsid w:val="00D6211E"/>
    <w:rsid w:val="00D623B5"/>
    <w:rsid w:val="00D623D8"/>
    <w:rsid w:val="00D629F8"/>
    <w:rsid w:val="00D62C8A"/>
    <w:rsid w:val="00D62D70"/>
    <w:rsid w:val="00D62E7D"/>
    <w:rsid w:val="00D62FF5"/>
    <w:rsid w:val="00D6348E"/>
    <w:rsid w:val="00D63581"/>
    <w:rsid w:val="00D63932"/>
    <w:rsid w:val="00D63B28"/>
    <w:rsid w:val="00D63C6A"/>
    <w:rsid w:val="00D63D74"/>
    <w:rsid w:val="00D6417F"/>
    <w:rsid w:val="00D643A9"/>
    <w:rsid w:val="00D645FC"/>
    <w:rsid w:val="00D6506D"/>
    <w:rsid w:val="00D65536"/>
    <w:rsid w:val="00D65D5C"/>
    <w:rsid w:val="00D65E3E"/>
    <w:rsid w:val="00D65F8B"/>
    <w:rsid w:val="00D66135"/>
    <w:rsid w:val="00D67092"/>
    <w:rsid w:val="00D67183"/>
    <w:rsid w:val="00D67524"/>
    <w:rsid w:val="00D675A4"/>
    <w:rsid w:val="00D675CD"/>
    <w:rsid w:val="00D67D6B"/>
    <w:rsid w:val="00D67E7D"/>
    <w:rsid w:val="00D7015C"/>
    <w:rsid w:val="00D7093C"/>
    <w:rsid w:val="00D7107B"/>
    <w:rsid w:val="00D716BB"/>
    <w:rsid w:val="00D718CE"/>
    <w:rsid w:val="00D718D1"/>
    <w:rsid w:val="00D71A6E"/>
    <w:rsid w:val="00D71C4C"/>
    <w:rsid w:val="00D71FCA"/>
    <w:rsid w:val="00D7226A"/>
    <w:rsid w:val="00D72B73"/>
    <w:rsid w:val="00D73657"/>
    <w:rsid w:val="00D73A69"/>
    <w:rsid w:val="00D73C1A"/>
    <w:rsid w:val="00D73C57"/>
    <w:rsid w:val="00D73F90"/>
    <w:rsid w:val="00D7454A"/>
    <w:rsid w:val="00D74B7D"/>
    <w:rsid w:val="00D74DA5"/>
    <w:rsid w:val="00D758B8"/>
    <w:rsid w:val="00D75AA6"/>
    <w:rsid w:val="00D75B71"/>
    <w:rsid w:val="00D760E2"/>
    <w:rsid w:val="00D765BD"/>
    <w:rsid w:val="00D7664E"/>
    <w:rsid w:val="00D7685E"/>
    <w:rsid w:val="00D77A3D"/>
    <w:rsid w:val="00D77BEF"/>
    <w:rsid w:val="00D77C8A"/>
    <w:rsid w:val="00D77D8F"/>
    <w:rsid w:val="00D77EF5"/>
    <w:rsid w:val="00D80129"/>
    <w:rsid w:val="00D8033D"/>
    <w:rsid w:val="00D8067D"/>
    <w:rsid w:val="00D80738"/>
    <w:rsid w:val="00D80F07"/>
    <w:rsid w:val="00D8103D"/>
    <w:rsid w:val="00D810D0"/>
    <w:rsid w:val="00D8118A"/>
    <w:rsid w:val="00D81282"/>
    <w:rsid w:val="00D81B2F"/>
    <w:rsid w:val="00D81BF4"/>
    <w:rsid w:val="00D81BFD"/>
    <w:rsid w:val="00D81C0C"/>
    <w:rsid w:val="00D81FC6"/>
    <w:rsid w:val="00D82261"/>
    <w:rsid w:val="00D82C61"/>
    <w:rsid w:val="00D82D1D"/>
    <w:rsid w:val="00D82EDD"/>
    <w:rsid w:val="00D83072"/>
    <w:rsid w:val="00D83646"/>
    <w:rsid w:val="00D8386C"/>
    <w:rsid w:val="00D83CBB"/>
    <w:rsid w:val="00D83D7B"/>
    <w:rsid w:val="00D83E86"/>
    <w:rsid w:val="00D84012"/>
    <w:rsid w:val="00D84458"/>
    <w:rsid w:val="00D846B8"/>
    <w:rsid w:val="00D849DE"/>
    <w:rsid w:val="00D84EBC"/>
    <w:rsid w:val="00D85786"/>
    <w:rsid w:val="00D85978"/>
    <w:rsid w:val="00D85D2C"/>
    <w:rsid w:val="00D85FCC"/>
    <w:rsid w:val="00D860A0"/>
    <w:rsid w:val="00D8620E"/>
    <w:rsid w:val="00D8659F"/>
    <w:rsid w:val="00D865D7"/>
    <w:rsid w:val="00D8670D"/>
    <w:rsid w:val="00D86A77"/>
    <w:rsid w:val="00D86BD8"/>
    <w:rsid w:val="00D874D4"/>
    <w:rsid w:val="00D87500"/>
    <w:rsid w:val="00D87AD6"/>
    <w:rsid w:val="00D87F64"/>
    <w:rsid w:val="00D90247"/>
    <w:rsid w:val="00D9040E"/>
    <w:rsid w:val="00D904A6"/>
    <w:rsid w:val="00D90BE8"/>
    <w:rsid w:val="00D90CC0"/>
    <w:rsid w:val="00D90DDD"/>
    <w:rsid w:val="00D91339"/>
    <w:rsid w:val="00D915FE"/>
    <w:rsid w:val="00D91881"/>
    <w:rsid w:val="00D919EB"/>
    <w:rsid w:val="00D91AA3"/>
    <w:rsid w:val="00D91BAE"/>
    <w:rsid w:val="00D91C81"/>
    <w:rsid w:val="00D91CA8"/>
    <w:rsid w:val="00D91EE5"/>
    <w:rsid w:val="00D92AFF"/>
    <w:rsid w:val="00D92FA0"/>
    <w:rsid w:val="00D9317D"/>
    <w:rsid w:val="00D931EE"/>
    <w:rsid w:val="00D935E9"/>
    <w:rsid w:val="00D936C9"/>
    <w:rsid w:val="00D939FF"/>
    <w:rsid w:val="00D93CBC"/>
    <w:rsid w:val="00D93CF4"/>
    <w:rsid w:val="00D93E98"/>
    <w:rsid w:val="00D93EAF"/>
    <w:rsid w:val="00D94242"/>
    <w:rsid w:val="00D943F2"/>
    <w:rsid w:val="00D944EA"/>
    <w:rsid w:val="00D94711"/>
    <w:rsid w:val="00D94728"/>
    <w:rsid w:val="00D947C9"/>
    <w:rsid w:val="00D94C23"/>
    <w:rsid w:val="00D94EE9"/>
    <w:rsid w:val="00D950E4"/>
    <w:rsid w:val="00D951B9"/>
    <w:rsid w:val="00D955DE"/>
    <w:rsid w:val="00D956CD"/>
    <w:rsid w:val="00D96437"/>
    <w:rsid w:val="00D968BC"/>
    <w:rsid w:val="00D969E6"/>
    <w:rsid w:val="00D96BD6"/>
    <w:rsid w:val="00D96C5A"/>
    <w:rsid w:val="00D97012"/>
    <w:rsid w:val="00D972BE"/>
    <w:rsid w:val="00D9755B"/>
    <w:rsid w:val="00D97780"/>
    <w:rsid w:val="00D97C05"/>
    <w:rsid w:val="00D97DA9"/>
    <w:rsid w:val="00DA05B3"/>
    <w:rsid w:val="00DA0655"/>
    <w:rsid w:val="00DA06AD"/>
    <w:rsid w:val="00DA06E8"/>
    <w:rsid w:val="00DA06F1"/>
    <w:rsid w:val="00DA09E2"/>
    <w:rsid w:val="00DA0E0D"/>
    <w:rsid w:val="00DA0E22"/>
    <w:rsid w:val="00DA221F"/>
    <w:rsid w:val="00DA2426"/>
    <w:rsid w:val="00DA2526"/>
    <w:rsid w:val="00DA2984"/>
    <w:rsid w:val="00DA2E53"/>
    <w:rsid w:val="00DA2F1B"/>
    <w:rsid w:val="00DA30AC"/>
    <w:rsid w:val="00DA3238"/>
    <w:rsid w:val="00DA325B"/>
    <w:rsid w:val="00DA32C3"/>
    <w:rsid w:val="00DA3381"/>
    <w:rsid w:val="00DA3463"/>
    <w:rsid w:val="00DA35C7"/>
    <w:rsid w:val="00DA3983"/>
    <w:rsid w:val="00DA3FD9"/>
    <w:rsid w:val="00DA40A0"/>
    <w:rsid w:val="00DA4133"/>
    <w:rsid w:val="00DA4409"/>
    <w:rsid w:val="00DA443D"/>
    <w:rsid w:val="00DA4A5C"/>
    <w:rsid w:val="00DA4EFF"/>
    <w:rsid w:val="00DA521A"/>
    <w:rsid w:val="00DA54E0"/>
    <w:rsid w:val="00DA56B5"/>
    <w:rsid w:val="00DA5AA3"/>
    <w:rsid w:val="00DA5D12"/>
    <w:rsid w:val="00DA5EFB"/>
    <w:rsid w:val="00DA6169"/>
    <w:rsid w:val="00DA6282"/>
    <w:rsid w:val="00DA6332"/>
    <w:rsid w:val="00DA6465"/>
    <w:rsid w:val="00DA647A"/>
    <w:rsid w:val="00DA6C4C"/>
    <w:rsid w:val="00DA6C57"/>
    <w:rsid w:val="00DA6C5F"/>
    <w:rsid w:val="00DA6D3E"/>
    <w:rsid w:val="00DA7013"/>
    <w:rsid w:val="00DA7713"/>
    <w:rsid w:val="00DA7958"/>
    <w:rsid w:val="00DA7AF3"/>
    <w:rsid w:val="00DB063D"/>
    <w:rsid w:val="00DB0653"/>
    <w:rsid w:val="00DB0D38"/>
    <w:rsid w:val="00DB0F6A"/>
    <w:rsid w:val="00DB1F99"/>
    <w:rsid w:val="00DB209E"/>
    <w:rsid w:val="00DB24F3"/>
    <w:rsid w:val="00DB2636"/>
    <w:rsid w:val="00DB272F"/>
    <w:rsid w:val="00DB2D66"/>
    <w:rsid w:val="00DB2E2B"/>
    <w:rsid w:val="00DB31C0"/>
    <w:rsid w:val="00DB3319"/>
    <w:rsid w:val="00DB3381"/>
    <w:rsid w:val="00DB34E2"/>
    <w:rsid w:val="00DB3CE6"/>
    <w:rsid w:val="00DB4248"/>
    <w:rsid w:val="00DB4F45"/>
    <w:rsid w:val="00DB501E"/>
    <w:rsid w:val="00DB50CA"/>
    <w:rsid w:val="00DB594E"/>
    <w:rsid w:val="00DB5B6F"/>
    <w:rsid w:val="00DB5C1B"/>
    <w:rsid w:val="00DB61CA"/>
    <w:rsid w:val="00DB657A"/>
    <w:rsid w:val="00DB6682"/>
    <w:rsid w:val="00DB670E"/>
    <w:rsid w:val="00DB69AB"/>
    <w:rsid w:val="00DB714A"/>
    <w:rsid w:val="00DB77CC"/>
    <w:rsid w:val="00DB7A5E"/>
    <w:rsid w:val="00DB7C9C"/>
    <w:rsid w:val="00DC00B9"/>
    <w:rsid w:val="00DC033F"/>
    <w:rsid w:val="00DC03CF"/>
    <w:rsid w:val="00DC03EF"/>
    <w:rsid w:val="00DC0C2F"/>
    <w:rsid w:val="00DC0CBD"/>
    <w:rsid w:val="00DC0CE6"/>
    <w:rsid w:val="00DC0CF9"/>
    <w:rsid w:val="00DC0E92"/>
    <w:rsid w:val="00DC11A2"/>
    <w:rsid w:val="00DC18B2"/>
    <w:rsid w:val="00DC23C6"/>
    <w:rsid w:val="00DC272C"/>
    <w:rsid w:val="00DC2D58"/>
    <w:rsid w:val="00DC2DD4"/>
    <w:rsid w:val="00DC348D"/>
    <w:rsid w:val="00DC34E5"/>
    <w:rsid w:val="00DC3992"/>
    <w:rsid w:val="00DC3B52"/>
    <w:rsid w:val="00DC3D4D"/>
    <w:rsid w:val="00DC48A8"/>
    <w:rsid w:val="00DC4990"/>
    <w:rsid w:val="00DC4B48"/>
    <w:rsid w:val="00DC4CCC"/>
    <w:rsid w:val="00DC5236"/>
    <w:rsid w:val="00DC52C2"/>
    <w:rsid w:val="00DC570A"/>
    <w:rsid w:val="00DC584F"/>
    <w:rsid w:val="00DC60FA"/>
    <w:rsid w:val="00DC6A60"/>
    <w:rsid w:val="00DC6BD8"/>
    <w:rsid w:val="00DC6CDD"/>
    <w:rsid w:val="00DC707F"/>
    <w:rsid w:val="00DC750E"/>
    <w:rsid w:val="00DC7784"/>
    <w:rsid w:val="00DC784C"/>
    <w:rsid w:val="00DC7A90"/>
    <w:rsid w:val="00DD0008"/>
    <w:rsid w:val="00DD000A"/>
    <w:rsid w:val="00DD00F3"/>
    <w:rsid w:val="00DD0418"/>
    <w:rsid w:val="00DD0617"/>
    <w:rsid w:val="00DD06C1"/>
    <w:rsid w:val="00DD06CB"/>
    <w:rsid w:val="00DD0ABB"/>
    <w:rsid w:val="00DD0B1B"/>
    <w:rsid w:val="00DD0D95"/>
    <w:rsid w:val="00DD0F8A"/>
    <w:rsid w:val="00DD100B"/>
    <w:rsid w:val="00DD115F"/>
    <w:rsid w:val="00DD1316"/>
    <w:rsid w:val="00DD13E6"/>
    <w:rsid w:val="00DD16EC"/>
    <w:rsid w:val="00DD1784"/>
    <w:rsid w:val="00DD178A"/>
    <w:rsid w:val="00DD1817"/>
    <w:rsid w:val="00DD1973"/>
    <w:rsid w:val="00DD1B88"/>
    <w:rsid w:val="00DD221F"/>
    <w:rsid w:val="00DD2B1E"/>
    <w:rsid w:val="00DD2B8A"/>
    <w:rsid w:val="00DD2D8D"/>
    <w:rsid w:val="00DD2E7F"/>
    <w:rsid w:val="00DD2EEE"/>
    <w:rsid w:val="00DD30A5"/>
    <w:rsid w:val="00DD3212"/>
    <w:rsid w:val="00DD34C3"/>
    <w:rsid w:val="00DD34E1"/>
    <w:rsid w:val="00DD3AAA"/>
    <w:rsid w:val="00DD3CD0"/>
    <w:rsid w:val="00DD3D86"/>
    <w:rsid w:val="00DD3F2A"/>
    <w:rsid w:val="00DD40B3"/>
    <w:rsid w:val="00DD46E3"/>
    <w:rsid w:val="00DD4762"/>
    <w:rsid w:val="00DD4C70"/>
    <w:rsid w:val="00DD4DFA"/>
    <w:rsid w:val="00DD501C"/>
    <w:rsid w:val="00DD5D86"/>
    <w:rsid w:val="00DD6A31"/>
    <w:rsid w:val="00DD6B0E"/>
    <w:rsid w:val="00DD6C2A"/>
    <w:rsid w:val="00DD743E"/>
    <w:rsid w:val="00DD7ABC"/>
    <w:rsid w:val="00DD7B1C"/>
    <w:rsid w:val="00DD7BDF"/>
    <w:rsid w:val="00DD7E73"/>
    <w:rsid w:val="00DE0222"/>
    <w:rsid w:val="00DE060D"/>
    <w:rsid w:val="00DE08DE"/>
    <w:rsid w:val="00DE0B9B"/>
    <w:rsid w:val="00DE129E"/>
    <w:rsid w:val="00DE14E9"/>
    <w:rsid w:val="00DE1526"/>
    <w:rsid w:val="00DE1881"/>
    <w:rsid w:val="00DE1A41"/>
    <w:rsid w:val="00DE1BC0"/>
    <w:rsid w:val="00DE1C85"/>
    <w:rsid w:val="00DE1D8E"/>
    <w:rsid w:val="00DE1F9E"/>
    <w:rsid w:val="00DE2AB2"/>
    <w:rsid w:val="00DE2E37"/>
    <w:rsid w:val="00DE3073"/>
    <w:rsid w:val="00DE35D9"/>
    <w:rsid w:val="00DE35EB"/>
    <w:rsid w:val="00DE38DE"/>
    <w:rsid w:val="00DE3987"/>
    <w:rsid w:val="00DE39E2"/>
    <w:rsid w:val="00DE3A7E"/>
    <w:rsid w:val="00DE3EE3"/>
    <w:rsid w:val="00DE4191"/>
    <w:rsid w:val="00DE4AC2"/>
    <w:rsid w:val="00DE504B"/>
    <w:rsid w:val="00DE560C"/>
    <w:rsid w:val="00DE5C85"/>
    <w:rsid w:val="00DE6081"/>
    <w:rsid w:val="00DE609E"/>
    <w:rsid w:val="00DE6DA2"/>
    <w:rsid w:val="00DE6DA7"/>
    <w:rsid w:val="00DE7301"/>
    <w:rsid w:val="00DE74F7"/>
    <w:rsid w:val="00DE75D0"/>
    <w:rsid w:val="00DF041E"/>
    <w:rsid w:val="00DF044C"/>
    <w:rsid w:val="00DF0974"/>
    <w:rsid w:val="00DF0A09"/>
    <w:rsid w:val="00DF0BAC"/>
    <w:rsid w:val="00DF0E02"/>
    <w:rsid w:val="00DF0F2E"/>
    <w:rsid w:val="00DF11A1"/>
    <w:rsid w:val="00DF1246"/>
    <w:rsid w:val="00DF12BA"/>
    <w:rsid w:val="00DF13F1"/>
    <w:rsid w:val="00DF163C"/>
    <w:rsid w:val="00DF1833"/>
    <w:rsid w:val="00DF18D9"/>
    <w:rsid w:val="00DF1BBE"/>
    <w:rsid w:val="00DF247B"/>
    <w:rsid w:val="00DF24CD"/>
    <w:rsid w:val="00DF2683"/>
    <w:rsid w:val="00DF2930"/>
    <w:rsid w:val="00DF2BB5"/>
    <w:rsid w:val="00DF2E83"/>
    <w:rsid w:val="00DF3090"/>
    <w:rsid w:val="00DF3612"/>
    <w:rsid w:val="00DF3705"/>
    <w:rsid w:val="00DF37EB"/>
    <w:rsid w:val="00DF41A7"/>
    <w:rsid w:val="00DF4479"/>
    <w:rsid w:val="00DF482D"/>
    <w:rsid w:val="00DF4862"/>
    <w:rsid w:val="00DF4CD5"/>
    <w:rsid w:val="00DF50DB"/>
    <w:rsid w:val="00DF539E"/>
    <w:rsid w:val="00DF5472"/>
    <w:rsid w:val="00DF56B4"/>
    <w:rsid w:val="00DF57E8"/>
    <w:rsid w:val="00DF5AAD"/>
    <w:rsid w:val="00DF5FC1"/>
    <w:rsid w:val="00DF6102"/>
    <w:rsid w:val="00DF61B7"/>
    <w:rsid w:val="00DF6D7E"/>
    <w:rsid w:val="00DF705C"/>
    <w:rsid w:val="00DF7114"/>
    <w:rsid w:val="00DF7169"/>
    <w:rsid w:val="00DF716F"/>
    <w:rsid w:val="00DF73D8"/>
    <w:rsid w:val="00DF74F0"/>
    <w:rsid w:val="00DF7AD5"/>
    <w:rsid w:val="00DF7BDA"/>
    <w:rsid w:val="00DF7BEB"/>
    <w:rsid w:val="00E0047F"/>
    <w:rsid w:val="00E006D5"/>
    <w:rsid w:val="00E00A36"/>
    <w:rsid w:val="00E00BE7"/>
    <w:rsid w:val="00E010B5"/>
    <w:rsid w:val="00E011F7"/>
    <w:rsid w:val="00E01224"/>
    <w:rsid w:val="00E01529"/>
    <w:rsid w:val="00E0182F"/>
    <w:rsid w:val="00E02127"/>
    <w:rsid w:val="00E024BC"/>
    <w:rsid w:val="00E024D5"/>
    <w:rsid w:val="00E025B6"/>
    <w:rsid w:val="00E0273C"/>
    <w:rsid w:val="00E02765"/>
    <w:rsid w:val="00E02B6E"/>
    <w:rsid w:val="00E0307B"/>
    <w:rsid w:val="00E03089"/>
    <w:rsid w:val="00E03179"/>
    <w:rsid w:val="00E03192"/>
    <w:rsid w:val="00E035C0"/>
    <w:rsid w:val="00E04508"/>
    <w:rsid w:val="00E0469E"/>
    <w:rsid w:val="00E046AD"/>
    <w:rsid w:val="00E04817"/>
    <w:rsid w:val="00E04934"/>
    <w:rsid w:val="00E04EC7"/>
    <w:rsid w:val="00E0535D"/>
    <w:rsid w:val="00E05DFB"/>
    <w:rsid w:val="00E05F2F"/>
    <w:rsid w:val="00E06238"/>
    <w:rsid w:val="00E0662D"/>
    <w:rsid w:val="00E06E74"/>
    <w:rsid w:val="00E072E3"/>
    <w:rsid w:val="00E07583"/>
    <w:rsid w:val="00E0794E"/>
    <w:rsid w:val="00E07C86"/>
    <w:rsid w:val="00E07E32"/>
    <w:rsid w:val="00E07EA0"/>
    <w:rsid w:val="00E10442"/>
    <w:rsid w:val="00E10881"/>
    <w:rsid w:val="00E10DCC"/>
    <w:rsid w:val="00E10E5C"/>
    <w:rsid w:val="00E11178"/>
    <w:rsid w:val="00E1122B"/>
    <w:rsid w:val="00E112DC"/>
    <w:rsid w:val="00E11A63"/>
    <w:rsid w:val="00E12263"/>
    <w:rsid w:val="00E123CD"/>
    <w:rsid w:val="00E1253F"/>
    <w:rsid w:val="00E12C9C"/>
    <w:rsid w:val="00E12E68"/>
    <w:rsid w:val="00E131E0"/>
    <w:rsid w:val="00E135F7"/>
    <w:rsid w:val="00E13752"/>
    <w:rsid w:val="00E13C47"/>
    <w:rsid w:val="00E146F1"/>
    <w:rsid w:val="00E1477F"/>
    <w:rsid w:val="00E154DC"/>
    <w:rsid w:val="00E156EB"/>
    <w:rsid w:val="00E1598F"/>
    <w:rsid w:val="00E15BFF"/>
    <w:rsid w:val="00E15F99"/>
    <w:rsid w:val="00E16133"/>
    <w:rsid w:val="00E1629A"/>
    <w:rsid w:val="00E16A4B"/>
    <w:rsid w:val="00E16AA3"/>
    <w:rsid w:val="00E16CAB"/>
    <w:rsid w:val="00E16D4F"/>
    <w:rsid w:val="00E16E05"/>
    <w:rsid w:val="00E16E84"/>
    <w:rsid w:val="00E16F2F"/>
    <w:rsid w:val="00E1705B"/>
    <w:rsid w:val="00E17374"/>
    <w:rsid w:val="00E1739C"/>
    <w:rsid w:val="00E17400"/>
    <w:rsid w:val="00E177B5"/>
    <w:rsid w:val="00E17A51"/>
    <w:rsid w:val="00E17BDF"/>
    <w:rsid w:val="00E17DE6"/>
    <w:rsid w:val="00E17E10"/>
    <w:rsid w:val="00E20196"/>
    <w:rsid w:val="00E20C21"/>
    <w:rsid w:val="00E210F6"/>
    <w:rsid w:val="00E21744"/>
    <w:rsid w:val="00E21987"/>
    <w:rsid w:val="00E21B88"/>
    <w:rsid w:val="00E22009"/>
    <w:rsid w:val="00E22224"/>
    <w:rsid w:val="00E222CA"/>
    <w:rsid w:val="00E22793"/>
    <w:rsid w:val="00E22B5C"/>
    <w:rsid w:val="00E22BAC"/>
    <w:rsid w:val="00E22C63"/>
    <w:rsid w:val="00E22C97"/>
    <w:rsid w:val="00E22DB0"/>
    <w:rsid w:val="00E22F36"/>
    <w:rsid w:val="00E22FC2"/>
    <w:rsid w:val="00E23412"/>
    <w:rsid w:val="00E23505"/>
    <w:rsid w:val="00E23581"/>
    <w:rsid w:val="00E2369D"/>
    <w:rsid w:val="00E239DD"/>
    <w:rsid w:val="00E239E6"/>
    <w:rsid w:val="00E23D2F"/>
    <w:rsid w:val="00E23FE8"/>
    <w:rsid w:val="00E2451F"/>
    <w:rsid w:val="00E246D5"/>
    <w:rsid w:val="00E24868"/>
    <w:rsid w:val="00E24A14"/>
    <w:rsid w:val="00E24C7C"/>
    <w:rsid w:val="00E24D6E"/>
    <w:rsid w:val="00E24F40"/>
    <w:rsid w:val="00E25135"/>
    <w:rsid w:val="00E25337"/>
    <w:rsid w:val="00E25B71"/>
    <w:rsid w:val="00E25CF7"/>
    <w:rsid w:val="00E25F5B"/>
    <w:rsid w:val="00E2640C"/>
    <w:rsid w:val="00E2670E"/>
    <w:rsid w:val="00E26727"/>
    <w:rsid w:val="00E2781E"/>
    <w:rsid w:val="00E27BBF"/>
    <w:rsid w:val="00E27CD1"/>
    <w:rsid w:val="00E27DED"/>
    <w:rsid w:val="00E27E56"/>
    <w:rsid w:val="00E30232"/>
    <w:rsid w:val="00E307D2"/>
    <w:rsid w:val="00E30AAD"/>
    <w:rsid w:val="00E31091"/>
    <w:rsid w:val="00E31255"/>
    <w:rsid w:val="00E31385"/>
    <w:rsid w:val="00E3141F"/>
    <w:rsid w:val="00E31853"/>
    <w:rsid w:val="00E31C45"/>
    <w:rsid w:val="00E31C64"/>
    <w:rsid w:val="00E3204F"/>
    <w:rsid w:val="00E321F3"/>
    <w:rsid w:val="00E322D3"/>
    <w:rsid w:val="00E3253C"/>
    <w:rsid w:val="00E32600"/>
    <w:rsid w:val="00E3261E"/>
    <w:rsid w:val="00E3269E"/>
    <w:rsid w:val="00E3275F"/>
    <w:rsid w:val="00E32A6C"/>
    <w:rsid w:val="00E33133"/>
    <w:rsid w:val="00E33A76"/>
    <w:rsid w:val="00E33BA9"/>
    <w:rsid w:val="00E33EFC"/>
    <w:rsid w:val="00E33F46"/>
    <w:rsid w:val="00E3428E"/>
    <w:rsid w:val="00E34E53"/>
    <w:rsid w:val="00E34ED2"/>
    <w:rsid w:val="00E350D6"/>
    <w:rsid w:val="00E352A2"/>
    <w:rsid w:val="00E355CA"/>
    <w:rsid w:val="00E3599B"/>
    <w:rsid w:val="00E35A26"/>
    <w:rsid w:val="00E35D4E"/>
    <w:rsid w:val="00E360B9"/>
    <w:rsid w:val="00E363A6"/>
    <w:rsid w:val="00E36423"/>
    <w:rsid w:val="00E3648F"/>
    <w:rsid w:val="00E366A7"/>
    <w:rsid w:val="00E36EDF"/>
    <w:rsid w:val="00E36FC8"/>
    <w:rsid w:val="00E3723C"/>
    <w:rsid w:val="00E372C2"/>
    <w:rsid w:val="00E37379"/>
    <w:rsid w:val="00E37384"/>
    <w:rsid w:val="00E3747C"/>
    <w:rsid w:val="00E3749B"/>
    <w:rsid w:val="00E37A15"/>
    <w:rsid w:val="00E37A3C"/>
    <w:rsid w:val="00E37CC9"/>
    <w:rsid w:val="00E37E67"/>
    <w:rsid w:val="00E40023"/>
    <w:rsid w:val="00E40368"/>
    <w:rsid w:val="00E40AAC"/>
    <w:rsid w:val="00E40E57"/>
    <w:rsid w:val="00E412CB"/>
    <w:rsid w:val="00E41889"/>
    <w:rsid w:val="00E41D97"/>
    <w:rsid w:val="00E42054"/>
    <w:rsid w:val="00E42255"/>
    <w:rsid w:val="00E424D3"/>
    <w:rsid w:val="00E4267B"/>
    <w:rsid w:val="00E428BD"/>
    <w:rsid w:val="00E42B0F"/>
    <w:rsid w:val="00E42F0E"/>
    <w:rsid w:val="00E42FBD"/>
    <w:rsid w:val="00E43021"/>
    <w:rsid w:val="00E4302C"/>
    <w:rsid w:val="00E4308A"/>
    <w:rsid w:val="00E4321E"/>
    <w:rsid w:val="00E43677"/>
    <w:rsid w:val="00E43BF8"/>
    <w:rsid w:val="00E442A8"/>
    <w:rsid w:val="00E442B2"/>
    <w:rsid w:val="00E44BEE"/>
    <w:rsid w:val="00E44F1D"/>
    <w:rsid w:val="00E45263"/>
    <w:rsid w:val="00E45630"/>
    <w:rsid w:val="00E4586A"/>
    <w:rsid w:val="00E459DF"/>
    <w:rsid w:val="00E45DDB"/>
    <w:rsid w:val="00E45E6E"/>
    <w:rsid w:val="00E460B4"/>
    <w:rsid w:val="00E4616D"/>
    <w:rsid w:val="00E4636D"/>
    <w:rsid w:val="00E4653C"/>
    <w:rsid w:val="00E469A6"/>
    <w:rsid w:val="00E46F99"/>
    <w:rsid w:val="00E47CE9"/>
    <w:rsid w:val="00E5021D"/>
    <w:rsid w:val="00E5024F"/>
    <w:rsid w:val="00E5042A"/>
    <w:rsid w:val="00E507E5"/>
    <w:rsid w:val="00E511DF"/>
    <w:rsid w:val="00E51319"/>
    <w:rsid w:val="00E51591"/>
    <w:rsid w:val="00E51A4B"/>
    <w:rsid w:val="00E520A1"/>
    <w:rsid w:val="00E520F7"/>
    <w:rsid w:val="00E52132"/>
    <w:rsid w:val="00E52255"/>
    <w:rsid w:val="00E522DE"/>
    <w:rsid w:val="00E523DF"/>
    <w:rsid w:val="00E5247E"/>
    <w:rsid w:val="00E525B3"/>
    <w:rsid w:val="00E5266A"/>
    <w:rsid w:val="00E5266B"/>
    <w:rsid w:val="00E529AE"/>
    <w:rsid w:val="00E52B94"/>
    <w:rsid w:val="00E5353E"/>
    <w:rsid w:val="00E53994"/>
    <w:rsid w:val="00E53C2B"/>
    <w:rsid w:val="00E54215"/>
    <w:rsid w:val="00E5434B"/>
    <w:rsid w:val="00E54364"/>
    <w:rsid w:val="00E543B1"/>
    <w:rsid w:val="00E545AE"/>
    <w:rsid w:val="00E5492A"/>
    <w:rsid w:val="00E54E15"/>
    <w:rsid w:val="00E54FF7"/>
    <w:rsid w:val="00E550AC"/>
    <w:rsid w:val="00E55566"/>
    <w:rsid w:val="00E5574D"/>
    <w:rsid w:val="00E55865"/>
    <w:rsid w:val="00E55C5C"/>
    <w:rsid w:val="00E5636F"/>
    <w:rsid w:val="00E563D2"/>
    <w:rsid w:val="00E563F3"/>
    <w:rsid w:val="00E5653A"/>
    <w:rsid w:val="00E56651"/>
    <w:rsid w:val="00E56754"/>
    <w:rsid w:val="00E56775"/>
    <w:rsid w:val="00E569BA"/>
    <w:rsid w:val="00E56C3D"/>
    <w:rsid w:val="00E573E6"/>
    <w:rsid w:val="00E574D5"/>
    <w:rsid w:val="00E575AA"/>
    <w:rsid w:val="00E57764"/>
    <w:rsid w:val="00E578D6"/>
    <w:rsid w:val="00E57913"/>
    <w:rsid w:val="00E57953"/>
    <w:rsid w:val="00E601B2"/>
    <w:rsid w:val="00E608E0"/>
    <w:rsid w:val="00E60A38"/>
    <w:rsid w:val="00E60B3B"/>
    <w:rsid w:val="00E60CFA"/>
    <w:rsid w:val="00E60F38"/>
    <w:rsid w:val="00E60F58"/>
    <w:rsid w:val="00E6103D"/>
    <w:rsid w:val="00E611F5"/>
    <w:rsid w:val="00E61378"/>
    <w:rsid w:val="00E61395"/>
    <w:rsid w:val="00E6171F"/>
    <w:rsid w:val="00E61CF4"/>
    <w:rsid w:val="00E61DC6"/>
    <w:rsid w:val="00E620E8"/>
    <w:rsid w:val="00E62964"/>
    <w:rsid w:val="00E62B07"/>
    <w:rsid w:val="00E62B94"/>
    <w:rsid w:val="00E62E8F"/>
    <w:rsid w:val="00E62EB8"/>
    <w:rsid w:val="00E63244"/>
    <w:rsid w:val="00E63420"/>
    <w:rsid w:val="00E637B1"/>
    <w:rsid w:val="00E6382D"/>
    <w:rsid w:val="00E638F2"/>
    <w:rsid w:val="00E63B89"/>
    <w:rsid w:val="00E63D71"/>
    <w:rsid w:val="00E63E3D"/>
    <w:rsid w:val="00E63EAA"/>
    <w:rsid w:val="00E640B3"/>
    <w:rsid w:val="00E644DB"/>
    <w:rsid w:val="00E644F3"/>
    <w:rsid w:val="00E64627"/>
    <w:rsid w:val="00E647F0"/>
    <w:rsid w:val="00E64AEF"/>
    <w:rsid w:val="00E64C72"/>
    <w:rsid w:val="00E64C93"/>
    <w:rsid w:val="00E64FC9"/>
    <w:rsid w:val="00E652C1"/>
    <w:rsid w:val="00E65359"/>
    <w:rsid w:val="00E66134"/>
    <w:rsid w:val="00E661DD"/>
    <w:rsid w:val="00E6635E"/>
    <w:rsid w:val="00E664A1"/>
    <w:rsid w:val="00E66516"/>
    <w:rsid w:val="00E66536"/>
    <w:rsid w:val="00E66665"/>
    <w:rsid w:val="00E669E6"/>
    <w:rsid w:val="00E66A75"/>
    <w:rsid w:val="00E670E7"/>
    <w:rsid w:val="00E6726E"/>
    <w:rsid w:val="00E67285"/>
    <w:rsid w:val="00E67533"/>
    <w:rsid w:val="00E675A1"/>
    <w:rsid w:val="00E67903"/>
    <w:rsid w:val="00E67C66"/>
    <w:rsid w:val="00E67EAD"/>
    <w:rsid w:val="00E704DD"/>
    <w:rsid w:val="00E705B9"/>
    <w:rsid w:val="00E705C7"/>
    <w:rsid w:val="00E706FD"/>
    <w:rsid w:val="00E707B1"/>
    <w:rsid w:val="00E70990"/>
    <w:rsid w:val="00E710AB"/>
    <w:rsid w:val="00E71119"/>
    <w:rsid w:val="00E71144"/>
    <w:rsid w:val="00E711C3"/>
    <w:rsid w:val="00E721CB"/>
    <w:rsid w:val="00E7242C"/>
    <w:rsid w:val="00E726CA"/>
    <w:rsid w:val="00E72A3F"/>
    <w:rsid w:val="00E72DB4"/>
    <w:rsid w:val="00E72E34"/>
    <w:rsid w:val="00E72F80"/>
    <w:rsid w:val="00E730D9"/>
    <w:rsid w:val="00E73236"/>
    <w:rsid w:val="00E7342D"/>
    <w:rsid w:val="00E73433"/>
    <w:rsid w:val="00E73701"/>
    <w:rsid w:val="00E737AF"/>
    <w:rsid w:val="00E7427D"/>
    <w:rsid w:val="00E74419"/>
    <w:rsid w:val="00E746AC"/>
    <w:rsid w:val="00E75201"/>
    <w:rsid w:val="00E75302"/>
    <w:rsid w:val="00E7536C"/>
    <w:rsid w:val="00E7552B"/>
    <w:rsid w:val="00E75A70"/>
    <w:rsid w:val="00E761D3"/>
    <w:rsid w:val="00E761F9"/>
    <w:rsid w:val="00E7657E"/>
    <w:rsid w:val="00E766B0"/>
    <w:rsid w:val="00E767C4"/>
    <w:rsid w:val="00E7689E"/>
    <w:rsid w:val="00E769CA"/>
    <w:rsid w:val="00E76C5C"/>
    <w:rsid w:val="00E76F72"/>
    <w:rsid w:val="00E77162"/>
    <w:rsid w:val="00E771D4"/>
    <w:rsid w:val="00E77580"/>
    <w:rsid w:val="00E776EE"/>
    <w:rsid w:val="00E779F4"/>
    <w:rsid w:val="00E77FD0"/>
    <w:rsid w:val="00E803A7"/>
    <w:rsid w:val="00E807DC"/>
    <w:rsid w:val="00E80997"/>
    <w:rsid w:val="00E80B32"/>
    <w:rsid w:val="00E80B35"/>
    <w:rsid w:val="00E80E2A"/>
    <w:rsid w:val="00E819AA"/>
    <w:rsid w:val="00E81D86"/>
    <w:rsid w:val="00E81F4F"/>
    <w:rsid w:val="00E82082"/>
    <w:rsid w:val="00E82785"/>
    <w:rsid w:val="00E828A8"/>
    <w:rsid w:val="00E828B7"/>
    <w:rsid w:val="00E831F5"/>
    <w:rsid w:val="00E8382C"/>
    <w:rsid w:val="00E839C5"/>
    <w:rsid w:val="00E83C59"/>
    <w:rsid w:val="00E83C9F"/>
    <w:rsid w:val="00E83DF9"/>
    <w:rsid w:val="00E83E08"/>
    <w:rsid w:val="00E83E0F"/>
    <w:rsid w:val="00E84028"/>
    <w:rsid w:val="00E84048"/>
    <w:rsid w:val="00E8429E"/>
    <w:rsid w:val="00E842DD"/>
    <w:rsid w:val="00E845C9"/>
    <w:rsid w:val="00E847A2"/>
    <w:rsid w:val="00E84984"/>
    <w:rsid w:val="00E84C60"/>
    <w:rsid w:val="00E85641"/>
    <w:rsid w:val="00E85675"/>
    <w:rsid w:val="00E85C00"/>
    <w:rsid w:val="00E85DCA"/>
    <w:rsid w:val="00E86155"/>
    <w:rsid w:val="00E86159"/>
    <w:rsid w:val="00E86839"/>
    <w:rsid w:val="00E868E9"/>
    <w:rsid w:val="00E86B7A"/>
    <w:rsid w:val="00E86F93"/>
    <w:rsid w:val="00E8707F"/>
    <w:rsid w:val="00E87182"/>
    <w:rsid w:val="00E87678"/>
    <w:rsid w:val="00E87683"/>
    <w:rsid w:val="00E87E4E"/>
    <w:rsid w:val="00E90357"/>
    <w:rsid w:val="00E904CF"/>
    <w:rsid w:val="00E90C30"/>
    <w:rsid w:val="00E90E7D"/>
    <w:rsid w:val="00E9105A"/>
    <w:rsid w:val="00E9132C"/>
    <w:rsid w:val="00E91379"/>
    <w:rsid w:val="00E915EB"/>
    <w:rsid w:val="00E91DDF"/>
    <w:rsid w:val="00E92341"/>
    <w:rsid w:val="00E925B7"/>
    <w:rsid w:val="00E92A67"/>
    <w:rsid w:val="00E930CE"/>
    <w:rsid w:val="00E93182"/>
    <w:rsid w:val="00E933C6"/>
    <w:rsid w:val="00E933F7"/>
    <w:rsid w:val="00E93585"/>
    <w:rsid w:val="00E936AA"/>
    <w:rsid w:val="00E938DC"/>
    <w:rsid w:val="00E93A4B"/>
    <w:rsid w:val="00E93FD1"/>
    <w:rsid w:val="00E940AE"/>
    <w:rsid w:val="00E94310"/>
    <w:rsid w:val="00E944F0"/>
    <w:rsid w:val="00E9466E"/>
    <w:rsid w:val="00E9493E"/>
    <w:rsid w:val="00E94E22"/>
    <w:rsid w:val="00E9587F"/>
    <w:rsid w:val="00E95AA7"/>
    <w:rsid w:val="00E95ED5"/>
    <w:rsid w:val="00E96027"/>
    <w:rsid w:val="00E960C2"/>
    <w:rsid w:val="00E960E6"/>
    <w:rsid w:val="00E9610F"/>
    <w:rsid w:val="00E962F7"/>
    <w:rsid w:val="00E965F3"/>
    <w:rsid w:val="00E96703"/>
    <w:rsid w:val="00E96A04"/>
    <w:rsid w:val="00E96C20"/>
    <w:rsid w:val="00E96C4F"/>
    <w:rsid w:val="00E96EC6"/>
    <w:rsid w:val="00E97633"/>
    <w:rsid w:val="00E97A7C"/>
    <w:rsid w:val="00E97B68"/>
    <w:rsid w:val="00E97D5F"/>
    <w:rsid w:val="00EA01FA"/>
    <w:rsid w:val="00EA0431"/>
    <w:rsid w:val="00EA0727"/>
    <w:rsid w:val="00EA07B8"/>
    <w:rsid w:val="00EA097E"/>
    <w:rsid w:val="00EA0AEB"/>
    <w:rsid w:val="00EA0C4A"/>
    <w:rsid w:val="00EA0D18"/>
    <w:rsid w:val="00EA0DF7"/>
    <w:rsid w:val="00EA0FD0"/>
    <w:rsid w:val="00EA17D1"/>
    <w:rsid w:val="00EA19B0"/>
    <w:rsid w:val="00EA1B1A"/>
    <w:rsid w:val="00EA1C3C"/>
    <w:rsid w:val="00EA1DA3"/>
    <w:rsid w:val="00EA2515"/>
    <w:rsid w:val="00EA273A"/>
    <w:rsid w:val="00EA2D87"/>
    <w:rsid w:val="00EA2E07"/>
    <w:rsid w:val="00EA39E4"/>
    <w:rsid w:val="00EA3C14"/>
    <w:rsid w:val="00EA3F39"/>
    <w:rsid w:val="00EA428B"/>
    <w:rsid w:val="00EA43CD"/>
    <w:rsid w:val="00EA4529"/>
    <w:rsid w:val="00EA498A"/>
    <w:rsid w:val="00EA4D44"/>
    <w:rsid w:val="00EA50A4"/>
    <w:rsid w:val="00EA5138"/>
    <w:rsid w:val="00EA51B7"/>
    <w:rsid w:val="00EA5434"/>
    <w:rsid w:val="00EA5D1B"/>
    <w:rsid w:val="00EA62A0"/>
    <w:rsid w:val="00EA6315"/>
    <w:rsid w:val="00EA640C"/>
    <w:rsid w:val="00EA64BE"/>
    <w:rsid w:val="00EA681C"/>
    <w:rsid w:val="00EA68D6"/>
    <w:rsid w:val="00EA6991"/>
    <w:rsid w:val="00EA6B9C"/>
    <w:rsid w:val="00EA6CBF"/>
    <w:rsid w:val="00EA6E9B"/>
    <w:rsid w:val="00EA6FC8"/>
    <w:rsid w:val="00EA720B"/>
    <w:rsid w:val="00EA73D7"/>
    <w:rsid w:val="00EA76CC"/>
    <w:rsid w:val="00EA77E5"/>
    <w:rsid w:val="00EA7A23"/>
    <w:rsid w:val="00EA7AC9"/>
    <w:rsid w:val="00EA7CBF"/>
    <w:rsid w:val="00EA7D94"/>
    <w:rsid w:val="00EB00DB"/>
    <w:rsid w:val="00EB00F7"/>
    <w:rsid w:val="00EB0498"/>
    <w:rsid w:val="00EB0D0C"/>
    <w:rsid w:val="00EB159A"/>
    <w:rsid w:val="00EB16A0"/>
    <w:rsid w:val="00EB1ABB"/>
    <w:rsid w:val="00EB1DF2"/>
    <w:rsid w:val="00EB1FB7"/>
    <w:rsid w:val="00EB2A2E"/>
    <w:rsid w:val="00EB2B74"/>
    <w:rsid w:val="00EB2CE4"/>
    <w:rsid w:val="00EB2D9D"/>
    <w:rsid w:val="00EB31BB"/>
    <w:rsid w:val="00EB3258"/>
    <w:rsid w:val="00EB3771"/>
    <w:rsid w:val="00EB3A11"/>
    <w:rsid w:val="00EB3BD1"/>
    <w:rsid w:val="00EB3CB5"/>
    <w:rsid w:val="00EB41EF"/>
    <w:rsid w:val="00EB4667"/>
    <w:rsid w:val="00EB4671"/>
    <w:rsid w:val="00EB51F6"/>
    <w:rsid w:val="00EB53C0"/>
    <w:rsid w:val="00EB5AA3"/>
    <w:rsid w:val="00EB5D53"/>
    <w:rsid w:val="00EB5DF3"/>
    <w:rsid w:val="00EB61A0"/>
    <w:rsid w:val="00EB6F90"/>
    <w:rsid w:val="00EB6FBB"/>
    <w:rsid w:val="00EB7160"/>
    <w:rsid w:val="00EB7285"/>
    <w:rsid w:val="00EB72B9"/>
    <w:rsid w:val="00EB77C2"/>
    <w:rsid w:val="00EB7855"/>
    <w:rsid w:val="00EB7AAA"/>
    <w:rsid w:val="00EB7B8E"/>
    <w:rsid w:val="00EB7EBC"/>
    <w:rsid w:val="00EB7EC9"/>
    <w:rsid w:val="00EB7F1A"/>
    <w:rsid w:val="00EC04BF"/>
    <w:rsid w:val="00EC0501"/>
    <w:rsid w:val="00EC066A"/>
    <w:rsid w:val="00EC0866"/>
    <w:rsid w:val="00EC09C8"/>
    <w:rsid w:val="00EC0A14"/>
    <w:rsid w:val="00EC0E05"/>
    <w:rsid w:val="00EC0E7B"/>
    <w:rsid w:val="00EC1BBE"/>
    <w:rsid w:val="00EC1EDD"/>
    <w:rsid w:val="00EC1EFC"/>
    <w:rsid w:val="00EC2E1D"/>
    <w:rsid w:val="00EC35AF"/>
    <w:rsid w:val="00EC366F"/>
    <w:rsid w:val="00EC3AA1"/>
    <w:rsid w:val="00EC3C57"/>
    <w:rsid w:val="00EC42F7"/>
    <w:rsid w:val="00EC4846"/>
    <w:rsid w:val="00EC4C2A"/>
    <w:rsid w:val="00EC506A"/>
    <w:rsid w:val="00EC569B"/>
    <w:rsid w:val="00EC5C91"/>
    <w:rsid w:val="00EC5CB3"/>
    <w:rsid w:val="00EC5E28"/>
    <w:rsid w:val="00EC5E2C"/>
    <w:rsid w:val="00EC5ED7"/>
    <w:rsid w:val="00EC5EFD"/>
    <w:rsid w:val="00EC60C9"/>
    <w:rsid w:val="00EC6124"/>
    <w:rsid w:val="00EC6231"/>
    <w:rsid w:val="00EC638C"/>
    <w:rsid w:val="00EC6972"/>
    <w:rsid w:val="00EC6CED"/>
    <w:rsid w:val="00EC6DF7"/>
    <w:rsid w:val="00EC74B0"/>
    <w:rsid w:val="00EC751C"/>
    <w:rsid w:val="00EC7792"/>
    <w:rsid w:val="00EC77D4"/>
    <w:rsid w:val="00EC78A5"/>
    <w:rsid w:val="00ED0174"/>
    <w:rsid w:val="00ED022D"/>
    <w:rsid w:val="00ED0590"/>
    <w:rsid w:val="00ED070D"/>
    <w:rsid w:val="00ED07BC"/>
    <w:rsid w:val="00ED0D77"/>
    <w:rsid w:val="00ED0EDC"/>
    <w:rsid w:val="00ED10E4"/>
    <w:rsid w:val="00ED13AF"/>
    <w:rsid w:val="00ED186C"/>
    <w:rsid w:val="00ED1A30"/>
    <w:rsid w:val="00ED1BF9"/>
    <w:rsid w:val="00ED1DCE"/>
    <w:rsid w:val="00ED2756"/>
    <w:rsid w:val="00ED27ED"/>
    <w:rsid w:val="00ED28E1"/>
    <w:rsid w:val="00ED2BE9"/>
    <w:rsid w:val="00ED2E53"/>
    <w:rsid w:val="00ED300D"/>
    <w:rsid w:val="00ED35B6"/>
    <w:rsid w:val="00ED3AA2"/>
    <w:rsid w:val="00ED3D6F"/>
    <w:rsid w:val="00ED3FD6"/>
    <w:rsid w:val="00ED408C"/>
    <w:rsid w:val="00ED4263"/>
    <w:rsid w:val="00ED4446"/>
    <w:rsid w:val="00ED4561"/>
    <w:rsid w:val="00ED4A5A"/>
    <w:rsid w:val="00ED4B8F"/>
    <w:rsid w:val="00ED4D58"/>
    <w:rsid w:val="00ED4F89"/>
    <w:rsid w:val="00ED4FCF"/>
    <w:rsid w:val="00ED527C"/>
    <w:rsid w:val="00ED59A0"/>
    <w:rsid w:val="00ED5EDF"/>
    <w:rsid w:val="00ED605A"/>
    <w:rsid w:val="00ED60EC"/>
    <w:rsid w:val="00ED6392"/>
    <w:rsid w:val="00ED641E"/>
    <w:rsid w:val="00ED692D"/>
    <w:rsid w:val="00ED69EB"/>
    <w:rsid w:val="00ED6A2F"/>
    <w:rsid w:val="00ED6B76"/>
    <w:rsid w:val="00ED7061"/>
    <w:rsid w:val="00ED7382"/>
    <w:rsid w:val="00ED7453"/>
    <w:rsid w:val="00ED75C7"/>
    <w:rsid w:val="00ED7692"/>
    <w:rsid w:val="00ED7767"/>
    <w:rsid w:val="00ED7A6A"/>
    <w:rsid w:val="00EE05E6"/>
    <w:rsid w:val="00EE0698"/>
    <w:rsid w:val="00EE0724"/>
    <w:rsid w:val="00EE0BE5"/>
    <w:rsid w:val="00EE136D"/>
    <w:rsid w:val="00EE1659"/>
    <w:rsid w:val="00EE192A"/>
    <w:rsid w:val="00EE204C"/>
    <w:rsid w:val="00EE26A1"/>
    <w:rsid w:val="00EE2757"/>
    <w:rsid w:val="00EE278D"/>
    <w:rsid w:val="00EE28F8"/>
    <w:rsid w:val="00EE2BB1"/>
    <w:rsid w:val="00EE2EF3"/>
    <w:rsid w:val="00EE329B"/>
    <w:rsid w:val="00EE3502"/>
    <w:rsid w:val="00EE39C7"/>
    <w:rsid w:val="00EE39CD"/>
    <w:rsid w:val="00EE47BA"/>
    <w:rsid w:val="00EE4884"/>
    <w:rsid w:val="00EE4BBC"/>
    <w:rsid w:val="00EE4BC2"/>
    <w:rsid w:val="00EE563E"/>
    <w:rsid w:val="00EE5646"/>
    <w:rsid w:val="00EE5ACC"/>
    <w:rsid w:val="00EE61EB"/>
    <w:rsid w:val="00EE6417"/>
    <w:rsid w:val="00EE64EA"/>
    <w:rsid w:val="00EE65F9"/>
    <w:rsid w:val="00EE6C04"/>
    <w:rsid w:val="00EE6C29"/>
    <w:rsid w:val="00EE6D80"/>
    <w:rsid w:val="00EE70C3"/>
    <w:rsid w:val="00EE742F"/>
    <w:rsid w:val="00EE7554"/>
    <w:rsid w:val="00EE7DFE"/>
    <w:rsid w:val="00EF0317"/>
    <w:rsid w:val="00EF066D"/>
    <w:rsid w:val="00EF0A6C"/>
    <w:rsid w:val="00EF0DA6"/>
    <w:rsid w:val="00EF0DE5"/>
    <w:rsid w:val="00EF11FB"/>
    <w:rsid w:val="00EF1439"/>
    <w:rsid w:val="00EF14A0"/>
    <w:rsid w:val="00EF1D02"/>
    <w:rsid w:val="00EF210D"/>
    <w:rsid w:val="00EF22FB"/>
    <w:rsid w:val="00EF2377"/>
    <w:rsid w:val="00EF2388"/>
    <w:rsid w:val="00EF2D27"/>
    <w:rsid w:val="00EF2DE8"/>
    <w:rsid w:val="00EF3286"/>
    <w:rsid w:val="00EF3472"/>
    <w:rsid w:val="00EF359B"/>
    <w:rsid w:val="00EF3D69"/>
    <w:rsid w:val="00EF42A5"/>
    <w:rsid w:val="00EF46CE"/>
    <w:rsid w:val="00EF4CEC"/>
    <w:rsid w:val="00EF5135"/>
    <w:rsid w:val="00EF5366"/>
    <w:rsid w:val="00EF5993"/>
    <w:rsid w:val="00EF5AED"/>
    <w:rsid w:val="00EF5C5D"/>
    <w:rsid w:val="00EF6074"/>
    <w:rsid w:val="00EF6185"/>
    <w:rsid w:val="00EF618D"/>
    <w:rsid w:val="00EF66F6"/>
    <w:rsid w:val="00EF6848"/>
    <w:rsid w:val="00EF6976"/>
    <w:rsid w:val="00EF6AC7"/>
    <w:rsid w:val="00EF6FEF"/>
    <w:rsid w:val="00EF7406"/>
    <w:rsid w:val="00EF74E8"/>
    <w:rsid w:val="00EF7707"/>
    <w:rsid w:val="00EF7AE2"/>
    <w:rsid w:val="00EF7F0D"/>
    <w:rsid w:val="00F00050"/>
    <w:rsid w:val="00F00131"/>
    <w:rsid w:val="00F0074E"/>
    <w:rsid w:val="00F0083A"/>
    <w:rsid w:val="00F00AE5"/>
    <w:rsid w:val="00F00D47"/>
    <w:rsid w:val="00F00FC7"/>
    <w:rsid w:val="00F01201"/>
    <w:rsid w:val="00F014B4"/>
    <w:rsid w:val="00F017CB"/>
    <w:rsid w:val="00F017E3"/>
    <w:rsid w:val="00F01BE8"/>
    <w:rsid w:val="00F01E18"/>
    <w:rsid w:val="00F0206E"/>
    <w:rsid w:val="00F021C6"/>
    <w:rsid w:val="00F02768"/>
    <w:rsid w:val="00F02893"/>
    <w:rsid w:val="00F029C0"/>
    <w:rsid w:val="00F02B16"/>
    <w:rsid w:val="00F02C3A"/>
    <w:rsid w:val="00F02F62"/>
    <w:rsid w:val="00F032DB"/>
    <w:rsid w:val="00F034A7"/>
    <w:rsid w:val="00F03566"/>
    <w:rsid w:val="00F03612"/>
    <w:rsid w:val="00F03B9D"/>
    <w:rsid w:val="00F03E48"/>
    <w:rsid w:val="00F040A8"/>
    <w:rsid w:val="00F04226"/>
    <w:rsid w:val="00F04447"/>
    <w:rsid w:val="00F049EA"/>
    <w:rsid w:val="00F04B43"/>
    <w:rsid w:val="00F04CAD"/>
    <w:rsid w:val="00F04FC4"/>
    <w:rsid w:val="00F05204"/>
    <w:rsid w:val="00F057B4"/>
    <w:rsid w:val="00F05ADD"/>
    <w:rsid w:val="00F05EA7"/>
    <w:rsid w:val="00F05F1D"/>
    <w:rsid w:val="00F05FA6"/>
    <w:rsid w:val="00F06BF3"/>
    <w:rsid w:val="00F079DA"/>
    <w:rsid w:val="00F07D21"/>
    <w:rsid w:val="00F101A8"/>
    <w:rsid w:val="00F101F4"/>
    <w:rsid w:val="00F10255"/>
    <w:rsid w:val="00F104FE"/>
    <w:rsid w:val="00F1069C"/>
    <w:rsid w:val="00F10724"/>
    <w:rsid w:val="00F10BAB"/>
    <w:rsid w:val="00F11190"/>
    <w:rsid w:val="00F117AE"/>
    <w:rsid w:val="00F119CA"/>
    <w:rsid w:val="00F11A90"/>
    <w:rsid w:val="00F11BA5"/>
    <w:rsid w:val="00F11D2C"/>
    <w:rsid w:val="00F11D43"/>
    <w:rsid w:val="00F121F3"/>
    <w:rsid w:val="00F12851"/>
    <w:rsid w:val="00F12DFF"/>
    <w:rsid w:val="00F1334A"/>
    <w:rsid w:val="00F13779"/>
    <w:rsid w:val="00F1387D"/>
    <w:rsid w:val="00F13C9C"/>
    <w:rsid w:val="00F13E09"/>
    <w:rsid w:val="00F13EE4"/>
    <w:rsid w:val="00F13F77"/>
    <w:rsid w:val="00F142DD"/>
    <w:rsid w:val="00F14492"/>
    <w:rsid w:val="00F14741"/>
    <w:rsid w:val="00F1475A"/>
    <w:rsid w:val="00F148CC"/>
    <w:rsid w:val="00F14E17"/>
    <w:rsid w:val="00F14E1D"/>
    <w:rsid w:val="00F14E7C"/>
    <w:rsid w:val="00F14F6D"/>
    <w:rsid w:val="00F15020"/>
    <w:rsid w:val="00F15733"/>
    <w:rsid w:val="00F1590D"/>
    <w:rsid w:val="00F16B65"/>
    <w:rsid w:val="00F17495"/>
    <w:rsid w:val="00F17904"/>
    <w:rsid w:val="00F17B4C"/>
    <w:rsid w:val="00F17BF9"/>
    <w:rsid w:val="00F20337"/>
    <w:rsid w:val="00F204FC"/>
    <w:rsid w:val="00F20555"/>
    <w:rsid w:val="00F205FA"/>
    <w:rsid w:val="00F20781"/>
    <w:rsid w:val="00F207CC"/>
    <w:rsid w:val="00F20A19"/>
    <w:rsid w:val="00F20B82"/>
    <w:rsid w:val="00F2113E"/>
    <w:rsid w:val="00F217FD"/>
    <w:rsid w:val="00F21A7A"/>
    <w:rsid w:val="00F2251E"/>
    <w:rsid w:val="00F227DC"/>
    <w:rsid w:val="00F228DE"/>
    <w:rsid w:val="00F2296E"/>
    <w:rsid w:val="00F22AE1"/>
    <w:rsid w:val="00F22CD5"/>
    <w:rsid w:val="00F2317E"/>
    <w:rsid w:val="00F23205"/>
    <w:rsid w:val="00F233DC"/>
    <w:rsid w:val="00F2386C"/>
    <w:rsid w:val="00F2424F"/>
    <w:rsid w:val="00F24279"/>
    <w:rsid w:val="00F24436"/>
    <w:rsid w:val="00F245B7"/>
    <w:rsid w:val="00F247DC"/>
    <w:rsid w:val="00F24DFC"/>
    <w:rsid w:val="00F25249"/>
    <w:rsid w:val="00F2544C"/>
    <w:rsid w:val="00F25B86"/>
    <w:rsid w:val="00F25E14"/>
    <w:rsid w:val="00F263F6"/>
    <w:rsid w:val="00F26623"/>
    <w:rsid w:val="00F26651"/>
    <w:rsid w:val="00F2688D"/>
    <w:rsid w:val="00F26D1A"/>
    <w:rsid w:val="00F26E25"/>
    <w:rsid w:val="00F2726E"/>
    <w:rsid w:val="00F275DA"/>
    <w:rsid w:val="00F277A2"/>
    <w:rsid w:val="00F277BC"/>
    <w:rsid w:val="00F278CE"/>
    <w:rsid w:val="00F278EC"/>
    <w:rsid w:val="00F27AE2"/>
    <w:rsid w:val="00F27BBE"/>
    <w:rsid w:val="00F27D6D"/>
    <w:rsid w:val="00F303B3"/>
    <w:rsid w:val="00F30A65"/>
    <w:rsid w:val="00F30D57"/>
    <w:rsid w:val="00F30D77"/>
    <w:rsid w:val="00F3102F"/>
    <w:rsid w:val="00F310E6"/>
    <w:rsid w:val="00F31379"/>
    <w:rsid w:val="00F318A2"/>
    <w:rsid w:val="00F31B0D"/>
    <w:rsid w:val="00F31FC2"/>
    <w:rsid w:val="00F32156"/>
    <w:rsid w:val="00F3218E"/>
    <w:rsid w:val="00F32370"/>
    <w:rsid w:val="00F325E9"/>
    <w:rsid w:val="00F3281D"/>
    <w:rsid w:val="00F32878"/>
    <w:rsid w:val="00F32FD9"/>
    <w:rsid w:val="00F33200"/>
    <w:rsid w:val="00F332AF"/>
    <w:rsid w:val="00F3346A"/>
    <w:rsid w:val="00F33817"/>
    <w:rsid w:val="00F338DB"/>
    <w:rsid w:val="00F33E43"/>
    <w:rsid w:val="00F3429B"/>
    <w:rsid w:val="00F34621"/>
    <w:rsid w:val="00F34BA6"/>
    <w:rsid w:val="00F35286"/>
    <w:rsid w:val="00F3550A"/>
    <w:rsid w:val="00F35B91"/>
    <w:rsid w:val="00F35BA7"/>
    <w:rsid w:val="00F35BF5"/>
    <w:rsid w:val="00F36317"/>
    <w:rsid w:val="00F36342"/>
    <w:rsid w:val="00F367DC"/>
    <w:rsid w:val="00F36DD6"/>
    <w:rsid w:val="00F37314"/>
    <w:rsid w:val="00F375F2"/>
    <w:rsid w:val="00F379A6"/>
    <w:rsid w:val="00F379ED"/>
    <w:rsid w:val="00F37CFD"/>
    <w:rsid w:val="00F4035D"/>
    <w:rsid w:val="00F40AB1"/>
    <w:rsid w:val="00F40BFE"/>
    <w:rsid w:val="00F40D5D"/>
    <w:rsid w:val="00F40F80"/>
    <w:rsid w:val="00F416EB"/>
    <w:rsid w:val="00F419EA"/>
    <w:rsid w:val="00F41D29"/>
    <w:rsid w:val="00F41D86"/>
    <w:rsid w:val="00F4209D"/>
    <w:rsid w:val="00F4245C"/>
    <w:rsid w:val="00F42682"/>
    <w:rsid w:val="00F42690"/>
    <w:rsid w:val="00F42890"/>
    <w:rsid w:val="00F42D7E"/>
    <w:rsid w:val="00F43147"/>
    <w:rsid w:val="00F43353"/>
    <w:rsid w:val="00F434AB"/>
    <w:rsid w:val="00F437C5"/>
    <w:rsid w:val="00F43E41"/>
    <w:rsid w:val="00F44084"/>
    <w:rsid w:val="00F44796"/>
    <w:rsid w:val="00F44820"/>
    <w:rsid w:val="00F448C2"/>
    <w:rsid w:val="00F448F9"/>
    <w:rsid w:val="00F44A30"/>
    <w:rsid w:val="00F44D4A"/>
    <w:rsid w:val="00F45184"/>
    <w:rsid w:val="00F4531E"/>
    <w:rsid w:val="00F45588"/>
    <w:rsid w:val="00F456DB"/>
    <w:rsid w:val="00F4611D"/>
    <w:rsid w:val="00F4665E"/>
    <w:rsid w:val="00F466AC"/>
    <w:rsid w:val="00F46D02"/>
    <w:rsid w:val="00F46ECF"/>
    <w:rsid w:val="00F47165"/>
    <w:rsid w:val="00F471A6"/>
    <w:rsid w:val="00F47263"/>
    <w:rsid w:val="00F4772A"/>
    <w:rsid w:val="00F47AEA"/>
    <w:rsid w:val="00F47CC7"/>
    <w:rsid w:val="00F47D71"/>
    <w:rsid w:val="00F47EB6"/>
    <w:rsid w:val="00F47FFD"/>
    <w:rsid w:val="00F502B1"/>
    <w:rsid w:val="00F503B8"/>
    <w:rsid w:val="00F5068B"/>
    <w:rsid w:val="00F50709"/>
    <w:rsid w:val="00F5099B"/>
    <w:rsid w:val="00F50A0B"/>
    <w:rsid w:val="00F50BEC"/>
    <w:rsid w:val="00F50CCF"/>
    <w:rsid w:val="00F50DFB"/>
    <w:rsid w:val="00F50F2F"/>
    <w:rsid w:val="00F50FAA"/>
    <w:rsid w:val="00F5165D"/>
    <w:rsid w:val="00F51820"/>
    <w:rsid w:val="00F51C02"/>
    <w:rsid w:val="00F51E54"/>
    <w:rsid w:val="00F52021"/>
    <w:rsid w:val="00F5223B"/>
    <w:rsid w:val="00F5246B"/>
    <w:rsid w:val="00F5260A"/>
    <w:rsid w:val="00F52A60"/>
    <w:rsid w:val="00F52C07"/>
    <w:rsid w:val="00F52D52"/>
    <w:rsid w:val="00F532DE"/>
    <w:rsid w:val="00F53672"/>
    <w:rsid w:val="00F538E5"/>
    <w:rsid w:val="00F53932"/>
    <w:rsid w:val="00F53941"/>
    <w:rsid w:val="00F53CD6"/>
    <w:rsid w:val="00F5428B"/>
    <w:rsid w:val="00F54628"/>
    <w:rsid w:val="00F54902"/>
    <w:rsid w:val="00F55547"/>
    <w:rsid w:val="00F557D5"/>
    <w:rsid w:val="00F55C07"/>
    <w:rsid w:val="00F56342"/>
    <w:rsid w:val="00F567F6"/>
    <w:rsid w:val="00F56AF9"/>
    <w:rsid w:val="00F56CE7"/>
    <w:rsid w:val="00F5727C"/>
    <w:rsid w:val="00F57416"/>
    <w:rsid w:val="00F57A8B"/>
    <w:rsid w:val="00F601D7"/>
    <w:rsid w:val="00F6033A"/>
    <w:rsid w:val="00F604BF"/>
    <w:rsid w:val="00F606A8"/>
    <w:rsid w:val="00F609EF"/>
    <w:rsid w:val="00F609FF"/>
    <w:rsid w:val="00F60BAA"/>
    <w:rsid w:val="00F60F72"/>
    <w:rsid w:val="00F612C3"/>
    <w:rsid w:val="00F61BA3"/>
    <w:rsid w:val="00F620EC"/>
    <w:rsid w:val="00F625D1"/>
    <w:rsid w:val="00F6275A"/>
    <w:rsid w:val="00F6292C"/>
    <w:rsid w:val="00F62F46"/>
    <w:rsid w:val="00F630FE"/>
    <w:rsid w:val="00F63324"/>
    <w:rsid w:val="00F63D6B"/>
    <w:rsid w:val="00F63F11"/>
    <w:rsid w:val="00F63FC8"/>
    <w:rsid w:val="00F64046"/>
    <w:rsid w:val="00F644C5"/>
    <w:rsid w:val="00F64839"/>
    <w:rsid w:val="00F648B4"/>
    <w:rsid w:val="00F64D60"/>
    <w:rsid w:val="00F650CB"/>
    <w:rsid w:val="00F65428"/>
    <w:rsid w:val="00F65554"/>
    <w:rsid w:val="00F6556D"/>
    <w:rsid w:val="00F65762"/>
    <w:rsid w:val="00F66118"/>
    <w:rsid w:val="00F6636E"/>
    <w:rsid w:val="00F6664B"/>
    <w:rsid w:val="00F66667"/>
    <w:rsid w:val="00F666F4"/>
    <w:rsid w:val="00F669A3"/>
    <w:rsid w:val="00F66A36"/>
    <w:rsid w:val="00F66AD0"/>
    <w:rsid w:val="00F67015"/>
    <w:rsid w:val="00F67074"/>
    <w:rsid w:val="00F67562"/>
    <w:rsid w:val="00F67980"/>
    <w:rsid w:val="00F70212"/>
    <w:rsid w:val="00F705D5"/>
    <w:rsid w:val="00F70727"/>
    <w:rsid w:val="00F7073E"/>
    <w:rsid w:val="00F71415"/>
    <w:rsid w:val="00F71795"/>
    <w:rsid w:val="00F71939"/>
    <w:rsid w:val="00F71A68"/>
    <w:rsid w:val="00F71E73"/>
    <w:rsid w:val="00F721EE"/>
    <w:rsid w:val="00F723A1"/>
    <w:rsid w:val="00F72914"/>
    <w:rsid w:val="00F72A91"/>
    <w:rsid w:val="00F72B65"/>
    <w:rsid w:val="00F732F5"/>
    <w:rsid w:val="00F733BC"/>
    <w:rsid w:val="00F73472"/>
    <w:rsid w:val="00F73544"/>
    <w:rsid w:val="00F73761"/>
    <w:rsid w:val="00F7386C"/>
    <w:rsid w:val="00F73BDC"/>
    <w:rsid w:val="00F73C77"/>
    <w:rsid w:val="00F740DF"/>
    <w:rsid w:val="00F74156"/>
    <w:rsid w:val="00F74188"/>
    <w:rsid w:val="00F74484"/>
    <w:rsid w:val="00F74905"/>
    <w:rsid w:val="00F74E0F"/>
    <w:rsid w:val="00F74FC3"/>
    <w:rsid w:val="00F7513E"/>
    <w:rsid w:val="00F75286"/>
    <w:rsid w:val="00F7542C"/>
    <w:rsid w:val="00F755FD"/>
    <w:rsid w:val="00F75862"/>
    <w:rsid w:val="00F75A2F"/>
    <w:rsid w:val="00F76643"/>
    <w:rsid w:val="00F767E1"/>
    <w:rsid w:val="00F76843"/>
    <w:rsid w:val="00F76AD0"/>
    <w:rsid w:val="00F76B53"/>
    <w:rsid w:val="00F76D89"/>
    <w:rsid w:val="00F7701D"/>
    <w:rsid w:val="00F775D5"/>
    <w:rsid w:val="00F77D6A"/>
    <w:rsid w:val="00F77FAC"/>
    <w:rsid w:val="00F80441"/>
    <w:rsid w:val="00F804E4"/>
    <w:rsid w:val="00F80825"/>
    <w:rsid w:val="00F809B0"/>
    <w:rsid w:val="00F80DB4"/>
    <w:rsid w:val="00F81053"/>
    <w:rsid w:val="00F811BF"/>
    <w:rsid w:val="00F81492"/>
    <w:rsid w:val="00F81975"/>
    <w:rsid w:val="00F81EE1"/>
    <w:rsid w:val="00F82F3E"/>
    <w:rsid w:val="00F83037"/>
    <w:rsid w:val="00F83400"/>
    <w:rsid w:val="00F83BF1"/>
    <w:rsid w:val="00F83D63"/>
    <w:rsid w:val="00F84178"/>
    <w:rsid w:val="00F8444C"/>
    <w:rsid w:val="00F84BB2"/>
    <w:rsid w:val="00F84E6C"/>
    <w:rsid w:val="00F84ED6"/>
    <w:rsid w:val="00F8516E"/>
    <w:rsid w:val="00F8517F"/>
    <w:rsid w:val="00F851AF"/>
    <w:rsid w:val="00F85211"/>
    <w:rsid w:val="00F8530E"/>
    <w:rsid w:val="00F854F6"/>
    <w:rsid w:val="00F8554E"/>
    <w:rsid w:val="00F85639"/>
    <w:rsid w:val="00F8571A"/>
    <w:rsid w:val="00F85887"/>
    <w:rsid w:val="00F85E4D"/>
    <w:rsid w:val="00F85F99"/>
    <w:rsid w:val="00F860B0"/>
    <w:rsid w:val="00F860D7"/>
    <w:rsid w:val="00F8676A"/>
    <w:rsid w:val="00F86D8E"/>
    <w:rsid w:val="00F86EC0"/>
    <w:rsid w:val="00F86FF1"/>
    <w:rsid w:val="00F87155"/>
    <w:rsid w:val="00F874F3"/>
    <w:rsid w:val="00F87589"/>
    <w:rsid w:val="00F8766E"/>
    <w:rsid w:val="00F87FB1"/>
    <w:rsid w:val="00F90049"/>
    <w:rsid w:val="00F903B9"/>
    <w:rsid w:val="00F9045D"/>
    <w:rsid w:val="00F90596"/>
    <w:rsid w:val="00F90614"/>
    <w:rsid w:val="00F909F5"/>
    <w:rsid w:val="00F90A87"/>
    <w:rsid w:val="00F90AEF"/>
    <w:rsid w:val="00F90CCB"/>
    <w:rsid w:val="00F90EFD"/>
    <w:rsid w:val="00F90FD3"/>
    <w:rsid w:val="00F913A1"/>
    <w:rsid w:val="00F91A4D"/>
    <w:rsid w:val="00F91FA1"/>
    <w:rsid w:val="00F922E5"/>
    <w:rsid w:val="00F9240F"/>
    <w:rsid w:val="00F925B1"/>
    <w:rsid w:val="00F9275F"/>
    <w:rsid w:val="00F9289B"/>
    <w:rsid w:val="00F929C8"/>
    <w:rsid w:val="00F92A27"/>
    <w:rsid w:val="00F93223"/>
    <w:rsid w:val="00F932CE"/>
    <w:rsid w:val="00F936B2"/>
    <w:rsid w:val="00F93B45"/>
    <w:rsid w:val="00F93CD3"/>
    <w:rsid w:val="00F9442C"/>
    <w:rsid w:val="00F945CB"/>
    <w:rsid w:val="00F94BC5"/>
    <w:rsid w:val="00F94C48"/>
    <w:rsid w:val="00F94CED"/>
    <w:rsid w:val="00F94D9D"/>
    <w:rsid w:val="00F94EA9"/>
    <w:rsid w:val="00F94F8B"/>
    <w:rsid w:val="00F95742"/>
    <w:rsid w:val="00F95C01"/>
    <w:rsid w:val="00F95C3E"/>
    <w:rsid w:val="00F962DE"/>
    <w:rsid w:val="00F963EB"/>
    <w:rsid w:val="00F966B7"/>
    <w:rsid w:val="00F9673A"/>
    <w:rsid w:val="00F96BB2"/>
    <w:rsid w:val="00F96C75"/>
    <w:rsid w:val="00F96E24"/>
    <w:rsid w:val="00F97201"/>
    <w:rsid w:val="00F972E1"/>
    <w:rsid w:val="00F9740E"/>
    <w:rsid w:val="00F97679"/>
    <w:rsid w:val="00F97899"/>
    <w:rsid w:val="00F978B0"/>
    <w:rsid w:val="00F97B02"/>
    <w:rsid w:val="00F97EBC"/>
    <w:rsid w:val="00FA05B0"/>
    <w:rsid w:val="00FA0A86"/>
    <w:rsid w:val="00FA0C1A"/>
    <w:rsid w:val="00FA0E1C"/>
    <w:rsid w:val="00FA0F9B"/>
    <w:rsid w:val="00FA10B5"/>
    <w:rsid w:val="00FA18B2"/>
    <w:rsid w:val="00FA1957"/>
    <w:rsid w:val="00FA19D0"/>
    <w:rsid w:val="00FA1B63"/>
    <w:rsid w:val="00FA2029"/>
    <w:rsid w:val="00FA2496"/>
    <w:rsid w:val="00FA2552"/>
    <w:rsid w:val="00FA2D3F"/>
    <w:rsid w:val="00FA2E9C"/>
    <w:rsid w:val="00FA3041"/>
    <w:rsid w:val="00FA325A"/>
    <w:rsid w:val="00FA352B"/>
    <w:rsid w:val="00FA3645"/>
    <w:rsid w:val="00FA4065"/>
    <w:rsid w:val="00FA46E3"/>
    <w:rsid w:val="00FA47B6"/>
    <w:rsid w:val="00FA4EC7"/>
    <w:rsid w:val="00FA4FB4"/>
    <w:rsid w:val="00FA500F"/>
    <w:rsid w:val="00FA50DA"/>
    <w:rsid w:val="00FA52A4"/>
    <w:rsid w:val="00FA5358"/>
    <w:rsid w:val="00FA5A98"/>
    <w:rsid w:val="00FA5CAE"/>
    <w:rsid w:val="00FA6586"/>
    <w:rsid w:val="00FA6774"/>
    <w:rsid w:val="00FA68D5"/>
    <w:rsid w:val="00FA695F"/>
    <w:rsid w:val="00FA6FC6"/>
    <w:rsid w:val="00FA7019"/>
    <w:rsid w:val="00FA7136"/>
    <w:rsid w:val="00FA747D"/>
    <w:rsid w:val="00FA76D6"/>
    <w:rsid w:val="00FA78DC"/>
    <w:rsid w:val="00FA7BDE"/>
    <w:rsid w:val="00FA7F6A"/>
    <w:rsid w:val="00FB008A"/>
    <w:rsid w:val="00FB0159"/>
    <w:rsid w:val="00FB0173"/>
    <w:rsid w:val="00FB024D"/>
    <w:rsid w:val="00FB05D4"/>
    <w:rsid w:val="00FB07E6"/>
    <w:rsid w:val="00FB0A35"/>
    <w:rsid w:val="00FB0E2C"/>
    <w:rsid w:val="00FB0FD1"/>
    <w:rsid w:val="00FB1497"/>
    <w:rsid w:val="00FB15AF"/>
    <w:rsid w:val="00FB162A"/>
    <w:rsid w:val="00FB16FC"/>
    <w:rsid w:val="00FB16FE"/>
    <w:rsid w:val="00FB19DD"/>
    <w:rsid w:val="00FB2085"/>
    <w:rsid w:val="00FB2690"/>
    <w:rsid w:val="00FB288F"/>
    <w:rsid w:val="00FB2B8D"/>
    <w:rsid w:val="00FB2DF8"/>
    <w:rsid w:val="00FB380D"/>
    <w:rsid w:val="00FB39AA"/>
    <w:rsid w:val="00FB3AEF"/>
    <w:rsid w:val="00FB407D"/>
    <w:rsid w:val="00FB4507"/>
    <w:rsid w:val="00FB457F"/>
    <w:rsid w:val="00FB458F"/>
    <w:rsid w:val="00FB4792"/>
    <w:rsid w:val="00FB4968"/>
    <w:rsid w:val="00FB4976"/>
    <w:rsid w:val="00FB4B49"/>
    <w:rsid w:val="00FB4FC2"/>
    <w:rsid w:val="00FB5050"/>
    <w:rsid w:val="00FB52D7"/>
    <w:rsid w:val="00FB6489"/>
    <w:rsid w:val="00FB6A6A"/>
    <w:rsid w:val="00FB6B01"/>
    <w:rsid w:val="00FB6BFC"/>
    <w:rsid w:val="00FB6FD6"/>
    <w:rsid w:val="00FB7324"/>
    <w:rsid w:val="00FB738C"/>
    <w:rsid w:val="00FB73FF"/>
    <w:rsid w:val="00FB7634"/>
    <w:rsid w:val="00FB79F8"/>
    <w:rsid w:val="00FC0224"/>
    <w:rsid w:val="00FC04E4"/>
    <w:rsid w:val="00FC0566"/>
    <w:rsid w:val="00FC0C6B"/>
    <w:rsid w:val="00FC118B"/>
    <w:rsid w:val="00FC15B1"/>
    <w:rsid w:val="00FC1749"/>
    <w:rsid w:val="00FC1B17"/>
    <w:rsid w:val="00FC204B"/>
    <w:rsid w:val="00FC2137"/>
    <w:rsid w:val="00FC2159"/>
    <w:rsid w:val="00FC2B9A"/>
    <w:rsid w:val="00FC3037"/>
    <w:rsid w:val="00FC358F"/>
    <w:rsid w:val="00FC388B"/>
    <w:rsid w:val="00FC3AB6"/>
    <w:rsid w:val="00FC3ACE"/>
    <w:rsid w:val="00FC3DE2"/>
    <w:rsid w:val="00FC4008"/>
    <w:rsid w:val="00FC40C9"/>
    <w:rsid w:val="00FC42ED"/>
    <w:rsid w:val="00FC4459"/>
    <w:rsid w:val="00FC454E"/>
    <w:rsid w:val="00FC46E8"/>
    <w:rsid w:val="00FC4D23"/>
    <w:rsid w:val="00FC4D67"/>
    <w:rsid w:val="00FC4ED8"/>
    <w:rsid w:val="00FC56D1"/>
    <w:rsid w:val="00FC5E1B"/>
    <w:rsid w:val="00FC5E7B"/>
    <w:rsid w:val="00FC5E8C"/>
    <w:rsid w:val="00FC63AA"/>
    <w:rsid w:val="00FC647C"/>
    <w:rsid w:val="00FC66D3"/>
    <w:rsid w:val="00FC67B4"/>
    <w:rsid w:val="00FC6DB8"/>
    <w:rsid w:val="00FC6F9A"/>
    <w:rsid w:val="00FC7427"/>
    <w:rsid w:val="00FC76EA"/>
    <w:rsid w:val="00FC7A03"/>
    <w:rsid w:val="00FC7A65"/>
    <w:rsid w:val="00FC7E28"/>
    <w:rsid w:val="00FC7F08"/>
    <w:rsid w:val="00FC7F5E"/>
    <w:rsid w:val="00FD03EA"/>
    <w:rsid w:val="00FD0D3C"/>
    <w:rsid w:val="00FD0E4F"/>
    <w:rsid w:val="00FD0FA0"/>
    <w:rsid w:val="00FD123A"/>
    <w:rsid w:val="00FD14BF"/>
    <w:rsid w:val="00FD1AA8"/>
    <w:rsid w:val="00FD23D1"/>
    <w:rsid w:val="00FD29FC"/>
    <w:rsid w:val="00FD2E38"/>
    <w:rsid w:val="00FD2E85"/>
    <w:rsid w:val="00FD335D"/>
    <w:rsid w:val="00FD3767"/>
    <w:rsid w:val="00FD3803"/>
    <w:rsid w:val="00FD3941"/>
    <w:rsid w:val="00FD3C0E"/>
    <w:rsid w:val="00FD3DEF"/>
    <w:rsid w:val="00FD4244"/>
    <w:rsid w:val="00FD44A2"/>
    <w:rsid w:val="00FD44B4"/>
    <w:rsid w:val="00FD4BBB"/>
    <w:rsid w:val="00FD4F07"/>
    <w:rsid w:val="00FD4F9F"/>
    <w:rsid w:val="00FD50A8"/>
    <w:rsid w:val="00FD5192"/>
    <w:rsid w:val="00FD5685"/>
    <w:rsid w:val="00FD572D"/>
    <w:rsid w:val="00FD589A"/>
    <w:rsid w:val="00FD5940"/>
    <w:rsid w:val="00FD5D0F"/>
    <w:rsid w:val="00FD6794"/>
    <w:rsid w:val="00FD70E6"/>
    <w:rsid w:val="00FD7180"/>
    <w:rsid w:val="00FD7C34"/>
    <w:rsid w:val="00FE000E"/>
    <w:rsid w:val="00FE00DF"/>
    <w:rsid w:val="00FE0176"/>
    <w:rsid w:val="00FE045D"/>
    <w:rsid w:val="00FE06C1"/>
    <w:rsid w:val="00FE0B32"/>
    <w:rsid w:val="00FE0CE5"/>
    <w:rsid w:val="00FE0DFA"/>
    <w:rsid w:val="00FE17C8"/>
    <w:rsid w:val="00FE1808"/>
    <w:rsid w:val="00FE1A8A"/>
    <w:rsid w:val="00FE1C49"/>
    <w:rsid w:val="00FE1F2E"/>
    <w:rsid w:val="00FE20D8"/>
    <w:rsid w:val="00FE21CB"/>
    <w:rsid w:val="00FE24FA"/>
    <w:rsid w:val="00FE251E"/>
    <w:rsid w:val="00FE2535"/>
    <w:rsid w:val="00FE2964"/>
    <w:rsid w:val="00FE2B34"/>
    <w:rsid w:val="00FE2C7E"/>
    <w:rsid w:val="00FE2D10"/>
    <w:rsid w:val="00FE2F1C"/>
    <w:rsid w:val="00FE2FE7"/>
    <w:rsid w:val="00FE300E"/>
    <w:rsid w:val="00FE30F5"/>
    <w:rsid w:val="00FE34C9"/>
    <w:rsid w:val="00FE3759"/>
    <w:rsid w:val="00FE387E"/>
    <w:rsid w:val="00FE3901"/>
    <w:rsid w:val="00FE3A85"/>
    <w:rsid w:val="00FE3B58"/>
    <w:rsid w:val="00FE3C78"/>
    <w:rsid w:val="00FE3FA4"/>
    <w:rsid w:val="00FE416B"/>
    <w:rsid w:val="00FE49F7"/>
    <w:rsid w:val="00FE4B0D"/>
    <w:rsid w:val="00FE4B12"/>
    <w:rsid w:val="00FE4BC8"/>
    <w:rsid w:val="00FE4C79"/>
    <w:rsid w:val="00FE5452"/>
    <w:rsid w:val="00FE54F7"/>
    <w:rsid w:val="00FE5894"/>
    <w:rsid w:val="00FE5B64"/>
    <w:rsid w:val="00FE5CFA"/>
    <w:rsid w:val="00FE5DE8"/>
    <w:rsid w:val="00FE5F2A"/>
    <w:rsid w:val="00FE6018"/>
    <w:rsid w:val="00FE6239"/>
    <w:rsid w:val="00FE6795"/>
    <w:rsid w:val="00FE6A19"/>
    <w:rsid w:val="00FE792A"/>
    <w:rsid w:val="00FE79F8"/>
    <w:rsid w:val="00FE7CED"/>
    <w:rsid w:val="00FF04AD"/>
    <w:rsid w:val="00FF05F4"/>
    <w:rsid w:val="00FF0A43"/>
    <w:rsid w:val="00FF0EFC"/>
    <w:rsid w:val="00FF0F11"/>
    <w:rsid w:val="00FF146D"/>
    <w:rsid w:val="00FF1A50"/>
    <w:rsid w:val="00FF1EAB"/>
    <w:rsid w:val="00FF2166"/>
    <w:rsid w:val="00FF24C3"/>
    <w:rsid w:val="00FF2D29"/>
    <w:rsid w:val="00FF2E52"/>
    <w:rsid w:val="00FF3011"/>
    <w:rsid w:val="00FF310A"/>
    <w:rsid w:val="00FF3564"/>
    <w:rsid w:val="00FF3604"/>
    <w:rsid w:val="00FF4209"/>
    <w:rsid w:val="00FF42A9"/>
    <w:rsid w:val="00FF4314"/>
    <w:rsid w:val="00FF4336"/>
    <w:rsid w:val="00FF44FD"/>
    <w:rsid w:val="00FF450C"/>
    <w:rsid w:val="00FF4695"/>
    <w:rsid w:val="00FF4B1C"/>
    <w:rsid w:val="00FF4CD6"/>
    <w:rsid w:val="00FF4D17"/>
    <w:rsid w:val="00FF4D4E"/>
    <w:rsid w:val="00FF4ECF"/>
    <w:rsid w:val="00FF51DD"/>
    <w:rsid w:val="00FF5260"/>
    <w:rsid w:val="00FF53F6"/>
    <w:rsid w:val="00FF5405"/>
    <w:rsid w:val="00FF55AA"/>
    <w:rsid w:val="00FF570B"/>
    <w:rsid w:val="00FF59B2"/>
    <w:rsid w:val="00FF5A44"/>
    <w:rsid w:val="00FF5B97"/>
    <w:rsid w:val="00FF60B4"/>
    <w:rsid w:val="00FF61C7"/>
    <w:rsid w:val="00FF6235"/>
    <w:rsid w:val="00FF62A5"/>
    <w:rsid w:val="00FF647F"/>
    <w:rsid w:val="00FF64AC"/>
    <w:rsid w:val="00FF679D"/>
    <w:rsid w:val="00FF6A4B"/>
    <w:rsid w:val="00FF6DFF"/>
    <w:rsid w:val="00FF71F2"/>
    <w:rsid w:val="00FF79B6"/>
    <w:rsid w:val="00FF7EFE"/>
    <w:rsid w:val="0B2B3442"/>
    <w:rsid w:val="2D8D05A5"/>
    <w:rsid w:val="4BE67B64"/>
    <w:rsid w:val="5DA0200A"/>
    <w:rsid w:val="7B7BC8F7"/>
    <w:rsid w:val="AD8A9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99"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101"/>
    <w:qFormat/>
    <w:uiPriority w:val="0"/>
    <w:pPr>
      <w:keepNext/>
      <w:keepLines/>
      <w:numPr>
        <w:ilvl w:val="0"/>
        <w:numId w:val="1"/>
      </w:numPr>
      <w:spacing w:before="50" w:beforeLines="50" w:after="50" w:afterLines="50"/>
      <w:jc w:val="center"/>
      <w:outlineLvl w:val="0"/>
    </w:pPr>
    <w:rPr>
      <w:rFonts w:eastAsia="黑体"/>
      <w:bCs/>
      <w:kern w:val="44"/>
      <w:sz w:val="36"/>
      <w:szCs w:val="44"/>
      <w:lang w:val="zh-CN" w:eastAsia="zh-CN"/>
    </w:rPr>
  </w:style>
  <w:style w:type="paragraph" w:styleId="4">
    <w:name w:val="heading 2"/>
    <w:basedOn w:val="1"/>
    <w:next w:val="1"/>
    <w:link w:val="102"/>
    <w:qFormat/>
    <w:uiPriority w:val="0"/>
    <w:pPr>
      <w:keepNext/>
      <w:keepLines/>
      <w:spacing w:beforeLines="50" w:afterLines="50"/>
      <w:outlineLvl w:val="1"/>
    </w:pPr>
    <w:rPr>
      <w:rFonts w:ascii="Arial" w:hAnsi="Arial" w:eastAsia="黑体"/>
      <w:bCs/>
      <w:sz w:val="30"/>
      <w:szCs w:val="32"/>
      <w:lang w:val="zh-CN" w:eastAsia="zh-CN"/>
    </w:rPr>
  </w:style>
  <w:style w:type="paragraph" w:styleId="5">
    <w:name w:val="heading 3"/>
    <w:basedOn w:val="1"/>
    <w:next w:val="1"/>
    <w:link w:val="103"/>
    <w:qFormat/>
    <w:uiPriority w:val="0"/>
    <w:pPr>
      <w:keepNext/>
      <w:keepLines/>
      <w:numPr>
        <w:ilvl w:val="0"/>
        <w:numId w:val="2"/>
      </w:numPr>
      <w:spacing w:before="163" w:beforeLines="50"/>
      <w:outlineLvl w:val="2"/>
    </w:pPr>
    <w:rPr>
      <w:rFonts w:eastAsia="黑体"/>
      <w:bCs/>
      <w:kern w:val="0"/>
      <w:sz w:val="28"/>
      <w:szCs w:val="32"/>
      <w:lang w:val="zh-CN" w:eastAsia="zh-CN"/>
    </w:rPr>
  </w:style>
  <w:style w:type="paragraph" w:styleId="6">
    <w:name w:val="heading 4"/>
    <w:basedOn w:val="1"/>
    <w:next w:val="1"/>
    <w:link w:val="104"/>
    <w:qFormat/>
    <w:uiPriority w:val="0"/>
    <w:pPr>
      <w:keepNext/>
      <w:keepLines/>
      <w:numPr>
        <w:ilvl w:val="0"/>
        <w:numId w:val="3"/>
      </w:numPr>
      <w:outlineLvl w:val="3"/>
    </w:pPr>
    <w:rPr>
      <w:rFonts w:ascii="Arial" w:hAnsi="Arial" w:eastAsia="黑体"/>
      <w:bCs/>
      <w:szCs w:val="28"/>
      <w:lang w:val="zh-CN" w:eastAsia="zh-CN"/>
    </w:rPr>
  </w:style>
  <w:style w:type="paragraph" w:styleId="7">
    <w:name w:val="heading 5"/>
    <w:basedOn w:val="1"/>
    <w:next w:val="1"/>
    <w:link w:val="105"/>
    <w:qFormat/>
    <w:uiPriority w:val="0"/>
    <w:pPr>
      <w:numPr>
        <w:ilvl w:val="0"/>
        <w:numId w:val="4"/>
      </w:numPr>
      <w:outlineLvl w:val="4"/>
    </w:pPr>
    <w:rPr>
      <w:rFonts w:ascii="仿宋_GB2312" w:hAnsi="黑体"/>
      <w:b/>
      <w:lang w:val="zh-CN" w:eastAsia="zh-CN"/>
    </w:rPr>
  </w:style>
  <w:style w:type="paragraph" w:styleId="8">
    <w:name w:val="heading 6"/>
    <w:basedOn w:val="1"/>
    <w:next w:val="1"/>
    <w:link w:val="106"/>
    <w:qFormat/>
    <w:uiPriority w:val="0"/>
    <w:pPr>
      <w:keepNext/>
      <w:keepLines/>
      <w:numPr>
        <w:ilvl w:val="5"/>
        <w:numId w:val="1"/>
      </w:numPr>
      <w:spacing w:before="240" w:after="64" w:line="320" w:lineRule="auto"/>
      <w:outlineLvl w:val="5"/>
    </w:pPr>
    <w:rPr>
      <w:rFonts w:ascii="Arial" w:hAnsi="Arial" w:eastAsia="黑体"/>
      <w:b/>
      <w:bCs/>
      <w:lang w:val="zh-CN" w:eastAsia="zh-CN"/>
    </w:rPr>
  </w:style>
  <w:style w:type="paragraph" w:styleId="9">
    <w:name w:val="heading 7"/>
    <w:basedOn w:val="1"/>
    <w:next w:val="1"/>
    <w:link w:val="107"/>
    <w:qFormat/>
    <w:uiPriority w:val="0"/>
    <w:pPr>
      <w:keepNext/>
      <w:keepLines/>
      <w:numPr>
        <w:ilvl w:val="6"/>
        <w:numId w:val="1"/>
      </w:numPr>
      <w:spacing w:before="240" w:after="64" w:line="320" w:lineRule="auto"/>
      <w:outlineLvl w:val="6"/>
    </w:pPr>
    <w:rPr>
      <w:b/>
      <w:bCs/>
      <w:lang w:val="zh-CN" w:eastAsia="zh-CN"/>
    </w:rPr>
  </w:style>
  <w:style w:type="paragraph" w:styleId="10">
    <w:name w:val="heading 8"/>
    <w:basedOn w:val="1"/>
    <w:next w:val="1"/>
    <w:link w:val="108"/>
    <w:qFormat/>
    <w:uiPriority w:val="0"/>
    <w:pPr>
      <w:keepNext/>
      <w:keepLines/>
      <w:numPr>
        <w:ilvl w:val="7"/>
        <w:numId w:val="1"/>
      </w:numPr>
      <w:spacing w:before="240" w:after="64" w:line="320" w:lineRule="auto"/>
      <w:outlineLvl w:val="7"/>
    </w:pPr>
    <w:rPr>
      <w:rFonts w:ascii="Arial" w:hAnsi="Arial" w:eastAsia="黑体"/>
      <w:lang w:val="zh-CN" w:eastAsia="zh-CN"/>
    </w:rPr>
  </w:style>
  <w:style w:type="paragraph" w:styleId="11">
    <w:name w:val="heading 9"/>
    <w:basedOn w:val="1"/>
    <w:next w:val="1"/>
    <w:link w:val="109"/>
    <w:qFormat/>
    <w:uiPriority w:val="0"/>
    <w:pPr>
      <w:keepNext/>
      <w:keepLines/>
      <w:numPr>
        <w:ilvl w:val="8"/>
        <w:numId w:val="1"/>
      </w:numPr>
      <w:spacing w:before="240" w:after="64" w:line="320" w:lineRule="auto"/>
      <w:outlineLvl w:val="8"/>
    </w:pPr>
    <w:rPr>
      <w:rFonts w:ascii="Arial" w:hAnsi="Arial" w:eastAsia="黑体"/>
      <w:szCs w:val="21"/>
      <w:lang w:val="zh-CN" w:eastAsia="zh-CN"/>
    </w:rPr>
  </w:style>
  <w:style w:type="character" w:default="1" w:styleId="9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7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unhideWhenUsed/>
    <w:qFormat/>
    <w:uiPriority w:val="39"/>
    <w:pPr>
      <w:ind w:left="1440"/>
      <w:jc w:val="left"/>
    </w:pPr>
    <w:rPr>
      <w:rFonts w:ascii="Calibri" w:hAnsi="Calibri" w:cs="Calibri"/>
      <w:sz w:val="18"/>
      <w:szCs w:val="18"/>
    </w:rPr>
  </w:style>
  <w:style w:type="paragraph" w:styleId="14">
    <w:name w:val="List Number 2"/>
    <w:basedOn w:val="1"/>
    <w:qFormat/>
    <w:uiPriority w:val="0"/>
    <w:pPr>
      <w:numPr>
        <w:ilvl w:val="0"/>
        <w:numId w:val="5"/>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82"/>
    <w:qFormat/>
    <w:uiPriority w:val="0"/>
    <w:pPr>
      <w:jc w:val="center"/>
    </w:pPr>
  </w:style>
  <w:style w:type="paragraph" w:styleId="17">
    <w:name w:val="List Bullet 4"/>
    <w:basedOn w:val="1"/>
    <w:qFormat/>
    <w:uiPriority w:val="0"/>
    <w:pPr>
      <w:numPr>
        <w:ilvl w:val="0"/>
        <w:numId w:val="6"/>
      </w:numPr>
      <w:contextualSpacing/>
    </w:pPr>
  </w:style>
  <w:style w:type="paragraph" w:styleId="18">
    <w:name w:val="index 8"/>
    <w:basedOn w:val="1"/>
    <w:next w:val="1"/>
    <w:qFormat/>
    <w:uiPriority w:val="0"/>
    <w:pPr>
      <w:ind w:left="1400" w:leftChars="1400"/>
    </w:pPr>
  </w:style>
  <w:style w:type="paragraph" w:styleId="19">
    <w:name w:val="E-mail Signature"/>
    <w:basedOn w:val="1"/>
    <w:link w:val="168"/>
    <w:qFormat/>
    <w:uiPriority w:val="0"/>
  </w:style>
  <w:style w:type="paragraph" w:styleId="20">
    <w:name w:val="List Number"/>
    <w:basedOn w:val="1"/>
    <w:qFormat/>
    <w:uiPriority w:val="0"/>
    <w:pPr>
      <w:numPr>
        <w:ilvl w:val="0"/>
        <w:numId w:val="7"/>
      </w:numPr>
      <w:contextualSpacing/>
    </w:pPr>
  </w:style>
  <w:style w:type="paragraph" w:styleId="21">
    <w:name w:val="Normal Indent"/>
    <w:basedOn w:val="1"/>
    <w:qFormat/>
    <w:uiPriority w:val="0"/>
    <w:pPr>
      <w:ind w:firstLine="420" w:firstLineChars="200"/>
    </w:pPr>
  </w:style>
  <w:style w:type="paragraph" w:styleId="22">
    <w:name w:val="caption"/>
    <w:basedOn w:val="1"/>
    <w:next w:val="1"/>
    <w:unhideWhenUsed/>
    <w:qFormat/>
    <w:uiPriority w:val="0"/>
    <w:rPr>
      <w:rFonts w:ascii="Cambria" w:hAnsi="Cambria" w:eastAsia="黑体"/>
      <w:sz w:val="20"/>
      <w:szCs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8"/>
      </w:numPr>
      <w:contextualSpacing/>
    </w:p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rPr>
  </w:style>
  <w:style w:type="paragraph" w:styleId="26">
    <w:name w:val="Document Map"/>
    <w:basedOn w:val="1"/>
    <w:link w:val="110"/>
    <w:qFormat/>
    <w:uiPriority w:val="0"/>
    <w:pPr>
      <w:shd w:val="clear" w:color="auto" w:fill="000080"/>
    </w:pPr>
    <w:rPr>
      <w:lang w:val="zh-CN" w:eastAsia="zh-CN"/>
    </w:rPr>
  </w:style>
  <w:style w:type="paragraph" w:styleId="27">
    <w:name w:val="toa heading"/>
    <w:basedOn w:val="1"/>
    <w:next w:val="1"/>
    <w:qFormat/>
    <w:uiPriority w:val="0"/>
    <w:pPr>
      <w:spacing w:before="120"/>
    </w:pPr>
    <w:rPr>
      <w:rFonts w:eastAsia="宋体" w:asciiTheme="majorHAnsi" w:hAnsiTheme="majorHAnsi" w:cstheme="majorBidi"/>
    </w:rPr>
  </w:style>
  <w:style w:type="paragraph" w:styleId="28">
    <w:name w:val="annotation text"/>
    <w:basedOn w:val="1"/>
    <w:semiHidden/>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link w:val="167"/>
    <w:qFormat/>
    <w:uiPriority w:val="0"/>
  </w:style>
  <w:style w:type="paragraph" w:styleId="31">
    <w:name w:val="Body Text 3"/>
    <w:basedOn w:val="1"/>
    <w:link w:val="181"/>
    <w:qFormat/>
    <w:uiPriority w:val="0"/>
    <w:pPr>
      <w:spacing w:after="120"/>
    </w:pPr>
    <w:rPr>
      <w:sz w:val="16"/>
      <w:szCs w:val="16"/>
    </w:rPr>
  </w:style>
  <w:style w:type="paragraph" w:styleId="32">
    <w:name w:val="Closing"/>
    <w:basedOn w:val="1"/>
    <w:link w:val="138"/>
    <w:qFormat/>
    <w:uiPriority w:val="0"/>
    <w:pPr>
      <w:ind w:left="100" w:leftChars="2100"/>
    </w:pPr>
    <w:rPr>
      <w:rFonts w:ascii="楷体_GB2312" w:eastAsia="楷体_GB2312"/>
      <w:sz w:val="28"/>
    </w:rPr>
  </w:style>
  <w:style w:type="paragraph" w:styleId="33">
    <w:name w:val="List Bullet 3"/>
    <w:basedOn w:val="1"/>
    <w:qFormat/>
    <w:uiPriority w:val="0"/>
    <w:pPr>
      <w:numPr>
        <w:ilvl w:val="0"/>
        <w:numId w:val="9"/>
      </w:numPr>
      <w:contextualSpacing/>
    </w:pPr>
  </w:style>
  <w:style w:type="paragraph" w:styleId="34">
    <w:name w:val="Body Text"/>
    <w:basedOn w:val="1"/>
    <w:link w:val="139"/>
    <w:qFormat/>
    <w:uiPriority w:val="0"/>
    <w:rPr>
      <w:rFonts w:ascii="宋体" w:hAnsi="宋体" w:eastAsia="宋体"/>
      <w:sz w:val="18"/>
    </w:rPr>
  </w:style>
  <w:style w:type="paragraph" w:styleId="35">
    <w:name w:val="Body Text Indent"/>
    <w:basedOn w:val="1"/>
    <w:link w:val="140"/>
    <w:qFormat/>
    <w:uiPriority w:val="0"/>
    <w:pPr>
      <w:ind w:left="630" w:leftChars="300"/>
    </w:pPr>
    <w:rPr>
      <w:rFonts w:eastAsia="宋体"/>
    </w:rPr>
  </w:style>
  <w:style w:type="paragraph" w:styleId="36">
    <w:name w:val="List Number 3"/>
    <w:basedOn w:val="1"/>
    <w:qFormat/>
    <w:uiPriority w:val="0"/>
    <w:pPr>
      <w:numPr>
        <w:ilvl w:val="0"/>
        <w:numId w:val="10"/>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11"/>
      </w:numPr>
      <w:contextualSpacing/>
    </w:pPr>
  </w:style>
  <w:style w:type="paragraph" w:styleId="41">
    <w:name w:val="HTML Address"/>
    <w:basedOn w:val="1"/>
    <w:link w:val="165"/>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39"/>
    <w:pPr>
      <w:ind w:left="960"/>
      <w:jc w:val="left"/>
    </w:pPr>
    <w:rPr>
      <w:rFonts w:ascii="Calibri" w:hAnsi="Calibri" w:cs="Calibri"/>
      <w:sz w:val="18"/>
      <w:szCs w:val="18"/>
    </w:rPr>
  </w:style>
  <w:style w:type="paragraph" w:styleId="44">
    <w:name w:val="toc 3"/>
    <w:basedOn w:val="1"/>
    <w:next w:val="1"/>
    <w:qFormat/>
    <w:uiPriority w:val="39"/>
    <w:pPr>
      <w:spacing w:line="288" w:lineRule="auto"/>
      <w:ind w:left="482"/>
      <w:jc w:val="left"/>
    </w:pPr>
    <w:rPr>
      <w:rFonts w:ascii="Calibri" w:hAnsi="Calibri" w:cs="Calibri"/>
      <w:iCs/>
      <w:szCs w:val="20"/>
    </w:rPr>
  </w:style>
  <w:style w:type="paragraph" w:styleId="45">
    <w:name w:val="Plain Text"/>
    <w:basedOn w:val="1"/>
    <w:link w:val="120"/>
    <w:qFormat/>
    <w:uiPriority w:val="0"/>
    <w:pPr>
      <w:spacing w:line="240" w:lineRule="auto"/>
    </w:pPr>
    <w:rPr>
      <w:rFonts w:ascii="宋体" w:hAnsi="Courier New" w:eastAsia="宋体"/>
      <w:sz w:val="21"/>
      <w:szCs w:val="21"/>
      <w:lang w:val="zh-CN" w:eastAsia="zh-CN"/>
    </w:rPr>
  </w:style>
  <w:style w:type="paragraph" w:styleId="46">
    <w:name w:val="List Bullet 5"/>
    <w:basedOn w:val="1"/>
    <w:qFormat/>
    <w:uiPriority w:val="0"/>
    <w:pPr>
      <w:numPr>
        <w:ilvl w:val="0"/>
        <w:numId w:val="12"/>
      </w:numPr>
      <w:contextualSpacing/>
    </w:pPr>
  </w:style>
  <w:style w:type="paragraph" w:styleId="47">
    <w:name w:val="List Number 4"/>
    <w:basedOn w:val="1"/>
    <w:qFormat/>
    <w:uiPriority w:val="0"/>
    <w:pPr>
      <w:numPr>
        <w:ilvl w:val="0"/>
        <w:numId w:val="13"/>
      </w:numPr>
      <w:contextualSpacing/>
    </w:pPr>
  </w:style>
  <w:style w:type="paragraph" w:styleId="48">
    <w:name w:val="toc 8"/>
    <w:basedOn w:val="1"/>
    <w:next w:val="1"/>
    <w:unhideWhenUsed/>
    <w:qFormat/>
    <w:uiPriority w:val="39"/>
    <w:pPr>
      <w:ind w:left="1680"/>
      <w:jc w:val="left"/>
    </w:pPr>
    <w:rPr>
      <w:rFonts w:ascii="Calibri" w:hAnsi="Calibri" w:cs="Calibri"/>
      <w:sz w:val="18"/>
      <w:szCs w:val="18"/>
    </w:rPr>
  </w:style>
  <w:style w:type="paragraph" w:styleId="49">
    <w:name w:val="index 3"/>
    <w:basedOn w:val="1"/>
    <w:next w:val="1"/>
    <w:qFormat/>
    <w:uiPriority w:val="0"/>
    <w:pPr>
      <w:ind w:left="400" w:leftChars="400"/>
    </w:pPr>
  </w:style>
  <w:style w:type="paragraph" w:styleId="50">
    <w:name w:val="Date"/>
    <w:basedOn w:val="1"/>
    <w:next w:val="1"/>
    <w:link w:val="141"/>
    <w:qFormat/>
    <w:uiPriority w:val="0"/>
    <w:pPr>
      <w:ind w:left="100" w:leftChars="2500"/>
    </w:pPr>
    <w:rPr>
      <w:rFonts w:eastAsia="宋体"/>
      <w:b/>
      <w:bCs/>
    </w:rPr>
  </w:style>
  <w:style w:type="paragraph" w:styleId="51">
    <w:name w:val="Body Text Indent 2"/>
    <w:basedOn w:val="1"/>
    <w:link w:val="142"/>
    <w:qFormat/>
    <w:uiPriority w:val="0"/>
    <w:pPr>
      <w:ind w:left="420" w:leftChars="200" w:firstLine="418" w:firstLineChars="199"/>
    </w:pPr>
    <w:rPr>
      <w:rFonts w:eastAsia="宋体"/>
    </w:rPr>
  </w:style>
  <w:style w:type="paragraph" w:styleId="52">
    <w:name w:val="endnote text"/>
    <w:basedOn w:val="1"/>
    <w:link w:val="119"/>
    <w:qFormat/>
    <w:uiPriority w:val="0"/>
    <w:pPr>
      <w:snapToGrid w:val="0"/>
      <w:spacing w:line="240" w:lineRule="auto"/>
      <w:jc w:val="left"/>
    </w:pPr>
    <w:rPr>
      <w:rFonts w:ascii="新宋体" w:hAnsi="新宋体" w:eastAsia="新宋体"/>
      <w:szCs w:val="21"/>
      <w:lang w:val="zh-CN" w:eastAsia="zh-CN"/>
    </w:rPr>
  </w:style>
  <w:style w:type="paragraph" w:styleId="53">
    <w:name w:val="List Continue 5"/>
    <w:basedOn w:val="1"/>
    <w:qFormat/>
    <w:uiPriority w:val="0"/>
    <w:pPr>
      <w:spacing w:after="120"/>
      <w:ind w:left="2100" w:leftChars="1000"/>
      <w:contextualSpacing/>
    </w:pPr>
  </w:style>
  <w:style w:type="paragraph" w:styleId="54">
    <w:name w:val="Balloon Text"/>
    <w:basedOn w:val="1"/>
    <w:link w:val="115"/>
    <w:qFormat/>
    <w:uiPriority w:val="99"/>
    <w:rPr>
      <w:sz w:val="18"/>
      <w:szCs w:val="18"/>
      <w:lang w:val="zh-CN" w:eastAsia="zh-CN"/>
    </w:rPr>
  </w:style>
  <w:style w:type="paragraph" w:styleId="55">
    <w:name w:val="footer"/>
    <w:basedOn w:val="1"/>
    <w:link w:val="112"/>
    <w:qFormat/>
    <w:uiPriority w:val="99"/>
    <w:pPr>
      <w:tabs>
        <w:tab w:val="center" w:pos="4153"/>
        <w:tab w:val="right" w:pos="8306"/>
      </w:tabs>
      <w:snapToGrid w:val="0"/>
      <w:jc w:val="left"/>
    </w:pPr>
    <w:rPr>
      <w:rFonts w:eastAsia="宋体"/>
      <w:sz w:val="18"/>
      <w:szCs w:val="18"/>
      <w:lang w:val="zh-CN" w:eastAsia="zh-CN"/>
    </w:rPr>
  </w:style>
  <w:style w:type="paragraph" w:styleId="56">
    <w:name w:val="envelope return"/>
    <w:basedOn w:val="1"/>
    <w:qFormat/>
    <w:uiPriority w:val="0"/>
    <w:pPr>
      <w:snapToGrid w:val="0"/>
    </w:pPr>
    <w:rPr>
      <w:rFonts w:asciiTheme="majorHAnsi" w:hAnsiTheme="majorHAnsi" w:eastAsiaTheme="majorEastAsia" w:cstheme="majorBidi"/>
    </w:rPr>
  </w:style>
  <w:style w:type="paragraph" w:styleId="57">
    <w:name w:val="header"/>
    <w:basedOn w:val="1"/>
    <w:link w:val="116"/>
    <w:qFormat/>
    <w:uiPriority w:val="0"/>
    <w:pPr>
      <w:pBdr>
        <w:bottom w:val="single" w:color="auto" w:sz="6" w:space="1"/>
      </w:pBdr>
      <w:tabs>
        <w:tab w:val="center" w:pos="4153"/>
        <w:tab w:val="right" w:pos="8306"/>
      </w:tabs>
      <w:snapToGrid w:val="0"/>
      <w:jc w:val="center"/>
    </w:pPr>
    <w:rPr>
      <w:rFonts w:eastAsia="宋体"/>
      <w:sz w:val="18"/>
      <w:szCs w:val="18"/>
      <w:lang w:val="zh-CN" w:eastAsia="zh-CN"/>
    </w:rPr>
  </w:style>
  <w:style w:type="paragraph" w:styleId="58">
    <w:name w:val="Signature"/>
    <w:basedOn w:val="1"/>
    <w:link w:val="173"/>
    <w:qFormat/>
    <w:uiPriority w:val="0"/>
    <w:pPr>
      <w:ind w:left="100" w:leftChars="2100"/>
    </w:pPr>
  </w:style>
  <w:style w:type="paragraph" w:styleId="59">
    <w:name w:val="toc 1"/>
    <w:basedOn w:val="1"/>
    <w:next w:val="1"/>
    <w:qFormat/>
    <w:uiPriority w:val="39"/>
    <w:pPr>
      <w:jc w:val="left"/>
    </w:pPr>
    <w:rPr>
      <w:rFonts w:ascii="Calibri" w:hAnsi="Calibri" w:eastAsia="黑体" w:cs="Calibri"/>
      <w:bCs/>
      <w:caps/>
      <w:szCs w:val="20"/>
    </w:r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39"/>
    <w:pPr>
      <w:ind w:left="720"/>
      <w:jc w:val="left"/>
    </w:pPr>
    <w:rPr>
      <w:rFonts w:ascii="Calibri" w:hAnsi="Calibri" w:cs="Calibri"/>
      <w:sz w:val="18"/>
      <w:szCs w:val="18"/>
    </w:r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style>
  <w:style w:type="paragraph" w:styleId="64">
    <w:name w:val="Subtitle"/>
    <w:basedOn w:val="1"/>
    <w:next w:val="1"/>
    <w:link w:val="16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qFormat/>
    <w:uiPriority w:val="0"/>
    <w:pPr>
      <w:numPr>
        <w:ilvl w:val="0"/>
        <w:numId w:val="14"/>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link w:val="111"/>
    <w:qFormat/>
    <w:uiPriority w:val="99"/>
    <w:pPr>
      <w:snapToGrid w:val="0"/>
      <w:jc w:val="left"/>
    </w:pPr>
    <w:rPr>
      <w:rFonts w:ascii="Calibri" w:hAnsi="Calibri" w:eastAsia="宋体"/>
      <w:sz w:val="18"/>
      <w:szCs w:val="18"/>
      <w:lang w:val="zh-CN" w:eastAsia="zh-CN"/>
    </w:rPr>
  </w:style>
  <w:style w:type="paragraph" w:styleId="68">
    <w:name w:val="toc 6"/>
    <w:basedOn w:val="1"/>
    <w:next w:val="1"/>
    <w:unhideWhenUsed/>
    <w:qFormat/>
    <w:uiPriority w:val="39"/>
    <w:pPr>
      <w:ind w:left="1200"/>
      <w:jc w:val="left"/>
    </w:pPr>
    <w:rPr>
      <w:rFonts w:ascii="Calibri" w:hAnsi="Calibri" w:cs="Calibri"/>
      <w:sz w:val="18"/>
      <w:szCs w:val="18"/>
    </w:rPr>
  </w:style>
  <w:style w:type="paragraph" w:styleId="69">
    <w:name w:val="List 5"/>
    <w:basedOn w:val="1"/>
    <w:qFormat/>
    <w:uiPriority w:val="0"/>
    <w:pPr>
      <w:ind w:left="100" w:leftChars="800" w:hanging="200" w:hangingChars="200"/>
      <w:contextualSpacing/>
    </w:pPr>
  </w:style>
  <w:style w:type="paragraph" w:styleId="70">
    <w:name w:val="Body Text Indent 3"/>
    <w:basedOn w:val="1"/>
    <w:link w:val="143"/>
    <w:qFormat/>
    <w:uiPriority w:val="0"/>
    <w:pPr>
      <w:ind w:left="420" w:leftChars="200"/>
    </w:pPr>
    <w:rPr>
      <w:rFonts w:eastAsia="宋体"/>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99"/>
    <w:pPr>
      <w:ind w:left="200" w:leftChars="200" w:hanging="200" w:hangingChars="200"/>
    </w:pPr>
  </w:style>
  <w:style w:type="paragraph" w:styleId="74">
    <w:name w:val="toc 2"/>
    <w:basedOn w:val="1"/>
    <w:next w:val="1"/>
    <w:qFormat/>
    <w:uiPriority w:val="39"/>
    <w:pPr>
      <w:spacing w:line="336" w:lineRule="auto"/>
      <w:ind w:left="238"/>
      <w:jc w:val="left"/>
    </w:pPr>
    <w:rPr>
      <w:rFonts w:ascii="Calibri" w:hAnsi="Calibri" w:cs="Calibri"/>
      <w:smallCaps/>
      <w:szCs w:val="20"/>
    </w:rPr>
  </w:style>
  <w:style w:type="paragraph" w:styleId="75">
    <w:name w:val="toc 9"/>
    <w:basedOn w:val="1"/>
    <w:next w:val="1"/>
    <w:unhideWhenUsed/>
    <w:qFormat/>
    <w:uiPriority w:val="39"/>
    <w:pPr>
      <w:ind w:left="1920"/>
      <w:jc w:val="left"/>
    </w:pPr>
    <w:rPr>
      <w:rFonts w:ascii="Calibri" w:hAnsi="Calibri" w:cs="Calibri"/>
      <w:sz w:val="18"/>
      <w:szCs w:val="18"/>
    </w:rPr>
  </w:style>
  <w:style w:type="paragraph" w:styleId="76">
    <w:name w:val="Body Text 2"/>
    <w:basedOn w:val="1"/>
    <w:link w:val="144"/>
    <w:qFormat/>
    <w:uiPriority w:val="0"/>
    <w:pPr>
      <w:jc w:val="center"/>
    </w:pPr>
    <w:rPr>
      <w:rFonts w:ascii="宋体" w:hAnsi="宋体" w:eastAsia="宋体"/>
      <w:sz w:val="18"/>
    </w:rPr>
  </w:style>
  <w:style w:type="paragraph" w:styleId="77">
    <w:name w:val="List 4"/>
    <w:basedOn w:val="1"/>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7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80">
    <w:name w:val="HTML Preformatted"/>
    <w:basedOn w:val="1"/>
    <w:link w:val="166"/>
    <w:semiHidden/>
    <w:unhideWhenUsed/>
    <w:qFormat/>
    <w:uiPriority w:val="0"/>
    <w:rPr>
      <w:rFonts w:ascii="Courier New" w:hAnsi="Courier New" w:cs="Courier New"/>
      <w:sz w:val="20"/>
      <w:szCs w:val="20"/>
    </w:rPr>
  </w:style>
  <w:style w:type="paragraph" w:styleId="81">
    <w:name w:val="Normal (Web)"/>
    <w:basedOn w:val="1"/>
    <w:qFormat/>
    <w:uiPriority w:val="99"/>
    <w:pPr>
      <w:widowControl/>
      <w:spacing w:before="100" w:beforeAutospacing="1" w:after="100" w:afterAutospacing="1" w:line="240" w:lineRule="auto"/>
      <w:jc w:val="left"/>
    </w:pPr>
    <w:rPr>
      <w:rFonts w:ascii="宋体" w:hAnsi="宋体" w:eastAsia="宋体" w:cs="宋体"/>
      <w:kern w:val="0"/>
    </w:rPr>
  </w:style>
  <w:style w:type="paragraph" w:styleId="82">
    <w:name w:val="List Continue 3"/>
    <w:basedOn w:val="1"/>
    <w:qFormat/>
    <w:uiPriority w:val="0"/>
    <w:pPr>
      <w:spacing w:after="120"/>
      <w:ind w:left="1260" w:leftChars="600"/>
      <w:contextualSpacing/>
    </w:pPr>
  </w:style>
  <w:style w:type="paragraph" w:styleId="83">
    <w:name w:val="index 2"/>
    <w:basedOn w:val="1"/>
    <w:next w:val="1"/>
    <w:qFormat/>
    <w:uiPriority w:val="0"/>
    <w:pPr>
      <w:ind w:left="200" w:leftChars="200"/>
    </w:pPr>
  </w:style>
  <w:style w:type="paragraph" w:styleId="84">
    <w:name w:val="Title"/>
    <w:basedOn w:val="1"/>
    <w:next w:val="1"/>
    <w:link w:val="122"/>
    <w:qFormat/>
    <w:uiPriority w:val="0"/>
    <w:pPr>
      <w:spacing w:before="240" w:after="60"/>
      <w:jc w:val="center"/>
      <w:outlineLvl w:val="0"/>
    </w:pPr>
    <w:rPr>
      <w:rFonts w:ascii="Cambria" w:hAnsi="Cambria" w:eastAsia="宋体"/>
      <w:b/>
      <w:bCs/>
      <w:sz w:val="32"/>
      <w:szCs w:val="32"/>
      <w:lang w:val="zh-CN" w:eastAsia="zh-CN"/>
    </w:rPr>
  </w:style>
  <w:style w:type="paragraph" w:styleId="85">
    <w:name w:val="annotation subject"/>
    <w:basedOn w:val="28"/>
    <w:next w:val="28"/>
    <w:semiHidden/>
    <w:qFormat/>
    <w:uiPriority w:val="0"/>
    <w:rPr>
      <w:b/>
      <w:bCs/>
    </w:rPr>
  </w:style>
  <w:style w:type="paragraph" w:styleId="86">
    <w:name w:val="Body Text First Indent"/>
    <w:basedOn w:val="34"/>
    <w:link w:val="179"/>
    <w:qFormat/>
    <w:uiPriority w:val="0"/>
    <w:pPr>
      <w:spacing w:after="120"/>
      <w:ind w:firstLine="420" w:firstLineChars="100"/>
    </w:pPr>
    <w:rPr>
      <w:rFonts w:ascii="Times New Roman" w:hAnsi="Times New Roman" w:eastAsia="仿宋"/>
      <w:sz w:val="24"/>
    </w:rPr>
  </w:style>
  <w:style w:type="paragraph" w:styleId="87">
    <w:name w:val="Body Text First Indent 2"/>
    <w:basedOn w:val="35"/>
    <w:link w:val="180"/>
    <w:qFormat/>
    <w:uiPriority w:val="0"/>
    <w:pPr>
      <w:spacing w:after="120"/>
      <w:ind w:left="420" w:leftChars="200" w:firstLine="420" w:firstLineChars="200"/>
    </w:pPr>
    <w:rPr>
      <w:rFonts w:eastAsia="仿宋"/>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Light" w:hAnsi="Calibri Light" w:eastAsia="宋体"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Light" w:hAnsi="Calibri Light" w:eastAsia="宋体"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Light" w:hAnsi="Calibri Light" w:eastAsia="宋体" w:cs="Times New Roman"/>
        <w:b/>
        <w:bCs/>
      </w:rPr>
    </w:tblStylePr>
    <w:tblStylePr w:type="lastCol">
      <w:rPr>
        <w:rFonts w:ascii="Calibri Light" w:hAnsi="Calibri Light" w:eastAsia="宋体"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9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Light" w:hAnsi="Calibri Light"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Light" w:hAnsi="Calibri Light"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Light" w:hAnsi="Calibri Light" w:eastAsia="宋体" w:cs="Times New Roman"/>
        <w:b/>
        <w:bCs/>
      </w:rPr>
    </w:tblStylePr>
    <w:tblStylePr w:type="lastCol">
      <w:rPr>
        <w:rFonts w:ascii="Calibri Light" w:hAnsi="Calibri Light"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styleId="94">
    <w:name w:val="Strong"/>
    <w:qFormat/>
    <w:uiPriority w:val="0"/>
    <w:rPr>
      <w:b/>
      <w:bCs/>
    </w:rPr>
  </w:style>
  <w:style w:type="character" w:styleId="95">
    <w:name w:val="endnote reference"/>
    <w:qFormat/>
    <w:uiPriority w:val="0"/>
    <w:rPr>
      <w:vertAlign w:val="superscript"/>
    </w:rPr>
  </w:style>
  <w:style w:type="character" w:styleId="96">
    <w:name w:val="page number"/>
    <w:basedOn w:val="93"/>
    <w:qFormat/>
    <w:uiPriority w:val="0"/>
  </w:style>
  <w:style w:type="character" w:styleId="97">
    <w:name w:val="FollowedHyperlink"/>
    <w:qFormat/>
    <w:uiPriority w:val="0"/>
    <w:rPr>
      <w:color w:val="800080"/>
      <w:u w:val="single"/>
    </w:rPr>
  </w:style>
  <w:style w:type="character" w:styleId="98">
    <w:name w:val="Hyperlink"/>
    <w:qFormat/>
    <w:uiPriority w:val="99"/>
    <w:rPr>
      <w:color w:val="0000FF"/>
      <w:u w:val="single"/>
    </w:rPr>
  </w:style>
  <w:style w:type="character" w:styleId="99">
    <w:name w:val="annotation reference"/>
    <w:semiHidden/>
    <w:qFormat/>
    <w:uiPriority w:val="0"/>
    <w:rPr>
      <w:sz w:val="21"/>
      <w:szCs w:val="21"/>
    </w:rPr>
  </w:style>
  <w:style w:type="character" w:styleId="100">
    <w:name w:val="footnote reference"/>
    <w:semiHidden/>
    <w:qFormat/>
    <w:uiPriority w:val="99"/>
    <w:rPr>
      <w:vertAlign w:val="superscript"/>
    </w:rPr>
  </w:style>
  <w:style w:type="character" w:customStyle="1" w:styleId="101">
    <w:name w:val="标题 1 Char"/>
    <w:link w:val="3"/>
    <w:qFormat/>
    <w:uiPriority w:val="0"/>
    <w:rPr>
      <w:rFonts w:eastAsia="黑体"/>
      <w:bCs/>
      <w:kern w:val="44"/>
      <w:sz w:val="36"/>
      <w:szCs w:val="44"/>
      <w:lang w:val="zh-CN" w:eastAsia="zh-CN"/>
    </w:rPr>
  </w:style>
  <w:style w:type="character" w:customStyle="1" w:styleId="102">
    <w:name w:val="标题 2 Char"/>
    <w:link w:val="4"/>
    <w:qFormat/>
    <w:uiPriority w:val="0"/>
    <w:rPr>
      <w:rFonts w:ascii="Arial" w:hAnsi="Arial" w:eastAsia="黑体"/>
      <w:bCs/>
      <w:kern w:val="2"/>
      <w:sz w:val="30"/>
      <w:szCs w:val="32"/>
      <w:lang w:val="zh-CN" w:eastAsia="zh-CN"/>
    </w:rPr>
  </w:style>
  <w:style w:type="character" w:customStyle="1" w:styleId="103">
    <w:name w:val="标题 3 Char"/>
    <w:link w:val="5"/>
    <w:qFormat/>
    <w:uiPriority w:val="0"/>
    <w:rPr>
      <w:rFonts w:eastAsia="黑体"/>
      <w:bCs/>
      <w:sz w:val="28"/>
      <w:szCs w:val="32"/>
      <w:lang w:val="zh-CN" w:eastAsia="zh-CN"/>
    </w:rPr>
  </w:style>
  <w:style w:type="character" w:customStyle="1" w:styleId="104">
    <w:name w:val="标题 4 Char"/>
    <w:link w:val="6"/>
    <w:qFormat/>
    <w:uiPriority w:val="0"/>
    <w:rPr>
      <w:rFonts w:ascii="Arial" w:hAnsi="Arial" w:eastAsia="黑体"/>
      <w:bCs/>
      <w:kern w:val="2"/>
      <w:sz w:val="24"/>
      <w:szCs w:val="28"/>
      <w:lang w:val="zh-CN" w:eastAsia="zh-CN"/>
    </w:rPr>
  </w:style>
  <w:style w:type="character" w:customStyle="1" w:styleId="105">
    <w:name w:val="标题 5 Char"/>
    <w:link w:val="7"/>
    <w:qFormat/>
    <w:uiPriority w:val="0"/>
    <w:rPr>
      <w:rFonts w:ascii="仿宋_GB2312" w:hAnsi="黑体" w:eastAsia="仿宋"/>
      <w:b/>
      <w:kern w:val="2"/>
      <w:sz w:val="24"/>
      <w:szCs w:val="24"/>
      <w:lang w:val="zh-CN" w:eastAsia="zh-CN"/>
    </w:rPr>
  </w:style>
  <w:style w:type="character" w:customStyle="1" w:styleId="106">
    <w:name w:val="标题 6 Char"/>
    <w:link w:val="8"/>
    <w:qFormat/>
    <w:uiPriority w:val="0"/>
    <w:rPr>
      <w:rFonts w:ascii="Arial" w:hAnsi="Arial" w:eastAsia="黑体"/>
      <w:b/>
      <w:bCs/>
      <w:kern w:val="2"/>
      <w:sz w:val="24"/>
      <w:szCs w:val="24"/>
      <w:lang w:val="zh-CN" w:eastAsia="zh-CN"/>
    </w:rPr>
  </w:style>
  <w:style w:type="character" w:customStyle="1" w:styleId="107">
    <w:name w:val="标题 7 Char"/>
    <w:link w:val="9"/>
    <w:qFormat/>
    <w:uiPriority w:val="0"/>
    <w:rPr>
      <w:rFonts w:eastAsia="仿宋"/>
      <w:b/>
      <w:bCs/>
      <w:kern w:val="2"/>
      <w:sz w:val="24"/>
      <w:szCs w:val="24"/>
      <w:lang w:val="zh-CN" w:eastAsia="zh-CN"/>
    </w:rPr>
  </w:style>
  <w:style w:type="character" w:customStyle="1" w:styleId="108">
    <w:name w:val="标题 8 Char"/>
    <w:link w:val="10"/>
    <w:qFormat/>
    <w:uiPriority w:val="0"/>
    <w:rPr>
      <w:rFonts w:ascii="Arial" w:hAnsi="Arial" w:eastAsia="黑体"/>
      <w:kern w:val="2"/>
      <w:sz w:val="24"/>
      <w:szCs w:val="24"/>
      <w:lang w:val="zh-CN" w:eastAsia="zh-CN"/>
    </w:rPr>
  </w:style>
  <w:style w:type="character" w:customStyle="1" w:styleId="109">
    <w:name w:val="标题 9 Char"/>
    <w:link w:val="11"/>
    <w:qFormat/>
    <w:uiPriority w:val="0"/>
    <w:rPr>
      <w:rFonts w:ascii="Arial" w:hAnsi="Arial" w:eastAsia="黑体"/>
      <w:kern w:val="2"/>
      <w:sz w:val="24"/>
      <w:szCs w:val="21"/>
      <w:lang w:val="zh-CN" w:eastAsia="zh-CN"/>
    </w:rPr>
  </w:style>
  <w:style w:type="character" w:customStyle="1" w:styleId="110">
    <w:name w:val="文档结构图 Char"/>
    <w:link w:val="26"/>
    <w:qFormat/>
    <w:uiPriority w:val="0"/>
    <w:rPr>
      <w:rFonts w:eastAsia="仿宋"/>
      <w:kern w:val="2"/>
      <w:sz w:val="24"/>
      <w:szCs w:val="24"/>
      <w:shd w:val="clear" w:color="auto" w:fill="000080"/>
    </w:rPr>
  </w:style>
  <w:style w:type="character" w:customStyle="1" w:styleId="111">
    <w:name w:val="脚注文本 Char"/>
    <w:link w:val="67"/>
    <w:qFormat/>
    <w:uiPriority w:val="99"/>
    <w:rPr>
      <w:rFonts w:ascii="Calibri" w:hAnsi="Calibri"/>
      <w:kern w:val="2"/>
      <w:sz w:val="18"/>
      <w:szCs w:val="18"/>
    </w:rPr>
  </w:style>
  <w:style w:type="character" w:customStyle="1" w:styleId="112">
    <w:name w:val="页脚 Char"/>
    <w:link w:val="55"/>
    <w:qFormat/>
    <w:uiPriority w:val="99"/>
    <w:rPr>
      <w:kern w:val="2"/>
      <w:sz w:val="18"/>
      <w:szCs w:val="18"/>
    </w:rPr>
  </w:style>
  <w:style w:type="paragraph" w:customStyle="1" w:styleId="113">
    <w:name w:val="_00000000-0000-0000-0000-000000000001_"/>
    <w:qFormat/>
    <w:uiPriority w:val="0"/>
    <w:pPr>
      <w:widowControl w:val="0"/>
      <w:autoSpaceDE w:val="0"/>
      <w:autoSpaceDN w:val="0"/>
      <w:adjustRightInd w:val="0"/>
      <w:spacing w:line="360" w:lineRule="auto"/>
    </w:pPr>
    <w:rPr>
      <w:rFonts w:ascii="Verdana" w:hAnsi="Verdana" w:eastAsia="宋体" w:cs="Times New Roman"/>
      <w:sz w:val="24"/>
      <w:szCs w:val="24"/>
      <w:lang w:val="en-US" w:eastAsia="zh-CN" w:bidi="ar-SA"/>
    </w:rPr>
  </w:style>
  <w:style w:type="character" w:customStyle="1" w:styleId="114">
    <w:name w:val="_00000000-0000-0000-0000-000000000001_1"/>
    <w:qFormat/>
    <w:uiPriority w:val="0"/>
    <w:rPr>
      <w:rFonts w:cs="Verdana"/>
      <w:sz w:val="21"/>
      <w:szCs w:val="21"/>
    </w:rPr>
  </w:style>
  <w:style w:type="character" w:customStyle="1" w:styleId="115">
    <w:name w:val="批注框文本 Char"/>
    <w:link w:val="54"/>
    <w:qFormat/>
    <w:uiPriority w:val="99"/>
    <w:rPr>
      <w:rFonts w:eastAsia="仿宋"/>
      <w:kern w:val="2"/>
      <w:sz w:val="18"/>
      <w:szCs w:val="18"/>
    </w:rPr>
  </w:style>
  <w:style w:type="character" w:customStyle="1" w:styleId="116">
    <w:name w:val="页眉 Char"/>
    <w:link w:val="57"/>
    <w:qFormat/>
    <w:uiPriority w:val="0"/>
    <w:rPr>
      <w:kern w:val="2"/>
      <w:sz w:val="18"/>
      <w:szCs w:val="18"/>
    </w:rPr>
  </w:style>
  <w:style w:type="paragraph" w:customStyle="1" w:styleId="117">
    <w:name w:val="TOC Heading"/>
    <w:basedOn w:val="3"/>
    <w:next w:val="1"/>
    <w:semiHidden/>
    <w:unhideWhenUsed/>
    <w:qFormat/>
    <w:uiPriority w:val="39"/>
    <w:pPr>
      <w:widowControl/>
      <w:numPr>
        <w:numId w:val="0"/>
      </w:numPr>
      <w:spacing w:before="480" w:line="276" w:lineRule="auto"/>
      <w:jc w:val="left"/>
      <w:outlineLvl w:val="9"/>
    </w:pPr>
    <w:rPr>
      <w:rFonts w:ascii="Cambria" w:hAnsi="Cambria" w:eastAsia="宋体"/>
      <w:color w:val="365F91"/>
      <w:kern w:val="0"/>
      <w:sz w:val="28"/>
      <w:szCs w:val="28"/>
    </w:rPr>
  </w:style>
  <w:style w:type="paragraph" w:styleId="118">
    <w:name w:val="List Paragraph"/>
    <w:basedOn w:val="1"/>
    <w:qFormat/>
    <w:uiPriority w:val="34"/>
    <w:pPr>
      <w:ind w:firstLine="420" w:firstLineChars="200"/>
    </w:pPr>
  </w:style>
  <w:style w:type="character" w:customStyle="1" w:styleId="119">
    <w:name w:val="尾注文本 Char"/>
    <w:link w:val="52"/>
    <w:qFormat/>
    <w:uiPriority w:val="0"/>
    <w:rPr>
      <w:rFonts w:ascii="新宋体" w:hAnsi="新宋体" w:eastAsia="新宋体"/>
      <w:kern w:val="2"/>
      <w:sz w:val="24"/>
      <w:szCs w:val="21"/>
    </w:rPr>
  </w:style>
  <w:style w:type="character" w:customStyle="1" w:styleId="120">
    <w:name w:val="纯文本 Char"/>
    <w:link w:val="45"/>
    <w:qFormat/>
    <w:uiPriority w:val="0"/>
    <w:rPr>
      <w:rFonts w:ascii="宋体" w:hAnsi="Courier New"/>
      <w:kern w:val="2"/>
      <w:sz w:val="21"/>
      <w:szCs w:val="21"/>
    </w:rPr>
  </w:style>
  <w:style w:type="character" w:customStyle="1" w:styleId="121">
    <w:name w:val="apple-style-span"/>
    <w:basedOn w:val="93"/>
    <w:qFormat/>
    <w:uiPriority w:val="0"/>
  </w:style>
  <w:style w:type="character" w:customStyle="1" w:styleId="122">
    <w:name w:val="标题 Char"/>
    <w:link w:val="84"/>
    <w:qFormat/>
    <w:uiPriority w:val="0"/>
    <w:rPr>
      <w:rFonts w:ascii="Cambria" w:hAnsi="Cambria" w:cs="Times New Roman"/>
      <w:b/>
      <w:bCs/>
      <w:kern w:val="2"/>
      <w:sz w:val="32"/>
      <w:szCs w:val="32"/>
    </w:rPr>
  </w:style>
  <w:style w:type="paragraph" w:customStyle="1" w:styleId="123">
    <w:name w:val="Pa3"/>
    <w:basedOn w:val="1"/>
    <w:next w:val="1"/>
    <w:qFormat/>
    <w:uiPriority w:val="99"/>
    <w:pPr>
      <w:autoSpaceDE w:val="0"/>
      <w:autoSpaceDN w:val="0"/>
      <w:adjustRightInd w:val="0"/>
      <w:spacing w:after="220" w:line="221" w:lineRule="atLeast"/>
      <w:jc w:val="left"/>
    </w:pPr>
    <w:rPr>
      <w:rFonts w:ascii="宋体"/>
      <w:kern w:val="0"/>
    </w:rPr>
  </w:style>
  <w:style w:type="paragraph" w:customStyle="1" w:styleId="124">
    <w:name w:val="Char Char Char Char"/>
    <w:basedOn w:val="1"/>
    <w:qFormat/>
    <w:uiPriority w:val="0"/>
    <w:pPr>
      <w:spacing w:line="240" w:lineRule="auto"/>
    </w:pPr>
    <w:rPr>
      <w:sz w:val="21"/>
    </w:rPr>
  </w:style>
  <w:style w:type="paragraph" w:customStyle="1" w:styleId="1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26">
    <w:name w:val="Decimal Aligned"/>
    <w:basedOn w:val="1"/>
    <w:qFormat/>
    <w:uiPriority w:val="40"/>
    <w:pPr>
      <w:widowControl/>
      <w:tabs>
        <w:tab w:val="decimal" w:pos="360"/>
      </w:tabs>
      <w:spacing w:after="200" w:line="276" w:lineRule="auto"/>
      <w:jc w:val="left"/>
    </w:pPr>
    <w:rPr>
      <w:rFonts w:ascii="Calibri" w:hAnsi="Calibri" w:eastAsia="宋体"/>
      <w:kern w:val="0"/>
      <w:sz w:val="22"/>
      <w:szCs w:val="22"/>
    </w:rPr>
  </w:style>
  <w:style w:type="character" w:customStyle="1" w:styleId="127">
    <w:name w:val="Subtle Emphasis"/>
    <w:qFormat/>
    <w:uiPriority w:val="19"/>
    <w:rPr>
      <w:rFonts w:eastAsia="宋体" w:cs="Times New Roman"/>
      <w:i/>
      <w:iCs/>
      <w:color w:val="808080"/>
      <w:szCs w:val="22"/>
      <w:lang w:eastAsia="zh-CN"/>
    </w:rPr>
  </w:style>
  <w:style w:type="table" w:customStyle="1" w:styleId="128">
    <w:name w:val="浅色底纹 - 强调文字颜色 11"/>
    <w:basedOn w:val="88"/>
    <w:qFormat/>
    <w:uiPriority w:val="60"/>
    <w:rPr>
      <w:rFonts w:ascii="Calibri" w:hAnsi="Calibri"/>
      <w:color w:val="365F91"/>
      <w:sz w:val="22"/>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129">
    <w:name w:val="样式1"/>
    <w:next w:val="1"/>
    <w:link w:val="130"/>
    <w:qFormat/>
    <w:uiPriority w:val="0"/>
    <w:pPr>
      <w:numPr>
        <w:ilvl w:val="0"/>
        <w:numId w:val="15"/>
      </w:numPr>
      <w:spacing w:line="360" w:lineRule="auto"/>
    </w:pPr>
    <w:rPr>
      <w:rFonts w:ascii="Arial Unicode MS" w:hAnsi="Arial Unicode MS" w:eastAsia="仿宋" w:cs="Times New Roman"/>
      <w:bCs/>
      <w:kern w:val="2"/>
      <w:sz w:val="24"/>
      <w:szCs w:val="32"/>
      <w:lang w:val="en-US" w:eastAsia="zh-CN" w:bidi="ar-SA"/>
    </w:rPr>
  </w:style>
  <w:style w:type="character" w:customStyle="1" w:styleId="130">
    <w:name w:val="样式1 Char"/>
    <w:link w:val="129"/>
    <w:qFormat/>
    <w:uiPriority w:val="0"/>
    <w:rPr>
      <w:rFonts w:ascii="Arial Unicode MS" w:hAnsi="Arial Unicode MS" w:eastAsia="仿宋"/>
      <w:bCs/>
      <w:kern w:val="2"/>
      <w:sz w:val="24"/>
      <w:szCs w:val="32"/>
    </w:rPr>
  </w:style>
  <w:style w:type="character" w:customStyle="1" w:styleId="131">
    <w:name w:val="页码1"/>
    <w:qFormat/>
    <w:uiPriority w:val="0"/>
  </w:style>
  <w:style w:type="paragraph" w:customStyle="1" w:styleId="132">
    <w:name w:val="样式 标题 3 + 首行缩进:  1.96 字符"/>
    <w:basedOn w:val="5"/>
    <w:qFormat/>
    <w:uiPriority w:val="0"/>
    <w:pPr>
      <w:numPr>
        <w:ilvl w:val="2"/>
        <w:numId w:val="0"/>
      </w:numPr>
      <w:tabs>
        <w:tab w:val="left" w:pos="720"/>
      </w:tabs>
      <w:spacing w:before="260" w:beforeLines="0" w:after="260"/>
      <w:ind w:firstLine="472" w:firstLineChars="196"/>
    </w:pPr>
    <w:rPr>
      <w:rFonts w:ascii="宋体" w:hAnsi="Arial-Black" w:eastAsia="宋体" w:cs="宋体"/>
      <w:b/>
      <w:kern w:val="2"/>
      <w:sz w:val="24"/>
      <w:szCs w:val="24"/>
      <w:lang w:val="en-US" w:eastAsia="zh-CN"/>
    </w:rPr>
  </w:style>
  <w:style w:type="paragraph" w:customStyle="1" w:styleId="133">
    <w:name w:val="Char Char Char Char1"/>
    <w:basedOn w:val="1"/>
    <w:qFormat/>
    <w:uiPriority w:val="0"/>
    <w:pPr>
      <w:spacing w:before="156" w:beforeLines="50" w:after="156" w:afterLines="50" w:line="540" w:lineRule="exact"/>
    </w:pPr>
    <w:rPr>
      <w:rFonts w:ascii="宋体" w:hAnsi="Arial-Black" w:eastAsia="宋体" w:cs="宋体"/>
      <w:color w:val="002060"/>
      <w:kern w:val="0"/>
    </w:rPr>
  </w:style>
  <w:style w:type="paragraph" w:customStyle="1" w:styleId="134">
    <w:name w:val="Pa0"/>
    <w:basedOn w:val="1"/>
    <w:next w:val="1"/>
    <w:qFormat/>
    <w:uiPriority w:val="0"/>
    <w:pPr>
      <w:autoSpaceDE w:val="0"/>
      <w:autoSpaceDN w:val="0"/>
      <w:adjustRightInd w:val="0"/>
      <w:spacing w:before="156" w:beforeLines="50" w:after="156" w:afterLines="50" w:line="241" w:lineRule="atLeast"/>
      <w:jc w:val="left"/>
    </w:pPr>
    <w:rPr>
      <w:rFonts w:ascii="宋体" w:eastAsia="宋体"/>
      <w:kern w:val="0"/>
    </w:rPr>
  </w:style>
  <w:style w:type="paragraph" w:customStyle="1" w:styleId="135">
    <w:name w:val="TOC 标题1"/>
    <w:basedOn w:val="3"/>
    <w:next w:val="1"/>
    <w:qFormat/>
    <w:uiPriority w:val="0"/>
    <w:pPr>
      <w:widowControl/>
      <w:numPr>
        <w:numId w:val="0"/>
      </w:numPr>
      <w:tabs>
        <w:tab w:val="left" w:pos="432"/>
      </w:tabs>
      <w:autoSpaceDE w:val="0"/>
      <w:autoSpaceDN w:val="0"/>
      <w:spacing w:before="480" w:beforeLines="0" w:after="0" w:afterLines="0" w:line="276" w:lineRule="auto"/>
      <w:jc w:val="left"/>
      <w:outlineLvl w:val="9"/>
    </w:pPr>
    <w:rPr>
      <w:rFonts w:ascii="Cambria" w:hAnsi="Cambria" w:eastAsia="宋体" w:cs="Cambria"/>
      <w:b/>
      <w:color w:val="365F91"/>
      <w:kern w:val="0"/>
      <w:sz w:val="28"/>
      <w:szCs w:val="28"/>
      <w:lang w:val="en-US" w:eastAsia="zh-CN"/>
    </w:rPr>
  </w:style>
  <w:style w:type="paragraph" w:customStyle="1" w:styleId="136">
    <w:name w:val="table_p1"/>
    <w:basedOn w:val="1"/>
    <w:qFormat/>
    <w:uiPriority w:val="0"/>
    <w:pPr>
      <w:widowControl/>
      <w:spacing w:line="240" w:lineRule="auto"/>
      <w:jc w:val="left"/>
    </w:pPr>
    <w:rPr>
      <w:rFonts w:ascii="宋体" w:hAnsi="宋体" w:eastAsia="宋体" w:cs="宋体"/>
      <w:kern w:val="0"/>
    </w:rPr>
  </w:style>
  <w:style w:type="paragraph" w:customStyle="1" w:styleId="137">
    <w:name w:val="[基本段落]"/>
    <w:basedOn w:val="1"/>
    <w:qFormat/>
    <w:uiPriority w:val="99"/>
    <w:pPr>
      <w:autoSpaceDE w:val="0"/>
      <w:autoSpaceDN w:val="0"/>
      <w:adjustRightInd w:val="0"/>
      <w:spacing w:line="288" w:lineRule="auto"/>
      <w:textAlignment w:val="center"/>
    </w:pPr>
    <w:rPr>
      <w:rFonts w:ascii="宋体" w:hAnsi="Calibri" w:eastAsia="宋体" w:cs="宋体"/>
      <w:color w:val="000000"/>
      <w:kern w:val="0"/>
      <w:lang w:val="zh-CN"/>
    </w:rPr>
  </w:style>
  <w:style w:type="character" w:customStyle="1" w:styleId="138">
    <w:name w:val="结束语 Char"/>
    <w:link w:val="32"/>
    <w:qFormat/>
    <w:uiPriority w:val="0"/>
    <w:rPr>
      <w:rFonts w:ascii="楷体_GB2312" w:eastAsia="楷体_GB2312"/>
      <w:kern w:val="2"/>
      <w:sz w:val="28"/>
      <w:szCs w:val="24"/>
    </w:rPr>
  </w:style>
  <w:style w:type="character" w:customStyle="1" w:styleId="139">
    <w:name w:val="正文文本 Char"/>
    <w:link w:val="34"/>
    <w:qFormat/>
    <w:uiPriority w:val="0"/>
    <w:rPr>
      <w:rFonts w:ascii="宋体" w:hAnsi="宋体"/>
      <w:kern w:val="2"/>
      <w:sz w:val="18"/>
      <w:szCs w:val="24"/>
    </w:rPr>
  </w:style>
  <w:style w:type="character" w:customStyle="1" w:styleId="140">
    <w:name w:val="正文文本缩进 Char"/>
    <w:link w:val="35"/>
    <w:qFormat/>
    <w:uiPriority w:val="0"/>
    <w:rPr>
      <w:kern w:val="2"/>
      <w:sz w:val="24"/>
      <w:szCs w:val="24"/>
    </w:rPr>
  </w:style>
  <w:style w:type="character" w:customStyle="1" w:styleId="141">
    <w:name w:val="日期 Char"/>
    <w:link w:val="50"/>
    <w:qFormat/>
    <w:uiPriority w:val="0"/>
    <w:rPr>
      <w:b/>
      <w:bCs/>
      <w:kern w:val="2"/>
      <w:sz w:val="24"/>
      <w:szCs w:val="24"/>
    </w:rPr>
  </w:style>
  <w:style w:type="character" w:customStyle="1" w:styleId="142">
    <w:name w:val="正文文本缩进 2 Char"/>
    <w:link w:val="51"/>
    <w:qFormat/>
    <w:uiPriority w:val="0"/>
    <w:rPr>
      <w:kern w:val="2"/>
      <w:sz w:val="24"/>
      <w:szCs w:val="24"/>
    </w:rPr>
  </w:style>
  <w:style w:type="character" w:customStyle="1" w:styleId="143">
    <w:name w:val="正文文本缩进 3 Char"/>
    <w:link w:val="70"/>
    <w:qFormat/>
    <w:uiPriority w:val="0"/>
    <w:rPr>
      <w:kern w:val="2"/>
      <w:sz w:val="24"/>
      <w:szCs w:val="24"/>
    </w:rPr>
  </w:style>
  <w:style w:type="character" w:customStyle="1" w:styleId="144">
    <w:name w:val="正文文本 2 Char"/>
    <w:link w:val="76"/>
    <w:qFormat/>
    <w:uiPriority w:val="0"/>
    <w:rPr>
      <w:rFonts w:ascii="宋体" w:hAnsi="宋体"/>
      <w:kern w:val="2"/>
      <w:sz w:val="18"/>
      <w:szCs w:val="24"/>
    </w:rPr>
  </w:style>
  <w:style w:type="paragraph" w:customStyle="1" w:styleId="145">
    <w:name w:val="标题二"/>
    <w:basedOn w:val="4"/>
    <w:qFormat/>
    <w:uiPriority w:val="0"/>
    <w:pPr>
      <w:keepLines w:val="0"/>
    </w:pPr>
    <w:rPr>
      <w:rFonts w:ascii="Times New Roman" w:hAnsi="Times New Roman" w:eastAsia="宋体"/>
      <w:b/>
      <w:bCs w:val="0"/>
      <w:sz w:val="24"/>
      <w:szCs w:val="24"/>
      <w:lang w:val="en-US" w:eastAsia="zh-CN"/>
    </w:rPr>
  </w:style>
  <w:style w:type="paragraph" w:customStyle="1" w:styleId="146">
    <w:name w:val="0"/>
    <w:basedOn w:val="1"/>
    <w:qFormat/>
    <w:uiPriority w:val="0"/>
    <w:pPr>
      <w:ind w:left="2" w:leftChars="1" w:firstLine="418"/>
    </w:pPr>
    <w:rPr>
      <w:rFonts w:ascii="宋体" w:hAnsi="宋体" w:eastAsia="宋体"/>
    </w:rPr>
  </w:style>
  <w:style w:type="paragraph" w:customStyle="1" w:styleId="147">
    <w:name w:val="1"/>
    <w:basedOn w:val="1"/>
    <w:qFormat/>
    <w:uiPriority w:val="0"/>
    <w:rPr>
      <w:rFonts w:eastAsia="黑体"/>
      <w:b/>
      <w:bCs/>
      <w:sz w:val="30"/>
    </w:rPr>
  </w:style>
  <w:style w:type="paragraph" w:customStyle="1" w:styleId="148">
    <w:name w:val="列出段落1"/>
    <w:basedOn w:val="1"/>
    <w:qFormat/>
    <w:uiPriority w:val="34"/>
    <w:pPr>
      <w:ind w:firstLine="420" w:firstLineChars="200"/>
    </w:pPr>
    <w:rPr>
      <w:rFonts w:eastAsia="宋体"/>
    </w:rPr>
  </w:style>
  <w:style w:type="paragraph" w:customStyle="1" w:styleId="149">
    <w:name w:val="TOC 标题11"/>
    <w:basedOn w:val="3"/>
    <w:next w:val="1"/>
    <w:unhideWhenUsed/>
    <w:qFormat/>
    <w:uiPriority w:val="39"/>
    <w:pPr>
      <w:widowControl/>
      <w:numPr>
        <w:numId w:val="0"/>
      </w:numPr>
      <w:spacing w:before="0" w:beforeLines="0" w:after="0" w:afterLines="0" w:line="276" w:lineRule="auto"/>
      <w:jc w:val="left"/>
      <w:outlineLvl w:val="9"/>
    </w:pPr>
    <w:rPr>
      <w:rFonts w:ascii="Cambria" w:hAnsi="Cambria" w:eastAsia="宋体"/>
      <w:b/>
      <w:color w:val="365F91"/>
      <w:kern w:val="0"/>
      <w:sz w:val="28"/>
      <w:szCs w:val="28"/>
      <w:lang w:val="en-US" w:eastAsia="zh-CN"/>
    </w:rPr>
  </w:style>
  <w:style w:type="paragraph" w:customStyle="1" w:styleId="150">
    <w:name w:val="Pa7"/>
    <w:basedOn w:val="125"/>
    <w:next w:val="125"/>
    <w:qFormat/>
    <w:uiPriority w:val="99"/>
    <w:pPr>
      <w:spacing w:line="241" w:lineRule="atLeast"/>
    </w:pPr>
    <w:rPr>
      <w:rFonts w:ascii="华文细黑籴." w:eastAsia="华文细黑籴." w:cs="Times New Roman"/>
      <w:color w:val="auto"/>
    </w:rPr>
  </w:style>
  <w:style w:type="character" w:customStyle="1" w:styleId="151">
    <w:name w:val="页眉 字符"/>
    <w:qFormat/>
    <w:uiPriority w:val="0"/>
    <w:rPr>
      <w:sz w:val="18"/>
      <w:szCs w:val="18"/>
    </w:rPr>
  </w:style>
  <w:style w:type="character" w:customStyle="1" w:styleId="152">
    <w:name w:val="页脚 字符"/>
    <w:qFormat/>
    <w:uiPriority w:val="99"/>
    <w:rPr>
      <w:sz w:val="18"/>
      <w:szCs w:val="18"/>
    </w:rPr>
  </w:style>
  <w:style w:type="character" w:customStyle="1" w:styleId="153">
    <w:name w:val="标题 1 字符"/>
    <w:qFormat/>
    <w:uiPriority w:val="0"/>
    <w:rPr>
      <w:rFonts w:ascii="Times New Roman" w:hAnsi="Times New Roman" w:eastAsia="宋体" w:cs="Times New Roman"/>
      <w:b/>
      <w:bCs/>
      <w:kern w:val="2"/>
      <w:sz w:val="30"/>
      <w:szCs w:val="24"/>
    </w:rPr>
  </w:style>
  <w:style w:type="character" w:customStyle="1" w:styleId="154">
    <w:name w:val="标题 2 字符"/>
    <w:qFormat/>
    <w:uiPriority w:val="0"/>
    <w:rPr>
      <w:rFonts w:ascii="Times New Roman" w:hAnsi="Times New Roman" w:eastAsia="宋体" w:cs="Times New Roman"/>
      <w:b/>
      <w:sz w:val="24"/>
      <w:szCs w:val="24"/>
    </w:rPr>
  </w:style>
  <w:style w:type="character" w:customStyle="1" w:styleId="155">
    <w:name w:val="标题 3 字符"/>
    <w:qFormat/>
    <w:uiPriority w:val="0"/>
    <w:rPr>
      <w:rFonts w:ascii="宋体" w:hAnsi="宋体" w:eastAsia="宋体" w:cs="Times New Roman"/>
      <w:b/>
      <w:bCs/>
      <w:sz w:val="24"/>
      <w:szCs w:val="24"/>
    </w:rPr>
  </w:style>
  <w:style w:type="character" w:customStyle="1" w:styleId="156">
    <w:name w:val="标题 4 字符"/>
    <w:qFormat/>
    <w:uiPriority w:val="0"/>
    <w:rPr>
      <w:rFonts w:ascii="Arial" w:hAnsi="Arial" w:eastAsia="黑体" w:cs="Times New Roman"/>
      <w:b/>
      <w:bCs/>
      <w:sz w:val="28"/>
      <w:szCs w:val="28"/>
    </w:rPr>
  </w:style>
  <w:style w:type="character" w:customStyle="1" w:styleId="157">
    <w:name w:val="标题 5 字符"/>
    <w:qFormat/>
    <w:uiPriority w:val="0"/>
    <w:rPr>
      <w:rFonts w:ascii="Times New Roman" w:hAnsi="Times New Roman" w:eastAsia="宋体" w:cs="Times New Roman"/>
      <w:b/>
      <w:bCs/>
      <w:sz w:val="28"/>
      <w:szCs w:val="28"/>
    </w:rPr>
  </w:style>
  <w:style w:type="character" w:customStyle="1" w:styleId="158">
    <w:name w:val="标题 6 字符"/>
    <w:qFormat/>
    <w:uiPriority w:val="0"/>
    <w:rPr>
      <w:rFonts w:ascii="Arial" w:hAnsi="Arial" w:eastAsia="黑体" w:cs="Times New Roman"/>
      <w:b/>
      <w:bCs/>
      <w:sz w:val="24"/>
      <w:szCs w:val="24"/>
    </w:rPr>
  </w:style>
  <w:style w:type="character" w:customStyle="1" w:styleId="159">
    <w:name w:val="标题 7 字符"/>
    <w:qFormat/>
    <w:uiPriority w:val="0"/>
    <w:rPr>
      <w:rFonts w:ascii="Times New Roman" w:hAnsi="Times New Roman" w:eastAsia="宋体" w:cs="Times New Roman"/>
      <w:b/>
      <w:bCs/>
      <w:sz w:val="24"/>
      <w:szCs w:val="24"/>
    </w:rPr>
  </w:style>
  <w:style w:type="character" w:customStyle="1" w:styleId="160">
    <w:name w:val="标题 8 字符"/>
    <w:qFormat/>
    <w:uiPriority w:val="0"/>
    <w:rPr>
      <w:rFonts w:ascii="Arial" w:hAnsi="Arial" w:eastAsia="黑体" w:cs="Times New Roman"/>
      <w:sz w:val="24"/>
      <w:szCs w:val="24"/>
    </w:rPr>
  </w:style>
  <w:style w:type="character" w:customStyle="1" w:styleId="161">
    <w:name w:val="标题 9 字符"/>
    <w:qFormat/>
    <w:uiPriority w:val="0"/>
    <w:rPr>
      <w:rFonts w:ascii="Arial" w:hAnsi="Arial" w:eastAsia="黑体" w:cs="Times New Roman"/>
      <w:szCs w:val="21"/>
    </w:rPr>
  </w:style>
  <w:style w:type="character" w:customStyle="1" w:styleId="162">
    <w:name w:val="批注框文本 字符"/>
    <w:qFormat/>
    <w:uiPriority w:val="99"/>
    <w:rPr>
      <w:rFonts w:ascii="Times New Roman" w:hAnsi="Times New Roman" w:eastAsia="宋体" w:cs="Times New Roman"/>
      <w:sz w:val="18"/>
      <w:szCs w:val="18"/>
    </w:rPr>
  </w:style>
  <w:style w:type="character" w:customStyle="1" w:styleId="163">
    <w:name w:val="未处理的提及1"/>
    <w:semiHidden/>
    <w:unhideWhenUsed/>
    <w:qFormat/>
    <w:uiPriority w:val="99"/>
    <w:rPr>
      <w:color w:val="808080"/>
      <w:shd w:val="clear" w:color="auto" w:fill="E6E6E6"/>
    </w:rPr>
  </w:style>
  <w:style w:type="character" w:customStyle="1" w:styleId="164">
    <w:name w:val="Unresolved Mention"/>
    <w:basedOn w:val="93"/>
    <w:semiHidden/>
    <w:unhideWhenUsed/>
    <w:qFormat/>
    <w:uiPriority w:val="99"/>
    <w:rPr>
      <w:color w:val="808080"/>
      <w:shd w:val="clear" w:color="auto" w:fill="E6E6E6"/>
    </w:rPr>
  </w:style>
  <w:style w:type="character" w:customStyle="1" w:styleId="165">
    <w:name w:val="HTML 地址 Char"/>
    <w:basedOn w:val="93"/>
    <w:link w:val="41"/>
    <w:qFormat/>
    <w:uiPriority w:val="0"/>
    <w:rPr>
      <w:rFonts w:eastAsia="仿宋"/>
      <w:i/>
      <w:iCs/>
      <w:kern w:val="2"/>
      <w:sz w:val="24"/>
      <w:szCs w:val="24"/>
    </w:rPr>
  </w:style>
  <w:style w:type="character" w:customStyle="1" w:styleId="166">
    <w:name w:val="HTML 预设格式 Char"/>
    <w:basedOn w:val="93"/>
    <w:link w:val="80"/>
    <w:semiHidden/>
    <w:qFormat/>
    <w:uiPriority w:val="0"/>
    <w:rPr>
      <w:rFonts w:ascii="Courier New" w:hAnsi="Courier New" w:eastAsia="仿宋" w:cs="Courier New"/>
      <w:kern w:val="2"/>
    </w:rPr>
  </w:style>
  <w:style w:type="character" w:customStyle="1" w:styleId="167">
    <w:name w:val="称呼 Char"/>
    <w:basedOn w:val="93"/>
    <w:link w:val="30"/>
    <w:qFormat/>
    <w:uiPriority w:val="0"/>
    <w:rPr>
      <w:rFonts w:eastAsia="仿宋"/>
      <w:kern w:val="2"/>
      <w:sz w:val="24"/>
      <w:szCs w:val="24"/>
    </w:rPr>
  </w:style>
  <w:style w:type="character" w:customStyle="1" w:styleId="168">
    <w:name w:val="电子邮件签名 Char"/>
    <w:basedOn w:val="93"/>
    <w:link w:val="19"/>
    <w:qFormat/>
    <w:uiPriority w:val="0"/>
    <w:rPr>
      <w:rFonts w:eastAsia="仿宋"/>
      <w:kern w:val="2"/>
      <w:sz w:val="24"/>
      <w:szCs w:val="24"/>
    </w:rPr>
  </w:style>
  <w:style w:type="character" w:customStyle="1" w:styleId="169">
    <w:name w:val="副标题 Char"/>
    <w:basedOn w:val="93"/>
    <w:link w:val="64"/>
    <w:qFormat/>
    <w:uiPriority w:val="0"/>
    <w:rPr>
      <w:rFonts w:asciiTheme="majorHAnsi" w:hAnsiTheme="majorHAnsi" w:cstheme="majorBidi"/>
      <w:b/>
      <w:bCs/>
      <w:kern w:val="28"/>
      <w:sz w:val="32"/>
      <w:szCs w:val="32"/>
    </w:rPr>
  </w:style>
  <w:style w:type="character" w:customStyle="1" w:styleId="170">
    <w:name w:val="宏文本 Char"/>
    <w:basedOn w:val="93"/>
    <w:link w:val="2"/>
    <w:qFormat/>
    <w:uiPriority w:val="0"/>
    <w:rPr>
      <w:rFonts w:ascii="Courier New" w:hAnsi="Courier New" w:cs="Courier New"/>
      <w:kern w:val="2"/>
      <w:sz w:val="24"/>
      <w:szCs w:val="24"/>
    </w:rPr>
  </w:style>
  <w:style w:type="paragraph" w:styleId="171">
    <w:name w:val="Intense Quote"/>
    <w:basedOn w:val="1"/>
    <w:next w:val="1"/>
    <w:link w:val="172"/>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72">
    <w:name w:val="明显引用 Char"/>
    <w:basedOn w:val="93"/>
    <w:link w:val="171"/>
    <w:qFormat/>
    <w:uiPriority w:val="30"/>
    <w:rPr>
      <w:rFonts w:eastAsia="仿宋"/>
      <w:i/>
      <w:iCs/>
      <w:color w:val="5B9BD5" w:themeColor="accent1"/>
      <w:kern w:val="2"/>
      <w:sz w:val="24"/>
      <w:szCs w:val="24"/>
      <w14:textFill>
        <w14:solidFill>
          <w14:schemeClr w14:val="accent1"/>
        </w14:solidFill>
      </w14:textFill>
    </w:rPr>
  </w:style>
  <w:style w:type="character" w:customStyle="1" w:styleId="173">
    <w:name w:val="签名 Char"/>
    <w:basedOn w:val="93"/>
    <w:link w:val="58"/>
    <w:qFormat/>
    <w:uiPriority w:val="0"/>
    <w:rPr>
      <w:rFonts w:eastAsia="仿宋"/>
      <w:kern w:val="2"/>
      <w:sz w:val="24"/>
      <w:szCs w:val="24"/>
    </w:rPr>
  </w:style>
  <w:style w:type="paragraph" w:customStyle="1" w:styleId="174">
    <w:name w:val="Bibliography"/>
    <w:basedOn w:val="1"/>
    <w:next w:val="1"/>
    <w:semiHidden/>
    <w:unhideWhenUsed/>
    <w:qFormat/>
    <w:uiPriority w:val="37"/>
  </w:style>
  <w:style w:type="paragraph" w:styleId="175">
    <w:name w:val="No Spacing"/>
    <w:qFormat/>
    <w:uiPriority w:val="1"/>
    <w:pPr>
      <w:widowControl w:val="0"/>
      <w:jc w:val="both"/>
    </w:pPr>
    <w:rPr>
      <w:rFonts w:ascii="Times New Roman" w:hAnsi="Times New Roman" w:eastAsia="仿宋" w:cs="Times New Roman"/>
      <w:kern w:val="2"/>
      <w:sz w:val="24"/>
      <w:szCs w:val="24"/>
      <w:lang w:val="en-US" w:eastAsia="zh-CN" w:bidi="ar-SA"/>
    </w:rPr>
  </w:style>
  <w:style w:type="character" w:customStyle="1" w:styleId="176">
    <w:name w:val="信息标题 Char"/>
    <w:basedOn w:val="93"/>
    <w:link w:val="79"/>
    <w:qFormat/>
    <w:uiPriority w:val="0"/>
    <w:rPr>
      <w:rFonts w:asciiTheme="majorHAnsi" w:hAnsiTheme="majorHAnsi" w:eastAsiaTheme="majorEastAsia" w:cstheme="majorBidi"/>
      <w:kern w:val="2"/>
      <w:sz w:val="24"/>
      <w:szCs w:val="24"/>
      <w:shd w:val="pct20" w:color="auto" w:fill="auto"/>
    </w:rPr>
  </w:style>
  <w:style w:type="paragraph" w:styleId="177">
    <w:name w:val="Quote"/>
    <w:basedOn w:val="1"/>
    <w:next w:val="1"/>
    <w:link w:val="178"/>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引用 Char"/>
    <w:basedOn w:val="93"/>
    <w:link w:val="177"/>
    <w:qFormat/>
    <w:uiPriority w:val="29"/>
    <w:rPr>
      <w:rFonts w:eastAsia="仿宋"/>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79">
    <w:name w:val="正文首行缩进 Char"/>
    <w:basedOn w:val="139"/>
    <w:link w:val="86"/>
    <w:qFormat/>
    <w:uiPriority w:val="0"/>
    <w:rPr>
      <w:rFonts w:ascii="宋体" w:hAnsi="宋体" w:eastAsia="仿宋"/>
      <w:kern w:val="2"/>
      <w:sz w:val="24"/>
      <w:szCs w:val="24"/>
    </w:rPr>
  </w:style>
  <w:style w:type="character" w:customStyle="1" w:styleId="180">
    <w:name w:val="正文首行缩进 2 Char"/>
    <w:basedOn w:val="140"/>
    <w:link w:val="87"/>
    <w:qFormat/>
    <w:uiPriority w:val="0"/>
    <w:rPr>
      <w:rFonts w:eastAsia="仿宋"/>
      <w:kern w:val="2"/>
      <w:sz w:val="24"/>
      <w:szCs w:val="24"/>
    </w:rPr>
  </w:style>
  <w:style w:type="character" w:customStyle="1" w:styleId="181">
    <w:name w:val="正文文本 3 Char"/>
    <w:basedOn w:val="93"/>
    <w:link w:val="31"/>
    <w:qFormat/>
    <w:uiPriority w:val="0"/>
    <w:rPr>
      <w:rFonts w:eastAsia="仿宋"/>
      <w:kern w:val="2"/>
      <w:sz w:val="16"/>
      <w:szCs w:val="16"/>
    </w:rPr>
  </w:style>
  <w:style w:type="character" w:customStyle="1" w:styleId="182">
    <w:name w:val="注释标题 Char"/>
    <w:basedOn w:val="93"/>
    <w:link w:val="16"/>
    <w:qFormat/>
    <w:uiPriority w:val="0"/>
    <w:rPr>
      <w:rFonts w:eastAsia="仿宋"/>
      <w:kern w:val="2"/>
      <w:sz w:val="24"/>
      <w:szCs w:val="24"/>
    </w:rPr>
  </w:style>
  <w:style w:type="paragraph" w:customStyle="1" w:styleId="183">
    <w:name w:val="Body text|8"/>
    <w:basedOn w:val="1"/>
    <w:qFormat/>
    <w:uiPriority w:val="0"/>
    <w:pPr>
      <w:widowControl w:val="0"/>
      <w:shd w:val="clear" w:color="auto" w:fill="auto"/>
    </w:pPr>
    <w:rPr>
      <w:rFonts w:ascii="宋体" w:hAnsi="宋体" w:eastAsia="宋体" w:cs="宋体"/>
      <w:sz w:val="48"/>
      <w:szCs w:val="4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user002\.config\qaxbrowser\Default\DownloadCache\C:\Users\Administrator\Desktop\&#35268;&#21010;&#25991;&#26412;&#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规划文本模板</Template>
  <Pages>42</Pages>
  <Words>43523</Words>
  <Characters>45260</Characters>
  <Lines>1525</Lines>
  <Paragraphs>2030</Paragraphs>
  <TotalTime>8</TotalTime>
  <ScaleCrop>false</ScaleCrop>
  <LinksUpToDate>false</LinksUpToDate>
  <CharactersWithSpaces>45629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2021-07-09T17:10:00Z</dcterms:created>
  <dc:creator>Windows 用户</dc:creator>
  <cp:lastModifiedBy>小容</cp:lastModifiedBy>
  <cp:lastPrinted>2021-06-19T16:40:00Z</cp:lastPrinted>
  <dcterms:modified xsi:type="dcterms:W3CDTF">2023-04-14T09:55:41Z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44C84FCFD1294C348531E2CF1FBFBB7D</vt:lpwstr>
  </property>
</Properties>
</file>