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olor w:val="auto"/>
          <w:sz w:val="52"/>
          <w:szCs w:val="52"/>
        </w:rPr>
      </w:pPr>
    </w:p>
    <w:p>
      <w:pPr>
        <w:rPr>
          <w:rFonts w:ascii="黑体" w:hAnsi="黑体" w:eastAsia="黑体"/>
          <w:color w:val="auto"/>
          <w:sz w:val="52"/>
          <w:szCs w:val="52"/>
        </w:rPr>
      </w:pPr>
    </w:p>
    <w:p>
      <w:pPr>
        <w:jc w:val="center"/>
        <w:rPr>
          <w:rFonts w:ascii="黑体" w:hAnsi="黑体" w:eastAsia="黑体"/>
          <w:color w:val="auto"/>
          <w:sz w:val="52"/>
          <w:szCs w:val="52"/>
        </w:rPr>
      </w:pPr>
      <w:r>
        <w:rPr>
          <w:rFonts w:hint="eastAsia" w:ascii="黑体" w:hAnsi="黑体" w:eastAsia="黑体"/>
          <w:color w:val="auto"/>
          <w:sz w:val="52"/>
          <w:szCs w:val="52"/>
        </w:rPr>
        <w:t>深圳市改革开放重要史迹保护利用战略规划</w:t>
      </w:r>
    </w:p>
    <w:p>
      <w:pPr>
        <w:jc w:val="center"/>
        <w:rPr>
          <w:rFonts w:ascii="黑体" w:hAnsi="黑体" w:eastAsia="黑体"/>
          <w:color w:val="auto"/>
          <w:sz w:val="52"/>
          <w:szCs w:val="52"/>
        </w:rPr>
      </w:pPr>
    </w:p>
    <w:p>
      <w:pPr>
        <w:jc w:val="center"/>
        <w:rPr>
          <w:rFonts w:ascii="黑体" w:hAnsi="黑体" w:eastAsia="黑体"/>
          <w:color w:val="auto"/>
          <w:sz w:val="52"/>
          <w:szCs w:val="52"/>
        </w:rPr>
      </w:pPr>
    </w:p>
    <w:p>
      <w:pPr>
        <w:jc w:val="center"/>
        <w:rPr>
          <w:rFonts w:ascii="黑体" w:hAnsi="黑体" w:eastAsia="黑体"/>
          <w:color w:val="auto"/>
          <w:sz w:val="52"/>
          <w:szCs w:val="52"/>
        </w:rPr>
      </w:pPr>
    </w:p>
    <w:p>
      <w:pPr>
        <w:jc w:val="center"/>
        <w:rPr>
          <w:rFonts w:ascii="黑体" w:hAnsi="黑体" w:eastAsia="黑体"/>
          <w:color w:val="auto"/>
          <w:sz w:val="52"/>
          <w:szCs w:val="52"/>
        </w:rPr>
      </w:pPr>
    </w:p>
    <w:p>
      <w:pPr>
        <w:jc w:val="center"/>
        <w:rPr>
          <w:rFonts w:ascii="黑体" w:hAnsi="黑体" w:eastAsia="黑体"/>
          <w:color w:val="auto"/>
          <w:sz w:val="52"/>
          <w:szCs w:val="52"/>
        </w:rPr>
      </w:pPr>
    </w:p>
    <w:p>
      <w:pPr>
        <w:jc w:val="center"/>
        <w:rPr>
          <w:rFonts w:ascii="黑体" w:hAnsi="黑体" w:eastAsia="黑体"/>
          <w:color w:val="auto"/>
          <w:sz w:val="52"/>
          <w:szCs w:val="52"/>
        </w:rPr>
      </w:pPr>
    </w:p>
    <w:p>
      <w:pPr>
        <w:jc w:val="center"/>
        <w:rPr>
          <w:rFonts w:ascii="黑体" w:hAnsi="黑体" w:eastAsia="黑体"/>
          <w:color w:val="auto"/>
          <w:sz w:val="52"/>
          <w:szCs w:val="52"/>
        </w:rPr>
      </w:pPr>
    </w:p>
    <w:p>
      <w:pPr>
        <w:jc w:val="center"/>
        <w:rPr>
          <w:rFonts w:ascii="黑体" w:hAnsi="黑体" w:eastAsia="黑体"/>
          <w:color w:val="auto"/>
          <w:sz w:val="52"/>
          <w:szCs w:val="52"/>
        </w:rPr>
      </w:pPr>
    </w:p>
    <w:p>
      <w:pPr>
        <w:jc w:val="center"/>
        <w:rPr>
          <w:rFonts w:ascii="黑体" w:hAnsi="黑体" w:eastAsia="黑体"/>
          <w:color w:val="auto"/>
          <w:sz w:val="32"/>
          <w:szCs w:val="52"/>
        </w:rPr>
      </w:pPr>
      <w:r>
        <w:rPr>
          <w:rFonts w:hint="eastAsia" w:ascii="黑体" w:hAnsi="黑体" w:eastAsia="黑体"/>
          <w:color w:val="auto"/>
          <w:sz w:val="32"/>
          <w:szCs w:val="52"/>
        </w:rPr>
        <w:t>中国文化遗产研究院</w:t>
      </w:r>
    </w:p>
    <w:p>
      <w:pPr>
        <w:jc w:val="center"/>
        <w:rPr>
          <w:rFonts w:ascii="黑体" w:hAnsi="黑体" w:eastAsia="黑体"/>
          <w:color w:val="auto"/>
          <w:sz w:val="32"/>
          <w:szCs w:val="52"/>
        </w:rPr>
      </w:pPr>
      <w:r>
        <w:rPr>
          <w:rFonts w:hint="eastAsia" w:ascii="黑体" w:hAnsi="黑体" w:eastAsia="黑体"/>
          <w:color w:val="auto"/>
          <w:sz w:val="32"/>
          <w:szCs w:val="52"/>
        </w:rPr>
        <w:t>东南大学建筑设计研究院有限公司</w:t>
      </w:r>
    </w:p>
    <w:p>
      <w:pPr>
        <w:jc w:val="center"/>
        <w:rPr>
          <w:rFonts w:ascii="黑体" w:hAnsi="黑体" w:eastAsia="黑体"/>
          <w:color w:val="auto"/>
          <w:sz w:val="32"/>
          <w:szCs w:val="52"/>
        </w:rPr>
        <w:sectPr>
          <w:headerReference r:id="rId3" w:type="default"/>
          <w:headerReference r:id="rId4" w:type="even"/>
          <w:pgSz w:w="23811" w:h="16838" w:orient="landscape"/>
          <w:pgMar w:top="1800" w:right="1440" w:bottom="1800" w:left="1440" w:header="851" w:footer="992" w:gutter="0"/>
          <w:cols w:space="425" w:num="1"/>
          <w:docGrid w:type="lines" w:linePitch="312" w:charSpace="0"/>
        </w:sectPr>
      </w:pPr>
      <w:r>
        <w:rPr>
          <w:rFonts w:hint="eastAsia" w:ascii="黑体" w:hAnsi="黑体" w:eastAsia="黑体"/>
          <w:color w:val="auto"/>
          <w:sz w:val="32"/>
          <w:szCs w:val="52"/>
        </w:rPr>
        <w:t>2</w:t>
      </w:r>
      <w:r>
        <w:rPr>
          <w:rFonts w:ascii="黑体" w:hAnsi="黑体" w:eastAsia="黑体"/>
          <w:color w:val="auto"/>
          <w:sz w:val="32"/>
          <w:szCs w:val="52"/>
        </w:rPr>
        <w:t>022</w:t>
      </w:r>
      <w:r>
        <w:rPr>
          <w:rFonts w:hint="eastAsia" w:ascii="黑体" w:hAnsi="黑体" w:eastAsia="黑体"/>
          <w:color w:val="auto"/>
          <w:sz w:val="32"/>
          <w:szCs w:val="52"/>
        </w:rPr>
        <w:t>年</w:t>
      </w:r>
      <w:r>
        <w:rPr>
          <w:rFonts w:ascii="黑体" w:hAnsi="黑体" w:eastAsia="黑体"/>
          <w:color w:val="auto"/>
          <w:sz w:val="32"/>
          <w:szCs w:val="52"/>
        </w:rPr>
        <w:t>3</w:t>
      </w:r>
      <w:r>
        <w:rPr>
          <w:rFonts w:hint="eastAsia" w:ascii="黑体" w:hAnsi="黑体" w:eastAsia="黑体"/>
          <w:color w:val="auto"/>
          <w:sz w:val="32"/>
          <w:szCs w:val="52"/>
        </w:rPr>
        <w:t>月</w:t>
      </w:r>
    </w:p>
    <w:p>
      <w:pPr>
        <w:jc w:val="left"/>
        <w:rPr>
          <w:rFonts w:eastAsia="黑体"/>
          <w:bCs/>
          <w:color w:val="auto"/>
          <w:sz w:val="36"/>
          <w:szCs w:val="36"/>
        </w:rPr>
      </w:pPr>
      <w:r>
        <w:rPr>
          <w:rFonts w:hint="eastAsia" w:ascii="宋体" w:hAnsi="宋体" w:eastAsia="宋体"/>
          <w:b/>
          <w:bCs/>
          <w:color w:val="auto"/>
          <w:sz w:val="32"/>
          <w:szCs w:val="32"/>
        </w:rPr>
        <w:t>项目名称：</w:t>
      </w:r>
      <w:r>
        <w:rPr>
          <w:rFonts w:hint="eastAsia" w:ascii="仿宋" w:hAnsi="仿宋" w:eastAsia="仿宋" w:cs="Microsoft JhengHei"/>
          <w:color w:val="auto"/>
          <w:kern w:val="0"/>
          <w:sz w:val="32"/>
          <w:szCs w:val="32"/>
          <w:lang w:bidi="zh-CN"/>
        </w:rPr>
        <w:t>深圳市改革开放重要史迹保护利用战略规划</w:t>
      </w:r>
    </w:p>
    <w:p>
      <w:pPr>
        <w:jc w:val="left"/>
        <w:rPr>
          <w:rFonts w:eastAsia="黑体"/>
          <w:b/>
          <w:bCs/>
          <w:color w:val="auto"/>
          <w:sz w:val="36"/>
          <w:szCs w:val="36"/>
        </w:rPr>
      </w:pPr>
      <w:r>
        <w:rPr>
          <w:rFonts w:hint="eastAsia" w:ascii="宋体" w:hAnsi="宋体" w:eastAsia="宋体"/>
          <w:b/>
          <w:bCs/>
          <w:color w:val="auto"/>
          <w:sz w:val="32"/>
          <w:szCs w:val="32"/>
        </w:rPr>
        <w:t>委托单位：</w:t>
      </w:r>
      <w:r>
        <w:rPr>
          <w:rFonts w:hint="eastAsia" w:ascii="仿宋" w:hAnsi="仿宋" w:eastAsia="仿宋" w:cs="Microsoft JhengHei"/>
          <w:color w:val="auto"/>
          <w:kern w:val="0"/>
          <w:sz w:val="32"/>
          <w:szCs w:val="32"/>
          <w:lang w:bidi="zh-CN"/>
        </w:rPr>
        <w:t>深圳市文物管理办公室</w:t>
      </w:r>
    </w:p>
    <w:p>
      <w:pPr>
        <w:jc w:val="left"/>
        <w:rPr>
          <w:rFonts w:eastAsia="黑体"/>
          <w:b/>
          <w:bCs/>
          <w:color w:val="auto"/>
          <w:sz w:val="36"/>
          <w:szCs w:val="36"/>
        </w:rPr>
      </w:pPr>
      <w:r>
        <w:rPr>
          <w:rFonts w:hint="eastAsia" w:ascii="宋体" w:hAnsi="宋体" w:eastAsia="宋体"/>
          <w:b/>
          <w:bCs/>
          <w:color w:val="auto"/>
          <w:sz w:val="32"/>
          <w:szCs w:val="32"/>
        </w:rPr>
        <w:t>编制单位：</w:t>
      </w:r>
      <w:r>
        <w:rPr>
          <w:rFonts w:hint="eastAsia" w:ascii="仿宋" w:hAnsi="仿宋" w:eastAsia="仿宋" w:cs="Microsoft JhengHei"/>
          <w:color w:val="auto"/>
          <w:kern w:val="0"/>
          <w:sz w:val="32"/>
          <w:szCs w:val="32"/>
          <w:lang w:bidi="zh-CN"/>
        </w:rPr>
        <w:t>中国文化遗产研究院</w:t>
      </w:r>
    </w:p>
    <w:p>
      <w:pPr>
        <w:jc w:val="left"/>
        <w:rPr>
          <w:rFonts w:eastAsia="黑体"/>
          <w:b/>
          <w:bCs/>
          <w:color w:val="auto"/>
          <w:sz w:val="36"/>
          <w:szCs w:val="36"/>
        </w:rPr>
      </w:pPr>
      <w:r>
        <w:rPr>
          <w:rFonts w:hint="eastAsia" w:eastAsia="黑体"/>
          <w:b/>
          <w:bCs/>
          <w:color w:val="auto"/>
          <w:sz w:val="36"/>
          <w:szCs w:val="36"/>
        </w:rPr>
        <w:t xml:space="preserve"> </w:t>
      </w:r>
      <w:r>
        <w:rPr>
          <w:rFonts w:eastAsia="黑体"/>
          <w:b/>
          <w:bCs/>
          <w:color w:val="auto"/>
          <w:sz w:val="36"/>
          <w:szCs w:val="36"/>
        </w:rPr>
        <w:t xml:space="preserve">        </w:t>
      </w:r>
      <w:r>
        <w:rPr>
          <w:rFonts w:ascii="仿宋" w:hAnsi="仿宋" w:eastAsia="仿宋" w:cs="Microsoft JhengHei"/>
          <w:color w:val="auto"/>
          <w:kern w:val="0"/>
          <w:sz w:val="32"/>
          <w:szCs w:val="32"/>
          <w:lang w:bidi="zh-CN"/>
        </w:rPr>
        <w:t>东南</w:t>
      </w:r>
      <w:r>
        <w:rPr>
          <w:rFonts w:hint="eastAsia" w:ascii="仿宋" w:hAnsi="仿宋" w:eastAsia="仿宋" w:cs="Microsoft JhengHei"/>
          <w:color w:val="auto"/>
          <w:kern w:val="0"/>
          <w:sz w:val="32"/>
          <w:szCs w:val="32"/>
          <w:lang w:bidi="zh-CN"/>
        </w:rPr>
        <w:t>大学建筑设计研究院有限公司</w:t>
      </w:r>
    </w:p>
    <w:p>
      <w:pPr>
        <w:jc w:val="left"/>
        <w:rPr>
          <w:rFonts w:ascii="宋体" w:hAnsi="宋体" w:eastAsia="宋体"/>
          <w:b/>
          <w:bCs/>
          <w:color w:val="auto"/>
          <w:sz w:val="32"/>
          <w:szCs w:val="32"/>
        </w:rPr>
      </w:pPr>
      <w:r>
        <w:rPr>
          <w:rFonts w:hint="eastAsia" w:ascii="宋体" w:hAnsi="宋体" w:eastAsia="宋体"/>
          <w:b/>
          <w:bCs/>
          <w:color w:val="auto"/>
          <w:sz w:val="32"/>
          <w:szCs w:val="32"/>
        </w:rPr>
        <w:t>中国文化遗产研究院</w:t>
      </w:r>
    </w:p>
    <w:p>
      <w:pPr>
        <w:jc w:val="left"/>
        <w:rPr>
          <w:rFonts w:ascii="仿宋" w:hAnsi="仿宋" w:eastAsia="仿宋" w:cs="Microsoft JhengHei"/>
          <w:color w:val="auto"/>
          <w:kern w:val="0"/>
          <w:sz w:val="32"/>
          <w:szCs w:val="32"/>
          <w:lang w:bidi="zh-CN"/>
        </w:rPr>
      </w:pPr>
      <w:r>
        <w:rPr>
          <w:rFonts w:hint="eastAsia" w:ascii="仿宋" w:hAnsi="仿宋" w:eastAsia="仿宋" w:cs="Microsoft JhengHei"/>
          <w:color w:val="auto"/>
          <w:kern w:val="0"/>
          <w:sz w:val="32"/>
          <w:szCs w:val="32"/>
          <w:lang w:bidi="zh-CN"/>
        </w:rPr>
        <w:t>文物保护工程勘察设计资质证书编号：文物设甲字</w:t>
      </w:r>
      <w:r>
        <w:rPr>
          <w:rFonts w:ascii="仿宋" w:hAnsi="仿宋" w:eastAsia="仿宋" w:cs="Microsoft JhengHei"/>
          <w:color w:val="auto"/>
          <w:kern w:val="0"/>
          <w:sz w:val="32"/>
          <w:szCs w:val="32"/>
          <w:lang w:bidi="zh-CN"/>
        </w:rPr>
        <w:t>0101SJ0001</w:t>
      </w:r>
    </w:p>
    <w:p>
      <w:pPr>
        <w:jc w:val="left"/>
        <w:rPr>
          <w:rFonts w:ascii="仿宋" w:hAnsi="仿宋" w:eastAsia="仿宋" w:cs="Microsoft JhengHei"/>
          <w:color w:val="auto"/>
          <w:kern w:val="0"/>
          <w:sz w:val="32"/>
          <w:szCs w:val="32"/>
          <w:lang w:bidi="zh-CN"/>
        </w:rPr>
      </w:pPr>
      <w:r>
        <w:rPr>
          <w:rFonts w:hint="eastAsia" w:ascii="仿宋" w:hAnsi="仿宋" w:eastAsia="仿宋" w:cs="Microsoft JhengHei"/>
          <w:color w:val="auto"/>
          <w:kern w:val="0"/>
          <w:sz w:val="32"/>
          <w:szCs w:val="32"/>
          <w:lang w:bidi="zh-CN"/>
        </w:rPr>
        <w:t>院长：李六三</w:t>
      </w:r>
    </w:p>
    <w:p>
      <w:pPr>
        <w:jc w:val="left"/>
        <w:rPr>
          <w:rFonts w:ascii="宋体" w:hAnsi="宋体" w:eastAsia="宋体"/>
          <w:b/>
          <w:bCs/>
          <w:color w:val="auto"/>
          <w:sz w:val="32"/>
          <w:szCs w:val="32"/>
        </w:rPr>
      </w:pPr>
      <w:r>
        <w:rPr>
          <w:rFonts w:hint="eastAsia" w:ascii="宋体" w:hAnsi="宋体" w:eastAsia="宋体"/>
          <w:b/>
          <w:bCs/>
          <w:color w:val="auto"/>
          <w:sz w:val="32"/>
          <w:szCs w:val="32"/>
        </w:rPr>
        <w:t>东南大学建筑设计研究院有限公司</w:t>
      </w:r>
    </w:p>
    <w:p>
      <w:pPr>
        <w:jc w:val="left"/>
        <w:rPr>
          <w:rFonts w:ascii="仿宋" w:hAnsi="仿宋" w:eastAsia="仿宋" w:cs="Microsoft JhengHei"/>
          <w:color w:val="auto"/>
          <w:kern w:val="0"/>
          <w:sz w:val="32"/>
          <w:szCs w:val="32"/>
          <w:lang w:bidi="zh-CN"/>
        </w:rPr>
      </w:pPr>
      <w:r>
        <w:rPr>
          <w:rFonts w:hint="eastAsia" w:ascii="仿宋" w:hAnsi="仿宋" w:eastAsia="仿宋" w:cs="Microsoft JhengHei"/>
          <w:color w:val="auto"/>
          <w:kern w:val="0"/>
          <w:sz w:val="32"/>
          <w:szCs w:val="32"/>
          <w:lang w:bidi="zh-CN"/>
        </w:rPr>
        <w:t>文物保护工程勘察设计资质证书编号：文物设甲字</w:t>
      </w:r>
      <w:r>
        <w:rPr>
          <w:rFonts w:ascii="仿宋" w:hAnsi="仿宋" w:eastAsia="仿宋" w:cs="Microsoft JhengHei"/>
          <w:color w:val="auto"/>
          <w:kern w:val="0"/>
          <w:sz w:val="32"/>
          <w:szCs w:val="32"/>
          <w:lang w:bidi="zh-CN"/>
        </w:rPr>
        <w:t>0101SJ0011</w:t>
      </w:r>
    </w:p>
    <w:p>
      <w:pPr>
        <w:jc w:val="left"/>
        <w:rPr>
          <w:rFonts w:ascii="仿宋" w:hAnsi="仿宋" w:eastAsia="仿宋" w:cs="Microsoft JhengHei"/>
          <w:color w:val="auto"/>
          <w:kern w:val="0"/>
          <w:sz w:val="32"/>
          <w:szCs w:val="32"/>
          <w:lang w:bidi="zh-CN"/>
        </w:rPr>
      </w:pPr>
      <w:r>
        <w:rPr>
          <w:color w:val="auto"/>
        </w:rPr>
        <w:drawing>
          <wp:anchor distT="0" distB="0" distL="114300" distR="114300" simplePos="0" relativeHeight="251660288" behindDoc="0" locked="0" layoutInCell="1" allowOverlap="1">
            <wp:simplePos x="0" y="0"/>
            <wp:positionH relativeFrom="column">
              <wp:posOffset>7052945</wp:posOffset>
            </wp:positionH>
            <wp:positionV relativeFrom="paragraph">
              <wp:posOffset>473075</wp:posOffset>
            </wp:positionV>
            <wp:extent cx="5474335" cy="387159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4524" cy="3871741"/>
                    </a:xfrm>
                    <a:prstGeom prst="rect">
                      <a:avLst/>
                    </a:prstGeom>
                    <a:noFill/>
                    <a:ln>
                      <a:noFill/>
                    </a:ln>
                  </pic:spPr>
                </pic:pic>
              </a:graphicData>
            </a:graphic>
          </wp:anchor>
        </w:drawing>
      </w:r>
      <w:r>
        <w:rPr>
          <w:rFonts w:hint="eastAsia" w:ascii="仿宋" w:hAnsi="仿宋" w:eastAsia="仿宋" w:cs="Microsoft JhengHei"/>
          <w:color w:val="auto"/>
          <w:kern w:val="0"/>
          <w:sz w:val="32"/>
          <w:szCs w:val="32"/>
          <w:lang w:bidi="zh-CN"/>
        </w:rPr>
        <w:t>院长：韩冬青</w:t>
      </w:r>
    </w:p>
    <w:p>
      <w:pPr>
        <w:jc w:val="left"/>
        <w:rPr>
          <w:rFonts w:eastAsia="黑体"/>
          <w:b/>
          <w:bCs/>
          <w:color w:val="auto"/>
          <w:sz w:val="36"/>
          <w:szCs w:val="36"/>
        </w:rPr>
      </w:pPr>
    </w:p>
    <w:p>
      <w:pPr>
        <w:jc w:val="left"/>
        <w:rPr>
          <w:rFonts w:ascii="宋体" w:hAnsi="宋体" w:eastAsia="宋体"/>
          <w:b/>
          <w:bCs/>
          <w:color w:val="auto"/>
          <w:sz w:val="32"/>
          <w:szCs w:val="32"/>
        </w:rPr>
      </w:pPr>
      <w:r>
        <w:rPr>
          <w:rFonts w:hint="eastAsia" w:ascii="宋体" w:hAnsi="宋体" w:eastAsia="宋体"/>
          <w:b/>
          <w:bCs/>
          <w:color w:val="auto"/>
          <w:sz w:val="32"/>
          <w:szCs w:val="32"/>
        </w:rPr>
        <w:t>编制人员名单</w:t>
      </w:r>
    </w:p>
    <w:tbl>
      <w:tblPr>
        <w:tblStyle w:val="18"/>
        <w:tblW w:w="0" w:type="auto"/>
        <w:tblInd w:w="0" w:type="dxa"/>
        <w:tblLayout w:type="autofit"/>
        <w:tblCellMar>
          <w:top w:w="0" w:type="dxa"/>
          <w:left w:w="108" w:type="dxa"/>
          <w:bottom w:w="0" w:type="dxa"/>
          <w:right w:w="108" w:type="dxa"/>
        </w:tblCellMar>
      </w:tblPr>
      <w:tblGrid>
        <w:gridCol w:w="2376"/>
        <w:gridCol w:w="1701"/>
        <w:gridCol w:w="1701"/>
        <w:gridCol w:w="1701"/>
        <w:gridCol w:w="1701"/>
      </w:tblGrid>
      <w:tr>
        <w:tblPrEx>
          <w:tblCellMar>
            <w:top w:w="0" w:type="dxa"/>
            <w:left w:w="108" w:type="dxa"/>
            <w:bottom w:w="0" w:type="dxa"/>
            <w:right w:w="108" w:type="dxa"/>
          </w:tblCellMar>
        </w:tblPrEx>
        <w:tc>
          <w:tcPr>
            <w:tcW w:w="2376" w:type="dxa"/>
          </w:tcPr>
          <w:p>
            <w:pPr>
              <w:jc w:val="left"/>
              <w:rPr>
                <w:rFonts w:eastAsia="黑体"/>
                <w:bCs/>
                <w:color w:val="auto"/>
                <w:sz w:val="36"/>
                <w:szCs w:val="36"/>
              </w:rPr>
            </w:pPr>
            <w:r>
              <w:rPr>
                <w:rFonts w:hint="eastAsia" w:ascii="宋体" w:hAnsi="宋体" w:eastAsia="宋体"/>
                <w:b/>
                <w:bCs/>
                <w:color w:val="auto"/>
                <w:sz w:val="32"/>
                <w:szCs w:val="32"/>
              </w:rPr>
              <w:t>项目负责人：</w:t>
            </w:r>
          </w:p>
        </w:tc>
        <w:tc>
          <w:tcPr>
            <w:tcW w:w="1701" w:type="dxa"/>
          </w:tcPr>
          <w:p>
            <w:pPr>
              <w:jc w:val="left"/>
              <w:rPr>
                <w:rFonts w:eastAsia="黑体"/>
                <w:bCs/>
                <w:color w:val="auto"/>
                <w:sz w:val="36"/>
                <w:szCs w:val="36"/>
              </w:rPr>
            </w:pPr>
            <w:r>
              <w:rPr>
                <w:rFonts w:hint="eastAsia" w:ascii="仿宋" w:hAnsi="仿宋" w:eastAsia="仿宋" w:cs="Microsoft JhengHei"/>
                <w:color w:val="auto"/>
                <w:kern w:val="0"/>
                <w:sz w:val="32"/>
                <w:szCs w:val="32"/>
                <w:lang w:bidi="zh-CN"/>
              </w:rPr>
              <w:t>李向东</w:t>
            </w:r>
          </w:p>
        </w:tc>
        <w:tc>
          <w:tcPr>
            <w:tcW w:w="1701" w:type="dxa"/>
          </w:tcPr>
          <w:p>
            <w:pPr>
              <w:jc w:val="left"/>
              <w:rPr>
                <w:rFonts w:eastAsia="黑体"/>
                <w:bCs/>
                <w:color w:val="auto"/>
                <w:sz w:val="36"/>
                <w:szCs w:val="36"/>
              </w:rPr>
            </w:pPr>
            <w:r>
              <w:rPr>
                <w:rFonts w:hint="eastAsia" w:ascii="仿宋" w:hAnsi="仿宋" w:eastAsia="仿宋" w:cs="Microsoft JhengHei"/>
                <w:color w:val="auto"/>
                <w:kern w:val="0"/>
                <w:sz w:val="32"/>
                <w:szCs w:val="32"/>
                <w:lang w:bidi="zh-CN"/>
              </w:rPr>
              <w:t>周小棣</w:t>
            </w:r>
          </w:p>
        </w:tc>
        <w:tc>
          <w:tcPr>
            <w:tcW w:w="1701" w:type="dxa"/>
          </w:tcPr>
          <w:p>
            <w:pPr>
              <w:jc w:val="left"/>
              <w:rPr>
                <w:rFonts w:eastAsia="黑体"/>
                <w:bCs/>
                <w:color w:val="auto"/>
                <w:sz w:val="36"/>
                <w:szCs w:val="36"/>
              </w:rPr>
            </w:pPr>
          </w:p>
        </w:tc>
        <w:tc>
          <w:tcPr>
            <w:tcW w:w="1701" w:type="dxa"/>
          </w:tcPr>
          <w:p>
            <w:pPr>
              <w:jc w:val="left"/>
              <w:rPr>
                <w:rFonts w:eastAsia="黑体"/>
                <w:bCs/>
                <w:color w:val="auto"/>
                <w:sz w:val="36"/>
                <w:szCs w:val="36"/>
              </w:rPr>
            </w:pPr>
          </w:p>
        </w:tc>
      </w:tr>
      <w:tr>
        <w:tblPrEx>
          <w:tblCellMar>
            <w:top w:w="0" w:type="dxa"/>
            <w:left w:w="108" w:type="dxa"/>
            <w:bottom w:w="0" w:type="dxa"/>
            <w:right w:w="108" w:type="dxa"/>
          </w:tblCellMar>
        </w:tblPrEx>
        <w:tc>
          <w:tcPr>
            <w:tcW w:w="2376" w:type="dxa"/>
          </w:tcPr>
          <w:p>
            <w:pPr>
              <w:jc w:val="left"/>
              <w:rPr>
                <w:rFonts w:eastAsia="黑体"/>
                <w:bCs/>
                <w:color w:val="auto"/>
                <w:sz w:val="36"/>
                <w:szCs w:val="36"/>
              </w:rPr>
            </w:pPr>
            <w:r>
              <w:rPr>
                <w:rFonts w:hint="eastAsia" w:ascii="宋体" w:hAnsi="宋体" w:eastAsia="宋体"/>
                <w:b/>
                <w:bCs/>
                <w:color w:val="auto"/>
                <w:sz w:val="32"/>
                <w:szCs w:val="32"/>
              </w:rPr>
              <w:t>项目组成员：</w:t>
            </w:r>
          </w:p>
        </w:tc>
        <w:tc>
          <w:tcPr>
            <w:tcW w:w="1701" w:type="dxa"/>
          </w:tcPr>
          <w:p>
            <w:pPr>
              <w:jc w:val="left"/>
              <w:rPr>
                <w:rFonts w:eastAsia="黑体"/>
                <w:bCs/>
                <w:color w:val="auto"/>
                <w:sz w:val="36"/>
                <w:szCs w:val="36"/>
              </w:rPr>
            </w:pPr>
            <w:r>
              <w:rPr>
                <w:rFonts w:hint="eastAsia" w:ascii="仿宋" w:hAnsi="仿宋" w:eastAsia="仿宋" w:cs="Microsoft JhengHei"/>
                <w:color w:val="auto"/>
                <w:kern w:val="0"/>
                <w:sz w:val="32"/>
                <w:szCs w:val="32"/>
                <w:lang w:bidi="zh-CN"/>
              </w:rPr>
              <w:t>张秋艳</w:t>
            </w:r>
          </w:p>
        </w:tc>
        <w:tc>
          <w:tcPr>
            <w:tcW w:w="1701" w:type="dxa"/>
          </w:tcPr>
          <w:p>
            <w:pPr>
              <w:jc w:val="left"/>
              <w:rPr>
                <w:rFonts w:eastAsia="黑体"/>
                <w:bCs/>
                <w:color w:val="auto"/>
                <w:sz w:val="36"/>
                <w:szCs w:val="36"/>
              </w:rPr>
            </w:pPr>
            <w:r>
              <w:rPr>
                <w:rFonts w:hint="eastAsia" w:ascii="仿宋" w:hAnsi="仿宋" w:eastAsia="仿宋" w:cs="Microsoft JhengHei"/>
                <w:color w:val="auto"/>
                <w:kern w:val="0"/>
                <w:sz w:val="32"/>
                <w:szCs w:val="32"/>
                <w:lang w:bidi="zh-CN"/>
              </w:rPr>
              <w:t>常军富</w:t>
            </w:r>
          </w:p>
        </w:tc>
        <w:tc>
          <w:tcPr>
            <w:tcW w:w="1701" w:type="dxa"/>
          </w:tcPr>
          <w:p>
            <w:pPr>
              <w:jc w:val="left"/>
              <w:rPr>
                <w:rFonts w:eastAsia="黑体"/>
                <w:bCs/>
                <w:color w:val="auto"/>
                <w:sz w:val="36"/>
                <w:szCs w:val="36"/>
              </w:rPr>
            </w:pPr>
          </w:p>
        </w:tc>
        <w:tc>
          <w:tcPr>
            <w:tcW w:w="1701" w:type="dxa"/>
          </w:tcPr>
          <w:p>
            <w:pPr>
              <w:jc w:val="left"/>
              <w:rPr>
                <w:rFonts w:eastAsia="黑体"/>
                <w:bCs/>
                <w:color w:val="auto"/>
                <w:sz w:val="36"/>
                <w:szCs w:val="36"/>
              </w:rPr>
            </w:pPr>
          </w:p>
        </w:tc>
      </w:tr>
      <w:tr>
        <w:tblPrEx>
          <w:tblCellMar>
            <w:top w:w="0" w:type="dxa"/>
            <w:left w:w="108" w:type="dxa"/>
            <w:bottom w:w="0" w:type="dxa"/>
            <w:right w:w="108" w:type="dxa"/>
          </w:tblCellMar>
        </w:tblPrEx>
        <w:tc>
          <w:tcPr>
            <w:tcW w:w="2376" w:type="dxa"/>
          </w:tcPr>
          <w:p>
            <w:pPr>
              <w:jc w:val="left"/>
              <w:rPr>
                <w:rFonts w:eastAsia="黑体"/>
                <w:bCs/>
                <w:color w:val="auto"/>
                <w:sz w:val="36"/>
                <w:szCs w:val="36"/>
              </w:rPr>
            </w:pPr>
          </w:p>
        </w:tc>
        <w:tc>
          <w:tcPr>
            <w:tcW w:w="1701" w:type="dxa"/>
          </w:tcPr>
          <w:p>
            <w:pPr>
              <w:jc w:val="left"/>
              <w:rPr>
                <w:rFonts w:ascii="仿宋" w:hAnsi="仿宋" w:eastAsia="仿宋" w:cs="Microsoft JhengHei"/>
                <w:color w:val="auto"/>
                <w:kern w:val="0"/>
                <w:sz w:val="32"/>
                <w:szCs w:val="32"/>
                <w:lang w:bidi="zh-CN"/>
              </w:rPr>
            </w:pPr>
            <w:r>
              <w:rPr>
                <w:rFonts w:hint="eastAsia" w:ascii="仿宋" w:hAnsi="仿宋" w:eastAsia="仿宋" w:cs="Microsoft JhengHei"/>
                <w:color w:val="auto"/>
                <w:kern w:val="0"/>
                <w:sz w:val="32"/>
                <w:szCs w:val="32"/>
                <w:lang w:bidi="zh-CN"/>
              </w:rPr>
              <w:t xml:space="preserve">李 </w:t>
            </w:r>
            <w:r>
              <w:rPr>
                <w:rFonts w:ascii="仿宋" w:hAnsi="仿宋" w:eastAsia="仿宋" w:cs="Microsoft JhengHei"/>
                <w:color w:val="auto"/>
                <w:kern w:val="0"/>
                <w:sz w:val="32"/>
                <w:szCs w:val="32"/>
                <w:lang w:bidi="zh-CN"/>
              </w:rPr>
              <w:t xml:space="preserve"> </w:t>
            </w:r>
            <w:r>
              <w:rPr>
                <w:rFonts w:hint="eastAsia" w:ascii="仿宋" w:hAnsi="仿宋" w:eastAsia="仿宋" w:cs="Microsoft JhengHei"/>
                <w:color w:val="auto"/>
                <w:kern w:val="0"/>
                <w:sz w:val="32"/>
                <w:szCs w:val="32"/>
                <w:lang w:bidi="zh-CN"/>
              </w:rPr>
              <w:t>琦</w:t>
            </w:r>
          </w:p>
          <w:p>
            <w:pPr>
              <w:jc w:val="left"/>
              <w:rPr>
                <w:rFonts w:eastAsia="黑体"/>
                <w:bCs/>
                <w:color w:val="auto"/>
                <w:sz w:val="36"/>
                <w:szCs w:val="36"/>
              </w:rPr>
            </w:pPr>
            <w:r>
              <w:rPr>
                <w:rFonts w:hint="eastAsia" w:ascii="仿宋" w:hAnsi="仿宋" w:eastAsia="仿宋" w:cs="Microsoft JhengHei"/>
                <w:color w:val="auto"/>
                <w:kern w:val="0"/>
                <w:sz w:val="32"/>
                <w:szCs w:val="32"/>
                <w:lang w:bidi="zh-CN"/>
              </w:rPr>
              <w:t xml:space="preserve">梁 </w:t>
            </w:r>
            <w:r>
              <w:rPr>
                <w:rFonts w:ascii="仿宋" w:hAnsi="仿宋" w:eastAsia="仿宋" w:cs="Microsoft JhengHei"/>
                <w:color w:val="auto"/>
                <w:kern w:val="0"/>
                <w:sz w:val="32"/>
                <w:szCs w:val="32"/>
                <w:lang w:bidi="zh-CN"/>
              </w:rPr>
              <w:t xml:space="preserve"> </w:t>
            </w:r>
            <w:r>
              <w:rPr>
                <w:rFonts w:hint="eastAsia" w:ascii="仿宋" w:hAnsi="仿宋" w:eastAsia="仿宋" w:cs="Microsoft JhengHei"/>
                <w:color w:val="auto"/>
                <w:kern w:val="0"/>
                <w:sz w:val="32"/>
                <w:szCs w:val="32"/>
                <w:lang w:bidi="zh-CN"/>
              </w:rPr>
              <w:t>艳</w:t>
            </w:r>
          </w:p>
        </w:tc>
        <w:tc>
          <w:tcPr>
            <w:tcW w:w="1701" w:type="dxa"/>
          </w:tcPr>
          <w:p>
            <w:pPr>
              <w:jc w:val="left"/>
              <w:rPr>
                <w:rFonts w:ascii="仿宋" w:hAnsi="仿宋" w:eastAsia="仿宋" w:cs="Microsoft JhengHei"/>
                <w:color w:val="auto"/>
                <w:kern w:val="0"/>
                <w:sz w:val="32"/>
                <w:szCs w:val="32"/>
                <w:lang w:bidi="zh-CN"/>
              </w:rPr>
            </w:pPr>
            <w:r>
              <w:rPr>
                <w:rFonts w:hint="eastAsia" w:ascii="仿宋" w:hAnsi="仿宋" w:eastAsia="仿宋" w:cs="Microsoft JhengHei"/>
                <w:color w:val="auto"/>
                <w:kern w:val="0"/>
                <w:sz w:val="32"/>
                <w:szCs w:val="32"/>
                <w:lang w:bidi="zh-CN"/>
              </w:rPr>
              <w:t>许葳葳</w:t>
            </w:r>
          </w:p>
          <w:p>
            <w:pPr>
              <w:jc w:val="left"/>
              <w:rPr>
                <w:rFonts w:eastAsia="黑体"/>
                <w:bCs/>
                <w:color w:val="auto"/>
                <w:sz w:val="36"/>
                <w:szCs w:val="36"/>
              </w:rPr>
            </w:pPr>
            <w:r>
              <w:rPr>
                <w:rFonts w:hint="eastAsia" w:ascii="仿宋" w:hAnsi="仿宋" w:eastAsia="仿宋" w:cs="Microsoft JhengHei"/>
                <w:color w:val="auto"/>
                <w:kern w:val="0"/>
                <w:sz w:val="32"/>
                <w:szCs w:val="32"/>
                <w:lang w:bidi="zh-CN"/>
              </w:rPr>
              <w:t xml:space="preserve">刘 </w:t>
            </w:r>
            <w:r>
              <w:rPr>
                <w:rFonts w:ascii="仿宋" w:hAnsi="仿宋" w:eastAsia="仿宋" w:cs="Microsoft JhengHei"/>
                <w:color w:val="auto"/>
                <w:kern w:val="0"/>
                <w:sz w:val="32"/>
                <w:szCs w:val="32"/>
                <w:lang w:bidi="zh-CN"/>
              </w:rPr>
              <w:t xml:space="preserve"> </w:t>
            </w:r>
            <w:r>
              <w:rPr>
                <w:rFonts w:hint="eastAsia" w:ascii="仿宋" w:hAnsi="仿宋" w:eastAsia="仿宋" w:cs="Microsoft JhengHei"/>
                <w:color w:val="auto"/>
                <w:kern w:val="0"/>
                <w:sz w:val="32"/>
                <w:szCs w:val="32"/>
                <w:lang w:bidi="zh-CN"/>
              </w:rPr>
              <w:t>卉</w:t>
            </w:r>
          </w:p>
        </w:tc>
        <w:tc>
          <w:tcPr>
            <w:tcW w:w="1701" w:type="dxa"/>
          </w:tcPr>
          <w:p>
            <w:pPr>
              <w:jc w:val="left"/>
              <w:rPr>
                <w:rFonts w:eastAsia="黑体"/>
                <w:bCs/>
                <w:color w:val="auto"/>
                <w:sz w:val="36"/>
                <w:szCs w:val="36"/>
              </w:rPr>
            </w:pPr>
          </w:p>
        </w:tc>
        <w:tc>
          <w:tcPr>
            <w:tcW w:w="1701" w:type="dxa"/>
          </w:tcPr>
          <w:p>
            <w:pPr>
              <w:jc w:val="left"/>
              <w:rPr>
                <w:rFonts w:eastAsia="黑体"/>
                <w:bCs/>
                <w:color w:val="auto"/>
                <w:sz w:val="36"/>
                <w:szCs w:val="36"/>
              </w:rPr>
            </w:pPr>
          </w:p>
        </w:tc>
      </w:tr>
      <w:tr>
        <w:tblPrEx>
          <w:tblCellMar>
            <w:top w:w="0" w:type="dxa"/>
            <w:left w:w="108" w:type="dxa"/>
            <w:bottom w:w="0" w:type="dxa"/>
            <w:right w:w="108" w:type="dxa"/>
          </w:tblCellMar>
        </w:tblPrEx>
        <w:tc>
          <w:tcPr>
            <w:tcW w:w="2376" w:type="dxa"/>
          </w:tcPr>
          <w:p>
            <w:pPr>
              <w:jc w:val="left"/>
              <w:rPr>
                <w:rFonts w:eastAsia="黑体"/>
                <w:bCs/>
                <w:color w:val="auto"/>
                <w:sz w:val="36"/>
                <w:szCs w:val="36"/>
              </w:rPr>
            </w:pPr>
            <w:r>
              <w:rPr>
                <w:rFonts w:hint="eastAsia" w:ascii="宋体" w:hAnsi="宋体" w:eastAsia="宋体"/>
                <w:b/>
                <w:bCs/>
                <w:color w:val="auto"/>
                <w:sz w:val="32"/>
                <w:szCs w:val="32"/>
              </w:rPr>
              <w:t>校      核：</w:t>
            </w:r>
          </w:p>
        </w:tc>
        <w:tc>
          <w:tcPr>
            <w:tcW w:w="1701" w:type="dxa"/>
          </w:tcPr>
          <w:p>
            <w:pPr>
              <w:jc w:val="left"/>
              <w:rPr>
                <w:rFonts w:eastAsia="黑体"/>
                <w:bCs/>
                <w:color w:val="auto"/>
                <w:sz w:val="36"/>
                <w:szCs w:val="36"/>
              </w:rPr>
            </w:pPr>
            <w:r>
              <w:rPr>
                <w:rFonts w:hint="eastAsia" w:ascii="仿宋" w:hAnsi="仿宋" w:eastAsia="仿宋" w:cs="Microsoft JhengHei"/>
                <w:color w:val="auto"/>
                <w:kern w:val="0"/>
                <w:sz w:val="32"/>
                <w:szCs w:val="32"/>
                <w:lang w:bidi="zh-CN"/>
              </w:rPr>
              <w:t>相  睿</w:t>
            </w:r>
          </w:p>
        </w:tc>
        <w:tc>
          <w:tcPr>
            <w:tcW w:w="1701" w:type="dxa"/>
          </w:tcPr>
          <w:p>
            <w:pPr>
              <w:jc w:val="left"/>
              <w:rPr>
                <w:rFonts w:eastAsia="黑体"/>
                <w:bCs/>
                <w:color w:val="auto"/>
                <w:sz w:val="36"/>
                <w:szCs w:val="36"/>
              </w:rPr>
            </w:pPr>
          </w:p>
        </w:tc>
        <w:tc>
          <w:tcPr>
            <w:tcW w:w="1701" w:type="dxa"/>
          </w:tcPr>
          <w:p>
            <w:pPr>
              <w:jc w:val="left"/>
              <w:rPr>
                <w:rFonts w:eastAsia="黑体"/>
                <w:bCs/>
                <w:color w:val="auto"/>
                <w:sz w:val="36"/>
                <w:szCs w:val="36"/>
              </w:rPr>
            </w:pPr>
          </w:p>
        </w:tc>
        <w:tc>
          <w:tcPr>
            <w:tcW w:w="1701" w:type="dxa"/>
          </w:tcPr>
          <w:p>
            <w:pPr>
              <w:jc w:val="left"/>
              <w:rPr>
                <w:rFonts w:eastAsia="黑体"/>
                <w:bCs/>
                <w:color w:val="auto"/>
                <w:sz w:val="36"/>
                <w:szCs w:val="36"/>
              </w:rPr>
            </w:pPr>
          </w:p>
        </w:tc>
      </w:tr>
      <w:tr>
        <w:tblPrEx>
          <w:tblCellMar>
            <w:top w:w="0" w:type="dxa"/>
            <w:left w:w="108" w:type="dxa"/>
            <w:bottom w:w="0" w:type="dxa"/>
            <w:right w:w="108" w:type="dxa"/>
          </w:tblCellMar>
        </w:tblPrEx>
        <w:tc>
          <w:tcPr>
            <w:tcW w:w="2376" w:type="dxa"/>
          </w:tcPr>
          <w:p>
            <w:pPr>
              <w:jc w:val="left"/>
              <w:rPr>
                <w:rFonts w:eastAsia="黑体"/>
                <w:bCs/>
                <w:color w:val="auto"/>
                <w:sz w:val="36"/>
                <w:szCs w:val="36"/>
              </w:rPr>
            </w:pPr>
            <w:r>
              <w:rPr>
                <w:rFonts w:hint="eastAsia" w:ascii="宋体" w:hAnsi="宋体" w:eastAsia="宋体"/>
                <w:b/>
                <w:bCs/>
                <w:color w:val="auto"/>
                <w:sz w:val="32"/>
                <w:szCs w:val="32"/>
              </w:rPr>
              <w:t>审      核：</w:t>
            </w:r>
          </w:p>
        </w:tc>
        <w:tc>
          <w:tcPr>
            <w:tcW w:w="1701" w:type="dxa"/>
          </w:tcPr>
          <w:p>
            <w:pPr>
              <w:jc w:val="left"/>
              <w:rPr>
                <w:rFonts w:eastAsia="黑体"/>
                <w:bCs/>
                <w:color w:val="auto"/>
                <w:sz w:val="36"/>
                <w:szCs w:val="36"/>
              </w:rPr>
            </w:pPr>
            <w:r>
              <w:rPr>
                <w:rFonts w:hint="eastAsia" w:ascii="仿宋" w:hAnsi="仿宋" w:eastAsia="仿宋" w:cs="Microsoft JhengHei"/>
                <w:color w:val="auto"/>
                <w:kern w:val="0"/>
                <w:sz w:val="32"/>
                <w:szCs w:val="32"/>
                <w:lang w:bidi="zh-CN"/>
              </w:rPr>
              <w:t>李向东</w:t>
            </w:r>
          </w:p>
        </w:tc>
        <w:tc>
          <w:tcPr>
            <w:tcW w:w="1701" w:type="dxa"/>
          </w:tcPr>
          <w:p>
            <w:pPr>
              <w:jc w:val="left"/>
              <w:rPr>
                <w:rFonts w:eastAsia="黑体"/>
                <w:bCs/>
                <w:color w:val="auto"/>
                <w:sz w:val="36"/>
                <w:szCs w:val="36"/>
              </w:rPr>
            </w:pPr>
          </w:p>
        </w:tc>
        <w:tc>
          <w:tcPr>
            <w:tcW w:w="1701" w:type="dxa"/>
          </w:tcPr>
          <w:p>
            <w:pPr>
              <w:jc w:val="left"/>
              <w:rPr>
                <w:rFonts w:eastAsia="黑体"/>
                <w:bCs/>
                <w:color w:val="auto"/>
                <w:sz w:val="36"/>
                <w:szCs w:val="36"/>
              </w:rPr>
            </w:pPr>
          </w:p>
        </w:tc>
        <w:tc>
          <w:tcPr>
            <w:tcW w:w="1701" w:type="dxa"/>
          </w:tcPr>
          <w:p>
            <w:pPr>
              <w:jc w:val="left"/>
              <w:rPr>
                <w:rFonts w:eastAsia="黑体"/>
                <w:bCs/>
                <w:color w:val="auto"/>
                <w:sz w:val="36"/>
                <w:szCs w:val="36"/>
              </w:rPr>
            </w:pPr>
          </w:p>
        </w:tc>
      </w:tr>
    </w:tbl>
    <w:p>
      <w:pPr>
        <w:jc w:val="left"/>
        <w:rPr>
          <w:rFonts w:ascii="黑体" w:eastAsia="黑体"/>
          <w:b/>
          <w:bCs/>
          <w:color w:val="auto"/>
          <w:sz w:val="36"/>
          <w:szCs w:val="36"/>
        </w:rPr>
      </w:pPr>
    </w:p>
    <w:p>
      <w:pPr>
        <w:jc w:val="left"/>
        <w:rPr>
          <w:rFonts w:ascii="黑体" w:eastAsia="黑体"/>
          <w:b/>
          <w:bCs/>
          <w:color w:val="auto"/>
          <w:sz w:val="36"/>
          <w:szCs w:val="36"/>
        </w:rPr>
      </w:pPr>
    </w:p>
    <w:p>
      <w:pPr>
        <w:jc w:val="left"/>
        <w:rPr>
          <w:rFonts w:ascii="黑体" w:eastAsia="黑体"/>
          <w:b/>
          <w:bCs/>
          <w:color w:val="auto"/>
          <w:sz w:val="36"/>
          <w:szCs w:val="36"/>
        </w:rPr>
      </w:pPr>
    </w:p>
    <w:p>
      <w:pPr>
        <w:jc w:val="left"/>
        <w:rPr>
          <w:rFonts w:ascii="黑体" w:eastAsia="黑体"/>
          <w:b/>
          <w:bCs/>
          <w:color w:val="auto"/>
          <w:sz w:val="36"/>
          <w:szCs w:val="36"/>
        </w:rPr>
      </w:pPr>
      <w:r>
        <w:rPr>
          <w:color w:val="auto"/>
        </w:rPr>
        <w:drawing>
          <wp:anchor distT="0" distB="0" distL="114300" distR="114300" simplePos="0" relativeHeight="251659264" behindDoc="0" locked="0" layoutInCell="1" allowOverlap="1">
            <wp:simplePos x="0" y="0"/>
            <wp:positionH relativeFrom="column">
              <wp:posOffset>56515</wp:posOffset>
            </wp:positionH>
            <wp:positionV relativeFrom="paragraph">
              <wp:posOffset>83185</wp:posOffset>
            </wp:positionV>
            <wp:extent cx="5486400" cy="3881120"/>
            <wp:effectExtent l="0" t="0" r="0" b="508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a:srcRect/>
                    <a:stretch>
                      <a:fillRect/>
                    </a:stretch>
                  </pic:blipFill>
                  <pic:spPr>
                    <a:xfrm>
                      <a:off x="0" y="0"/>
                      <a:ext cx="5486400" cy="3881120"/>
                    </a:xfrm>
                    <a:prstGeom prst="rect">
                      <a:avLst/>
                    </a:prstGeom>
                    <a:noFill/>
                    <a:ln>
                      <a:noFill/>
                    </a:ln>
                  </pic:spPr>
                </pic:pic>
              </a:graphicData>
            </a:graphic>
          </wp:anchor>
        </w:drawing>
      </w:r>
    </w:p>
    <w:p>
      <w:pPr>
        <w:jc w:val="left"/>
        <w:rPr>
          <w:rFonts w:ascii="黑体" w:eastAsia="黑体"/>
          <w:b/>
          <w:bCs/>
          <w:color w:val="auto"/>
          <w:sz w:val="36"/>
          <w:szCs w:val="36"/>
        </w:rPr>
      </w:pPr>
    </w:p>
    <w:p>
      <w:pPr>
        <w:widowControl/>
        <w:jc w:val="left"/>
        <w:rPr>
          <w:rFonts w:ascii="黑体" w:eastAsia="黑体"/>
          <w:b/>
          <w:bCs/>
          <w:color w:val="auto"/>
          <w:sz w:val="36"/>
          <w:szCs w:val="36"/>
        </w:rPr>
      </w:pPr>
      <w:r>
        <w:rPr>
          <w:rFonts w:ascii="黑体" w:eastAsia="黑体"/>
          <w:b/>
          <w:bCs/>
          <w:color w:val="auto"/>
          <w:sz w:val="36"/>
          <w:szCs w:val="36"/>
        </w:rPr>
        <w:br w:type="page"/>
      </w:r>
    </w:p>
    <w:sdt>
      <w:sdtPr>
        <w:rPr>
          <w:rFonts w:asciiTheme="minorHAnsi" w:hAnsiTheme="minorHAnsi" w:eastAsiaTheme="minorEastAsia"/>
          <w:color w:val="auto"/>
          <w:sz w:val="21"/>
          <w:lang w:val="zh-CN"/>
        </w:rPr>
        <w:id w:val="1919513307"/>
        <w:docPartObj>
          <w:docPartGallery w:val="Table of Contents"/>
          <w:docPartUnique/>
        </w:docPartObj>
      </w:sdtPr>
      <w:sdtEndPr>
        <w:rPr>
          <w:rFonts w:asciiTheme="minorHAnsi" w:hAnsiTheme="minorHAnsi" w:eastAsiaTheme="minorEastAsia"/>
          <w:b/>
          <w:bCs/>
          <w:color w:val="auto"/>
          <w:sz w:val="21"/>
          <w:lang w:val="zh-CN"/>
        </w:rPr>
      </w:sdtEndPr>
      <w:sdtContent>
        <w:p>
          <w:pPr>
            <w:pStyle w:val="13"/>
            <w:rPr>
              <w:color w:val="auto"/>
              <w:lang w:val="zh-CN"/>
            </w:rPr>
          </w:pPr>
          <w:r>
            <w:rPr>
              <w:rFonts w:hint="eastAsia"/>
              <w:color w:val="auto"/>
              <w:lang w:val="zh-CN"/>
            </w:rPr>
            <w:t>规划说明目录</w:t>
          </w:r>
        </w:p>
        <w:p>
          <w:pPr>
            <w:pStyle w:val="13"/>
            <w:tabs>
              <w:tab w:val="right" w:leader="dot" w:pos="9940"/>
              <w:tab w:val="clear" w:pos="10243"/>
            </w:tabs>
            <w:rPr>
              <w:color w:val="auto"/>
            </w:rPr>
          </w:pPr>
          <w:r>
            <w:rPr>
              <w:color w:val="auto"/>
            </w:rPr>
            <w:fldChar w:fldCharType="begin"/>
          </w:r>
          <w:r>
            <w:rPr>
              <w:color w:val="auto"/>
            </w:rPr>
            <w:instrText xml:space="preserve"> TOC \o "1-2" \h \z \u </w:instrText>
          </w:r>
          <w:r>
            <w:rPr>
              <w:color w:val="auto"/>
            </w:rPr>
            <w:fldChar w:fldCharType="separate"/>
          </w:r>
          <w:r>
            <w:rPr>
              <w:color w:val="auto"/>
            </w:rPr>
            <w:fldChar w:fldCharType="begin"/>
          </w:r>
          <w:r>
            <w:rPr>
              <w:color w:val="auto"/>
            </w:rPr>
            <w:instrText xml:space="preserve"> HYPERLINK \l _Toc11998 </w:instrText>
          </w:r>
          <w:r>
            <w:rPr>
              <w:color w:val="auto"/>
            </w:rPr>
            <w:fldChar w:fldCharType="separate"/>
          </w:r>
          <w:r>
            <w:rPr>
              <w:rFonts w:hint="eastAsia"/>
              <w:color w:val="auto"/>
            </w:rPr>
            <w:t>第一章</w:t>
          </w:r>
          <w:r>
            <w:rPr>
              <w:color w:val="auto"/>
            </w:rPr>
            <w:t xml:space="preserve"> 总则</w:t>
          </w:r>
          <w:r>
            <w:rPr>
              <w:color w:val="auto"/>
            </w:rPr>
            <w:tab/>
          </w:r>
          <w:r>
            <w:rPr>
              <w:color w:val="auto"/>
            </w:rPr>
            <w:fldChar w:fldCharType="begin"/>
          </w:r>
          <w:r>
            <w:rPr>
              <w:color w:val="auto"/>
            </w:rPr>
            <w:instrText xml:space="preserve"> PAGEREF _Toc11998 \h </w:instrText>
          </w:r>
          <w:r>
            <w:rPr>
              <w:color w:val="auto"/>
            </w:rPr>
            <w:fldChar w:fldCharType="separate"/>
          </w:r>
          <w:r>
            <w:rPr>
              <w:color w:val="auto"/>
            </w:rPr>
            <w:t>1</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_Toc31186 </w:instrText>
          </w:r>
          <w:r>
            <w:rPr>
              <w:color w:val="auto"/>
            </w:rPr>
            <w:fldChar w:fldCharType="separate"/>
          </w:r>
          <w:r>
            <w:rPr>
              <w:rFonts w:hint="eastAsia"/>
              <w:color w:val="auto"/>
            </w:rPr>
            <w:t>1</w:t>
          </w:r>
          <w:r>
            <w:rPr>
              <w:color w:val="auto"/>
            </w:rPr>
            <w:t>.1</w:t>
          </w:r>
          <w:r>
            <w:rPr>
              <w:rFonts w:hint="eastAsia"/>
              <w:color w:val="auto"/>
            </w:rPr>
            <w:t>编制背景</w:t>
          </w:r>
          <w:r>
            <w:rPr>
              <w:color w:val="auto"/>
            </w:rPr>
            <w:tab/>
          </w:r>
          <w:r>
            <w:rPr>
              <w:color w:val="auto"/>
            </w:rPr>
            <w:fldChar w:fldCharType="begin"/>
          </w:r>
          <w:r>
            <w:rPr>
              <w:color w:val="auto"/>
            </w:rPr>
            <w:instrText xml:space="preserve"> PAGEREF _Toc31186 \h </w:instrText>
          </w:r>
          <w:r>
            <w:rPr>
              <w:color w:val="auto"/>
            </w:rPr>
            <w:fldChar w:fldCharType="separate"/>
          </w:r>
          <w:r>
            <w:rPr>
              <w:color w:val="auto"/>
            </w:rPr>
            <w:t>1</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_Toc6573 </w:instrText>
          </w:r>
          <w:r>
            <w:rPr>
              <w:color w:val="auto"/>
            </w:rPr>
            <w:fldChar w:fldCharType="separate"/>
          </w:r>
          <w:r>
            <w:rPr>
              <w:color w:val="auto"/>
            </w:rPr>
            <w:t>1.2编制</w:t>
          </w:r>
          <w:r>
            <w:rPr>
              <w:rFonts w:hint="eastAsia"/>
              <w:color w:val="auto"/>
            </w:rPr>
            <w:t>目的</w:t>
          </w:r>
          <w:r>
            <w:rPr>
              <w:color w:val="auto"/>
            </w:rPr>
            <w:tab/>
          </w:r>
          <w:r>
            <w:rPr>
              <w:color w:val="auto"/>
            </w:rPr>
            <w:fldChar w:fldCharType="begin"/>
          </w:r>
          <w:r>
            <w:rPr>
              <w:color w:val="auto"/>
            </w:rPr>
            <w:instrText xml:space="preserve"> PAGEREF _Toc6573 \h </w:instrText>
          </w:r>
          <w:r>
            <w:rPr>
              <w:color w:val="auto"/>
            </w:rPr>
            <w:fldChar w:fldCharType="separate"/>
          </w:r>
          <w:r>
            <w:rPr>
              <w:color w:val="auto"/>
            </w:rPr>
            <w:t>2</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_Toc13477 </w:instrText>
          </w:r>
          <w:r>
            <w:rPr>
              <w:color w:val="auto"/>
            </w:rPr>
            <w:fldChar w:fldCharType="separate"/>
          </w:r>
          <w:r>
            <w:rPr>
              <w:color w:val="auto"/>
            </w:rPr>
            <w:t>1.3</w:t>
          </w:r>
          <w:r>
            <w:rPr>
              <w:rFonts w:hint="eastAsia"/>
              <w:color w:val="auto"/>
            </w:rPr>
            <w:t>规划</w:t>
          </w:r>
          <w:r>
            <w:rPr>
              <w:color w:val="auto"/>
            </w:rPr>
            <w:t>性质</w:t>
          </w:r>
          <w:r>
            <w:rPr>
              <w:color w:val="auto"/>
            </w:rPr>
            <w:tab/>
          </w:r>
          <w:r>
            <w:rPr>
              <w:color w:val="auto"/>
            </w:rPr>
            <w:fldChar w:fldCharType="begin"/>
          </w:r>
          <w:r>
            <w:rPr>
              <w:color w:val="auto"/>
            </w:rPr>
            <w:instrText xml:space="preserve"> PAGEREF _Toc13477 \h </w:instrText>
          </w:r>
          <w:r>
            <w:rPr>
              <w:color w:val="auto"/>
            </w:rPr>
            <w:fldChar w:fldCharType="separate"/>
          </w:r>
          <w:r>
            <w:rPr>
              <w:color w:val="auto"/>
            </w:rPr>
            <w:t>2</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_Toc15888 </w:instrText>
          </w:r>
          <w:r>
            <w:rPr>
              <w:color w:val="auto"/>
            </w:rPr>
            <w:fldChar w:fldCharType="separate"/>
          </w:r>
          <w:r>
            <w:rPr>
              <w:color w:val="auto"/>
            </w:rPr>
            <w:t>1.4编制依据</w:t>
          </w:r>
          <w:r>
            <w:rPr>
              <w:color w:val="auto"/>
            </w:rPr>
            <w:tab/>
          </w:r>
          <w:r>
            <w:rPr>
              <w:color w:val="auto"/>
            </w:rPr>
            <w:fldChar w:fldCharType="begin"/>
          </w:r>
          <w:r>
            <w:rPr>
              <w:color w:val="auto"/>
            </w:rPr>
            <w:instrText xml:space="preserve"> PAGEREF _Toc15888 \h </w:instrText>
          </w:r>
          <w:r>
            <w:rPr>
              <w:color w:val="auto"/>
            </w:rPr>
            <w:fldChar w:fldCharType="separate"/>
          </w:r>
          <w:r>
            <w:rPr>
              <w:color w:val="auto"/>
            </w:rPr>
            <w:t>2</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_Toc29959 </w:instrText>
          </w:r>
          <w:r>
            <w:rPr>
              <w:color w:val="auto"/>
            </w:rPr>
            <w:fldChar w:fldCharType="separate"/>
          </w:r>
          <w:r>
            <w:rPr>
              <w:color w:val="auto"/>
            </w:rPr>
            <w:t>1.5规划范围</w:t>
          </w:r>
          <w:r>
            <w:rPr>
              <w:color w:val="auto"/>
            </w:rPr>
            <w:tab/>
          </w:r>
          <w:r>
            <w:rPr>
              <w:color w:val="auto"/>
            </w:rPr>
            <w:fldChar w:fldCharType="begin"/>
          </w:r>
          <w:r>
            <w:rPr>
              <w:color w:val="auto"/>
            </w:rPr>
            <w:instrText xml:space="preserve"> PAGEREF _Toc29959 \h </w:instrText>
          </w:r>
          <w:r>
            <w:rPr>
              <w:color w:val="auto"/>
            </w:rPr>
            <w:fldChar w:fldCharType="separate"/>
          </w:r>
          <w:r>
            <w:rPr>
              <w:color w:val="auto"/>
            </w:rPr>
            <w:t>2</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_Toc28651 </w:instrText>
          </w:r>
          <w:r>
            <w:rPr>
              <w:color w:val="auto"/>
            </w:rPr>
            <w:fldChar w:fldCharType="separate"/>
          </w:r>
          <w:r>
            <w:rPr>
              <w:color w:val="auto"/>
            </w:rPr>
            <w:t>1.6规划期限</w:t>
          </w:r>
          <w:r>
            <w:rPr>
              <w:color w:val="auto"/>
            </w:rPr>
            <w:tab/>
          </w:r>
          <w:r>
            <w:rPr>
              <w:color w:val="auto"/>
            </w:rPr>
            <w:fldChar w:fldCharType="begin"/>
          </w:r>
          <w:r>
            <w:rPr>
              <w:color w:val="auto"/>
            </w:rPr>
            <w:instrText xml:space="preserve"> PAGEREF _Toc28651 \h </w:instrText>
          </w:r>
          <w:r>
            <w:rPr>
              <w:color w:val="auto"/>
            </w:rPr>
            <w:fldChar w:fldCharType="separate"/>
          </w:r>
          <w:r>
            <w:rPr>
              <w:color w:val="auto"/>
            </w:rPr>
            <w:t>2</w:t>
          </w:r>
          <w:r>
            <w:rPr>
              <w:color w:val="auto"/>
            </w:rPr>
            <w:fldChar w:fldCharType="end"/>
          </w:r>
          <w:r>
            <w:rPr>
              <w:color w:val="auto"/>
            </w:rPr>
            <w:fldChar w:fldCharType="end"/>
          </w:r>
        </w:p>
        <w:p>
          <w:pPr>
            <w:pStyle w:val="13"/>
            <w:tabs>
              <w:tab w:val="right" w:leader="dot" w:pos="9940"/>
              <w:tab w:val="clear" w:pos="10243"/>
            </w:tabs>
            <w:rPr>
              <w:color w:val="auto"/>
            </w:rPr>
          </w:pPr>
          <w:r>
            <w:rPr>
              <w:color w:val="auto"/>
            </w:rPr>
            <w:fldChar w:fldCharType="begin"/>
          </w:r>
          <w:r>
            <w:rPr>
              <w:color w:val="auto"/>
            </w:rPr>
            <w:instrText xml:space="preserve"> HYPERLINK \l _Toc5012 </w:instrText>
          </w:r>
          <w:r>
            <w:rPr>
              <w:color w:val="auto"/>
            </w:rPr>
            <w:fldChar w:fldCharType="separate"/>
          </w:r>
          <w:r>
            <w:rPr>
              <w:rFonts w:hint="eastAsia"/>
              <w:color w:val="auto"/>
            </w:rPr>
            <w:t>第二章</w:t>
          </w:r>
          <w:r>
            <w:rPr>
              <w:color w:val="auto"/>
            </w:rPr>
            <w:t xml:space="preserve"> 项目概述</w:t>
          </w:r>
          <w:r>
            <w:rPr>
              <w:color w:val="auto"/>
            </w:rPr>
            <w:tab/>
          </w:r>
          <w:r>
            <w:rPr>
              <w:color w:val="auto"/>
            </w:rPr>
            <w:fldChar w:fldCharType="begin"/>
          </w:r>
          <w:r>
            <w:rPr>
              <w:color w:val="auto"/>
            </w:rPr>
            <w:instrText xml:space="preserve"> PAGEREF _Toc5012 \h </w:instrText>
          </w:r>
          <w:r>
            <w:rPr>
              <w:color w:val="auto"/>
            </w:rPr>
            <w:fldChar w:fldCharType="separate"/>
          </w:r>
          <w:r>
            <w:rPr>
              <w:color w:val="auto"/>
            </w:rPr>
            <w:t>4</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_Toc20619 </w:instrText>
          </w:r>
          <w:r>
            <w:rPr>
              <w:color w:val="auto"/>
            </w:rPr>
            <w:fldChar w:fldCharType="separate"/>
          </w:r>
          <w:r>
            <w:rPr>
              <w:color w:val="auto"/>
            </w:rPr>
            <w:t>2.1</w:t>
          </w:r>
          <w:r>
            <w:rPr>
              <w:rFonts w:hint="eastAsia"/>
              <w:color w:val="auto"/>
            </w:rPr>
            <w:t>重要史迹遴选</w:t>
          </w:r>
          <w:r>
            <w:rPr>
              <w:color w:val="auto"/>
            </w:rPr>
            <w:tab/>
          </w:r>
          <w:r>
            <w:rPr>
              <w:color w:val="auto"/>
            </w:rPr>
            <w:fldChar w:fldCharType="begin"/>
          </w:r>
          <w:r>
            <w:rPr>
              <w:color w:val="auto"/>
            </w:rPr>
            <w:instrText xml:space="preserve"> PAGEREF _Toc20619 \h </w:instrText>
          </w:r>
          <w:r>
            <w:rPr>
              <w:color w:val="auto"/>
            </w:rPr>
            <w:fldChar w:fldCharType="separate"/>
          </w:r>
          <w:r>
            <w:rPr>
              <w:color w:val="auto"/>
            </w:rPr>
            <w:t>4</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_Toc13056 </w:instrText>
          </w:r>
          <w:r>
            <w:rPr>
              <w:color w:val="auto"/>
            </w:rPr>
            <w:fldChar w:fldCharType="separate"/>
          </w:r>
          <w:r>
            <w:rPr>
              <w:color w:val="auto"/>
            </w:rPr>
            <w:t>2.2</w:t>
          </w:r>
          <w:r>
            <w:rPr>
              <w:rFonts w:hint="eastAsia"/>
              <w:color w:val="auto"/>
            </w:rPr>
            <w:t>规划</w:t>
          </w:r>
          <w:r>
            <w:rPr>
              <w:color w:val="auto"/>
            </w:rPr>
            <w:t>对象构成</w:t>
          </w:r>
          <w:r>
            <w:rPr>
              <w:color w:val="auto"/>
            </w:rPr>
            <w:tab/>
          </w:r>
          <w:r>
            <w:rPr>
              <w:color w:val="auto"/>
            </w:rPr>
            <w:fldChar w:fldCharType="begin"/>
          </w:r>
          <w:r>
            <w:rPr>
              <w:color w:val="auto"/>
            </w:rPr>
            <w:instrText xml:space="preserve"> PAGEREF _Toc13056 \h </w:instrText>
          </w:r>
          <w:r>
            <w:rPr>
              <w:color w:val="auto"/>
            </w:rPr>
            <w:fldChar w:fldCharType="separate"/>
          </w:r>
          <w:r>
            <w:rPr>
              <w:color w:val="auto"/>
            </w:rPr>
            <w:t>4</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_Toc19463 </w:instrText>
          </w:r>
          <w:r>
            <w:rPr>
              <w:color w:val="auto"/>
            </w:rPr>
            <w:fldChar w:fldCharType="separate"/>
          </w:r>
          <w:r>
            <w:rPr>
              <w:rFonts w:hint="eastAsia"/>
              <w:color w:val="auto"/>
            </w:rPr>
            <w:t>2</w:t>
          </w:r>
          <w:r>
            <w:rPr>
              <w:color w:val="auto"/>
            </w:rPr>
            <w:t xml:space="preserve">.3 </w:t>
          </w:r>
          <w:r>
            <w:rPr>
              <w:rFonts w:hint="eastAsia"/>
              <w:color w:val="auto"/>
            </w:rPr>
            <w:t>重要史迹现状概述</w:t>
          </w:r>
          <w:r>
            <w:rPr>
              <w:color w:val="auto"/>
            </w:rPr>
            <w:tab/>
          </w:r>
          <w:r>
            <w:rPr>
              <w:color w:val="auto"/>
            </w:rPr>
            <w:fldChar w:fldCharType="begin"/>
          </w:r>
          <w:r>
            <w:rPr>
              <w:color w:val="auto"/>
            </w:rPr>
            <w:instrText xml:space="preserve"> PAGEREF _Toc19463 \h </w:instrText>
          </w:r>
          <w:r>
            <w:rPr>
              <w:color w:val="auto"/>
            </w:rPr>
            <w:fldChar w:fldCharType="separate"/>
          </w:r>
          <w:r>
            <w:rPr>
              <w:color w:val="auto"/>
            </w:rPr>
            <w:t>4</w:t>
          </w:r>
          <w:r>
            <w:rPr>
              <w:color w:val="auto"/>
            </w:rPr>
            <w:fldChar w:fldCharType="end"/>
          </w:r>
          <w:r>
            <w:rPr>
              <w:color w:val="auto"/>
            </w:rPr>
            <w:fldChar w:fldCharType="end"/>
          </w:r>
        </w:p>
        <w:p>
          <w:pPr>
            <w:pStyle w:val="13"/>
            <w:tabs>
              <w:tab w:val="right" w:leader="dot" w:pos="9940"/>
              <w:tab w:val="clear" w:pos="10243"/>
            </w:tabs>
            <w:rPr>
              <w:color w:val="auto"/>
            </w:rPr>
          </w:pPr>
          <w:r>
            <w:rPr>
              <w:color w:val="auto"/>
            </w:rPr>
            <w:fldChar w:fldCharType="begin"/>
          </w:r>
          <w:r>
            <w:rPr>
              <w:color w:val="auto"/>
            </w:rPr>
            <w:instrText xml:space="preserve"> HYPERLINK \l _Toc23149 </w:instrText>
          </w:r>
          <w:r>
            <w:rPr>
              <w:color w:val="auto"/>
            </w:rPr>
            <w:fldChar w:fldCharType="separate"/>
          </w:r>
          <w:r>
            <w:rPr>
              <w:rFonts w:hint="eastAsia"/>
              <w:color w:val="auto"/>
            </w:rPr>
            <w:t>第三章</w:t>
          </w:r>
          <w:r>
            <w:rPr>
              <w:color w:val="auto"/>
            </w:rPr>
            <w:t xml:space="preserve"> </w:t>
          </w:r>
          <w:r>
            <w:rPr>
              <w:rFonts w:hint="eastAsia"/>
              <w:color w:val="auto"/>
            </w:rPr>
            <w:t>专项评估</w:t>
          </w:r>
          <w:r>
            <w:rPr>
              <w:color w:val="auto"/>
            </w:rPr>
            <w:tab/>
          </w:r>
          <w:r>
            <w:rPr>
              <w:color w:val="auto"/>
            </w:rPr>
            <w:fldChar w:fldCharType="begin"/>
          </w:r>
          <w:r>
            <w:rPr>
              <w:color w:val="auto"/>
            </w:rPr>
            <w:instrText xml:space="preserve"> PAGEREF _Toc23149 \h </w:instrText>
          </w:r>
          <w:r>
            <w:rPr>
              <w:color w:val="auto"/>
            </w:rPr>
            <w:fldChar w:fldCharType="separate"/>
          </w:r>
          <w:r>
            <w:rPr>
              <w:color w:val="auto"/>
            </w:rPr>
            <w:t>7</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_Toc4795 </w:instrText>
          </w:r>
          <w:r>
            <w:rPr>
              <w:color w:val="auto"/>
            </w:rPr>
            <w:fldChar w:fldCharType="separate"/>
          </w:r>
          <w:r>
            <w:rPr>
              <w:color w:val="auto"/>
            </w:rPr>
            <w:t>3.1</w:t>
          </w:r>
          <w:r>
            <w:rPr>
              <w:rFonts w:hint="eastAsia"/>
              <w:color w:val="auto"/>
            </w:rPr>
            <w:t>重要史迹价值评估</w:t>
          </w:r>
          <w:r>
            <w:rPr>
              <w:color w:val="auto"/>
            </w:rPr>
            <w:tab/>
          </w:r>
          <w:r>
            <w:rPr>
              <w:color w:val="auto"/>
            </w:rPr>
            <w:fldChar w:fldCharType="begin"/>
          </w:r>
          <w:r>
            <w:rPr>
              <w:color w:val="auto"/>
            </w:rPr>
            <w:instrText xml:space="preserve"> PAGEREF _Toc4795 \h </w:instrText>
          </w:r>
          <w:r>
            <w:rPr>
              <w:color w:val="auto"/>
            </w:rPr>
            <w:fldChar w:fldCharType="separate"/>
          </w:r>
          <w:r>
            <w:rPr>
              <w:color w:val="auto"/>
            </w:rPr>
            <w:t>7</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_Toc12165 </w:instrText>
          </w:r>
          <w:r>
            <w:rPr>
              <w:color w:val="auto"/>
            </w:rPr>
            <w:fldChar w:fldCharType="separate"/>
          </w:r>
          <w:r>
            <w:rPr>
              <w:color w:val="auto"/>
            </w:rPr>
            <w:t>3.2</w:t>
          </w:r>
          <w:r>
            <w:rPr>
              <w:rFonts w:hint="eastAsia"/>
              <w:color w:val="auto"/>
            </w:rPr>
            <w:t>重要史迹本体专项评估</w:t>
          </w:r>
          <w:r>
            <w:rPr>
              <w:color w:val="auto"/>
            </w:rPr>
            <w:tab/>
          </w:r>
          <w:r>
            <w:rPr>
              <w:color w:val="auto"/>
            </w:rPr>
            <w:fldChar w:fldCharType="begin"/>
          </w:r>
          <w:r>
            <w:rPr>
              <w:color w:val="auto"/>
            </w:rPr>
            <w:instrText xml:space="preserve"> PAGEREF _Toc12165 \h </w:instrText>
          </w:r>
          <w:r>
            <w:rPr>
              <w:color w:val="auto"/>
            </w:rPr>
            <w:fldChar w:fldCharType="separate"/>
          </w:r>
          <w:r>
            <w:rPr>
              <w:color w:val="auto"/>
            </w:rPr>
            <w:t>7</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_Toc30583 </w:instrText>
          </w:r>
          <w:r>
            <w:rPr>
              <w:color w:val="auto"/>
            </w:rPr>
            <w:fldChar w:fldCharType="separate"/>
          </w:r>
          <w:r>
            <w:rPr>
              <w:color w:val="auto"/>
            </w:rPr>
            <w:t>3.3</w:t>
          </w:r>
          <w:r>
            <w:rPr>
              <w:rFonts w:hint="eastAsia"/>
              <w:color w:val="auto"/>
            </w:rPr>
            <w:t>环境现状评估</w:t>
          </w:r>
          <w:r>
            <w:rPr>
              <w:color w:val="auto"/>
            </w:rPr>
            <w:tab/>
          </w:r>
          <w:r>
            <w:rPr>
              <w:color w:val="auto"/>
            </w:rPr>
            <w:fldChar w:fldCharType="begin"/>
          </w:r>
          <w:r>
            <w:rPr>
              <w:color w:val="auto"/>
            </w:rPr>
            <w:instrText xml:space="preserve"> PAGEREF _Toc30583 \h </w:instrText>
          </w:r>
          <w:r>
            <w:rPr>
              <w:color w:val="auto"/>
            </w:rPr>
            <w:fldChar w:fldCharType="separate"/>
          </w:r>
          <w:r>
            <w:rPr>
              <w:color w:val="auto"/>
            </w:rPr>
            <w:t>10</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_Toc13919 </w:instrText>
          </w:r>
          <w:r>
            <w:rPr>
              <w:color w:val="auto"/>
            </w:rPr>
            <w:fldChar w:fldCharType="separate"/>
          </w:r>
          <w:r>
            <w:rPr>
              <w:rFonts w:hint="eastAsia"/>
              <w:color w:val="auto"/>
            </w:rPr>
            <w:t>3</w:t>
          </w:r>
          <w:r>
            <w:rPr>
              <w:color w:val="auto"/>
            </w:rPr>
            <w:t>.4</w:t>
          </w:r>
          <w:r>
            <w:rPr>
              <w:rFonts w:hint="eastAsia"/>
              <w:color w:val="auto"/>
            </w:rPr>
            <w:t>重要史迹综合评估</w:t>
          </w:r>
          <w:r>
            <w:rPr>
              <w:color w:val="auto"/>
            </w:rPr>
            <w:tab/>
          </w:r>
          <w:r>
            <w:rPr>
              <w:color w:val="auto"/>
            </w:rPr>
            <w:fldChar w:fldCharType="begin"/>
          </w:r>
          <w:r>
            <w:rPr>
              <w:color w:val="auto"/>
            </w:rPr>
            <w:instrText xml:space="preserve"> PAGEREF _Toc13919 \h </w:instrText>
          </w:r>
          <w:r>
            <w:rPr>
              <w:color w:val="auto"/>
            </w:rPr>
            <w:fldChar w:fldCharType="separate"/>
          </w:r>
          <w:r>
            <w:rPr>
              <w:color w:val="auto"/>
            </w:rPr>
            <w:t>11</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_Toc8287 </w:instrText>
          </w:r>
          <w:r>
            <w:rPr>
              <w:color w:val="auto"/>
            </w:rPr>
            <w:fldChar w:fldCharType="separate"/>
          </w:r>
          <w:r>
            <w:rPr>
              <w:color w:val="auto"/>
            </w:rPr>
            <w:t>3.5</w:t>
          </w:r>
          <w:r>
            <w:rPr>
              <w:rFonts w:hint="eastAsia"/>
              <w:color w:val="auto"/>
            </w:rPr>
            <w:t>相关规划解读</w:t>
          </w:r>
          <w:r>
            <w:rPr>
              <w:color w:val="auto"/>
            </w:rPr>
            <w:tab/>
          </w:r>
          <w:r>
            <w:rPr>
              <w:color w:val="auto"/>
            </w:rPr>
            <w:fldChar w:fldCharType="begin"/>
          </w:r>
          <w:r>
            <w:rPr>
              <w:color w:val="auto"/>
            </w:rPr>
            <w:instrText xml:space="preserve"> PAGEREF _Toc8287 \h </w:instrText>
          </w:r>
          <w:r>
            <w:rPr>
              <w:color w:val="auto"/>
            </w:rPr>
            <w:fldChar w:fldCharType="separate"/>
          </w:r>
          <w:r>
            <w:rPr>
              <w:color w:val="auto"/>
            </w:rPr>
            <w:t>14</w:t>
          </w:r>
          <w:r>
            <w:rPr>
              <w:color w:val="auto"/>
            </w:rPr>
            <w:fldChar w:fldCharType="end"/>
          </w:r>
          <w:r>
            <w:rPr>
              <w:color w:val="auto"/>
            </w:rPr>
            <w:fldChar w:fldCharType="end"/>
          </w:r>
        </w:p>
        <w:p>
          <w:pPr>
            <w:pStyle w:val="13"/>
            <w:tabs>
              <w:tab w:val="right" w:leader="dot" w:pos="9940"/>
              <w:tab w:val="clear" w:pos="10243"/>
            </w:tabs>
            <w:rPr>
              <w:color w:val="auto"/>
            </w:rPr>
          </w:pPr>
          <w:r>
            <w:rPr>
              <w:color w:val="auto"/>
            </w:rPr>
            <w:fldChar w:fldCharType="begin"/>
          </w:r>
          <w:r>
            <w:rPr>
              <w:color w:val="auto"/>
            </w:rPr>
            <w:instrText xml:space="preserve"> HYPERLINK \l _Toc28012 </w:instrText>
          </w:r>
          <w:r>
            <w:rPr>
              <w:color w:val="auto"/>
            </w:rPr>
            <w:fldChar w:fldCharType="separate"/>
          </w:r>
          <w:r>
            <w:rPr>
              <w:rFonts w:hint="eastAsia"/>
              <w:color w:val="auto"/>
            </w:rPr>
            <w:t>第四章</w:t>
          </w:r>
          <w:r>
            <w:rPr>
              <w:color w:val="auto"/>
            </w:rPr>
            <w:t xml:space="preserve"> </w:t>
          </w:r>
          <w:r>
            <w:rPr>
              <w:rFonts w:hint="eastAsia"/>
              <w:color w:val="auto"/>
            </w:rPr>
            <w:t>规划框架</w:t>
          </w:r>
          <w:r>
            <w:rPr>
              <w:color w:val="auto"/>
            </w:rPr>
            <w:tab/>
          </w:r>
          <w:r>
            <w:rPr>
              <w:color w:val="auto"/>
            </w:rPr>
            <w:fldChar w:fldCharType="begin"/>
          </w:r>
          <w:r>
            <w:rPr>
              <w:color w:val="auto"/>
            </w:rPr>
            <w:instrText xml:space="preserve"> PAGEREF _Toc28012 \h </w:instrText>
          </w:r>
          <w:r>
            <w:rPr>
              <w:color w:val="auto"/>
            </w:rPr>
            <w:fldChar w:fldCharType="separate"/>
          </w:r>
          <w:r>
            <w:rPr>
              <w:color w:val="auto"/>
            </w:rPr>
            <w:t>15</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_Toc10123 </w:instrText>
          </w:r>
          <w:r>
            <w:rPr>
              <w:color w:val="auto"/>
            </w:rPr>
            <w:fldChar w:fldCharType="separate"/>
          </w:r>
          <w:r>
            <w:rPr>
              <w:color w:val="auto"/>
            </w:rPr>
            <w:t>4.1</w:t>
          </w:r>
          <w:r>
            <w:rPr>
              <w:rFonts w:hint="eastAsia"/>
              <w:color w:val="auto"/>
            </w:rPr>
            <w:t>规划目标</w:t>
          </w:r>
          <w:r>
            <w:rPr>
              <w:color w:val="auto"/>
            </w:rPr>
            <w:tab/>
          </w:r>
          <w:r>
            <w:rPr>
              <w:color w:val="auto"/>
            </w:rPr>
            <w:fldChar w:fldCharType="begin"/>
          </w:r>
          <w:r>
            <w:rPr>
              <w:color w:val="auto"/>
            </w:rPr>
            <w:instrText xml:space="preserve"> PAGEREF _Toc10123 \h </w:instrText>
          </w:r>
          <w:r>
            <w:rPr>
              <w:color w:val="auto"/>
            </w:rPr>
            <w:fldChar w:fldCharType="separate"/>
          </w:r>
          <w:r>
            <w:rPr>
              <w:color w:val="auto"/>
            </w:rPr>
            <w:t>15</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_Toc3593 </w:instrText>
          </w:r>
          <w:r>
            <w:rPr>
              <w:color w:val="auto"/>
            </w:rPr>
            <w:fldChar w:fldCharType="separate"/>
          </w:r>
          <w:r>
            <w:rPr>
              <w:color w:val="auto"/>
            </w:rPr>
            <w:t>4.2</w:t>
          </w:r>
          <w:r>
            <w:rPr>
              <w:rFonts w:hint="eastAsia"/>
              <w:color w:val="auto"/>
            </w:rPr>
            <w:t>规划原则</w:t>
          </w:r>
          <w:r>
            <w:rPr>
              <w:color w:val="auto"/>
            </w:rPr>
            <w:tab/>
          </w:r>
          <w:r>
            <w:rPr>
              <w:color w:val="auto"/>
            </w:rPr>
            <w:fldChar w:fldCharType="begin"/>
          </w:r>
          <w:r>
            <w:rPr>
              <w:color w:val="auto"/>
            </w:rPr>
            <w:instrText xml:space="preserve"> PAGEREF _Toc3593 \h </w:instrText>
          </w:r>
          <w:r>
            <w:rPr>
              <w:color w:val="auto"/>
            </w:rPr>
            <w:fldChar w:fldCharType="separate"/>
          </w:r>
          <w:r>
            <w:rPr>
              <w:color w:val="auto"/>
            </w:rPr>
            <w:t>15</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_Toc29162 </w:instrText>
          </w:r>
          <w:r>
            <w:rPr>
              <w:color w:val="auto"/>
            </w:rPr>
            <w:fldChar w:fldCharType="separate"/>
          </w:r>
          <w:r>
            <w:rPr>
              <w:color w:val="auto"/>
            </w:rPr>
            <w:t>4.3</w:t>
          </w:r>
          <w:r>
            <w:rPr>
              <w:rFonts w:hint="eastAsia"/>
              <w:color w:val="auto"/>
            </w:rPr>
            <w:t>规划定位</w:t>
          </w:r>
          <w:r>
            <w:rPr>
              <w:color w:val="auto"/>
            </w:rPr>
            <w:tab/>
          </w:r>
          <w:r>
            <w:rPr>
              <w:color w:val="auto"/>
            </w:rPr>
            <w:fldChar w:fldCharType="begin"/>
          </w:r>
          <w:r>
            <w:rPr>
              <w:color w:val="auto"/>
            </w:rPr>
            <w:instrText xml:space="preserve"> PAGEREF _Toc29162 \h </w:instrText>
          </w:r>
          <w:r>
            <w:rPr>
              <w:color w:val="auto"/>
            </w:rPr>
            <w:fldChar w:fldCharType="separate"/>
          </w:r>
          <w:r>
            <w:rPr>
              <w:color w:val="auto"/>
            </w:rPr>
            <w:t>15</w:t>
          </w:r>
          <w:r>
            <w:rPr>
              <w:color w:val="auto"/>
            </w:rPr>
            <w:fldChar w:fldCharType="end"/>
          </w:r>
          <w:r>
            <w:rPr>
              <w:color w:val="auto"/>
            </w:rPr>
            <w:fldChar w:fldCharType="end"/>
          </w:r>
        </w:p>
        <w:p>
          <w:pPr>
            <w:pStyle w:val="13"/>
            <w:tabs>
              <w:tab w:val="right" w:leader="dot" w:pos="9940"/>
              <w:tab w:val="clear" w:pos="10243"/>
            </w:tabs>
            <w:rPr>
              <w:color w:val="auto"/>
            </w:rPr>
          </w:pPr>
          <w:r>
            <w:rPr>
              <w:color w:val="auto"/>
            </w:rPr>
            <w:fldChar w:fldCharType="begin"/>
          </w:r>
          <w:r>
            <w:rPr>
              <w:color w:val="auto"/>
            </w:rPr>
            <w:instrText xml:space="preserve"> HYPERLINK \l _Toc15978 </w:instrText>
          </w:r>
          <w:r>
            <w:rPr>
              <w:color w:val="auto"/>
            </w:rPr>
            <w:fldChar w:fldCharType="separate"/>
          </w:r>
          <w:r>
            <w:rPr>
              <w:rFonts w:hint="eastAsia"/>
              <w:color w:val="auto"/>
            </w:rPr>
            <w:t>第五章</w:t>
          </w:r>
          <w:r>
            <w:rPr>
              <w:color w:val="auto"/>
            </w:rPr>
            <w:t xml:space="preserve"> </w:t>
          </w:r>
          <w:r>
            <w:rPr>
              <w:rFonts w:hint="eastAsia"/>
              <w:color w:val="auto"/>
            </w:rPr>
            <w:t>保护与管理规划</w:t>
          </w:r>
          <w:r>
            <w:rPr>
              <w:color w:val="auto"/>
            </w:rPr>
            <w:tab/>
          </w:r>
          <w:r>
            <w:rPr>
              <w:color w:val="auto"/>
            </w:rPr>
            <w:fldChar w:fldCharType="begin"/>
          </w:r>
          <w:r>
            <w:rPr>
              <w:color w:val="auto"/>
            </w:rPr>
            <w:instrText xml:space="preserve"> PAGEREF _Toc15978 \h </w:instrText>
          </w:r>
          <w:r>
            <w:rPr>
              <w:color w:val="auto"/>
            </w:rPr>
            <w:fldChar w:fldCharType="separate"/>
          </w:r>
          <w:r>
            <w:rPr>
              <w:color w:val="auto"/>
            </w:rPr>
            <w:t>16</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_Toc30195 </w:instrText>
          </w:r>
          <w:r>
            <w:rPr>
              <w:color w:val="auto"/>
            </w:rPr>
            <w:fldChar w:fldCharType="separate"/>
          </w:r>
          <w:r>
            <w:rPr>
              <w:color w:val="auto"/>
            </w:rPr>
            <w:t>5.1</w:t>
          </w:r>
          <w:r>
            <w:rPr>
              <w:rFonts w:hint="eastAsia"/>
              <w:color w:val="auto"/>
            </w:rPr>
            <w:t>重要史迹保护策略</w:t>
          </w:r>
          <w:r>
            <w:rPr>
              <w:color w:val="auto"/>
            </w:rPr>
            <w:tab/>
          </w:r>
          <w:r>
            <w:rPr>
              <w:color w:val="auto"/>
            </w:rPr>
            <w:fldChar w:fldCharType="begin"/>
          </w:r>
          <w:r>
            <w:rPr>
              <w:color w:val="auto"/>
            </w:rPr>
            <w:instrText xml:space="preserve"> PAGEREF _Toc30195 \h </w:instrText>
          </w:r>
          <w:r>
            <w:rPr>
              <w:color w:val="auto"/>
            </w:rPr>
            <w:fldChar w:fldCharType="separate"/>
          </w:r>
          <w:r>
            <w:rPr>
              <w:color w:val="auto"/>
            </w:rPr>
            <w:t>16</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_Toc10221 </w:instrText>
          </w:r>
          <w:r>
            <w:rPr>
              <w:color w:val="auto"/>
            </w:rPr>
            <w:fldChar w:fldCharType="separate"/>
          </w:r>
          <w:r>
            <w:rPr>
              <w:color w:val="auto"/>
            </w:rPr>
            <w:t>5.2</w:t>
          </w:r>
          <w:r>
            <w:rPr>
              <w:rFonts w:hint="eastAsia"/>
              <w:color w:val="auto"/>
            </w:rPr>
            <w:t>重要史迹管理规划</w:t>
          </w:r>
          <w:r>
            <w:rPr>
              <w:color w:val="auto"/>
            </w:rPr>
            <w:tab/>
          </w:r>
          <w:r>
            <w:rPr>
              <w:color w:val="auto"/>
            </w:rPr>
            <w:fldChar w:fldCharType="begin"/>
          </w:r>
          <w:r>
            <w:rPr>
              <w:color w:val="auto"/>
            </w:rPr>
            <w:instrText xml:space="preserve"> PAGEREF _Toc10221 \h </w:instrText>
          </w:r>
          <w:r>
            <w:rPr>
              <w:color w:val="auto"/>
            </w:rPr>
            <w:fldChar w:fldCharType="separate"/>
          </w:r>
          <w:r>
            <w:rPr>
              <w:color w:val="auto"/>
            </w:rPr>
            <w:t>21</w:t>
          </w:r>
          <w:r>
            <w:rPr>
              <w:color w:val="auto"/>
            </w:rPr>
            <w:fldChar w:fldCharType="end"/>
          </w:r>
          <w:r>
            <w:rPr>
              <w:color w:val="auto"/>
            </w:rPr>
            <w:fldChar w:fldCharType="end"/>
          </w:r>
        </w:p>
        <w:p>
          <w:pPr>
            <w:pStyle w:val="13"/>
            <w:tabs>
              <w:tab w:val="right" w:leader="dot" w:pos="9940"/>
              <w:tab w:val="clear" w:pos="10243"/>
            </w:tabs>
            <w:rPr>
              <w:color w:val="auto"/>
            </w:rPr>
          </w:pPr>
          <w:r>
            <w:rPr>
              <w:color w:val="auto"/>
            </w:rPr>
            <w:fldChar w:fldCharType="begin"/>
          </w:r>
          <w:r>
            <w:rPr>
              <w:color w:val="auto"/>
            </w:rPr>
            <w:instrText xml:space="preserve"> HYPERLINK \l _Toc14633 </w:instrText>
          </w:r>
          <w:r>
            <w:rPr>
              <w:color w:val="auto"/>
            </w:rPr>
            <w:fldChar w:fldCharType="separate"/>
          </w:r>
          <w:r>
            <w:rPr>
              <w:rFonts w:hint="eastAsia"/>
              <w:color w:val="auto"/>
            </w:rPr>
            <w:t>第六章 展示利用规划</w:t>
          </w:r>
          <w:r>
            <w:rPr>
              <w:color w:val="auto"/>
            </w:rPr>
            <w:tab/>
          </w:r>
          <w:r>
            <w:rPr>
              <w:color w:val="auto"/>
            </w:rPr>
            <w:fldChar w:fldCharType="begin"/>
          </w:r>
          <w:r>
            <w:rPr>
              <w:color w:val="auto"/>
            </w:rPr>
            <w:instrText xml:space="preserve"> PAGEREF _Toc14633 \h </w:instrText>
          </w:r>
          <w:r>
            <w:rPr>
              <w:color w:val="auto"/>
            </w:rPr>
            <w:fldChar w:fldCharType="separate"/>
          </w:r>
          <w:r>
            <w:rPr>
              <w:color w:val="auto"/>
            </w:rPr>
            <w:t>24</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_Toc15656 </w:instrText>
          </w:r>
          <w:r>
            <w:rPr>
              <w:color w:val="auto"/>
            </w:rPr>
            <w:fldChar w:fldCharType="separate"/>
          </w:r>
          <w:r>
            <w:rPr>
              <w:color w:val="auto"/>
            </w:rPr>
            <w:t>6.1</w:t>
          </w:r>
          <w:r>
            <w:rPr>
              <w:rFonts w:hint="eastAsia"/>
              <w:color w:val="auto"/>
            </w:rPr>
            <w:t>整体布局</w:t>
          </w:r>
          <w:r>
            <w:rPr>
              <w:color w:val="auto"/>
            </w:rPr>
            <w:tab/>
          </w:r>
          <w:r>
            <w:rPr>
              <w:color w:val="auto"/>
            </w:rPr>
            <w:fldChar w:fldCharType="begin"/>
          </w:r>
          <w:r>
            <w:rPr>
              <w:color w:val="auto"/>
            </w:rPr>
            <w:instrText xml:space="preserve"> PAGEREF _Toc15656 \h </w:instrText>
          </w:r>
          <w:r>
            <w:rPr>
              <w:color w:val="auto"/>
            </w:rPr>
            <w:fldChar w:fldCharType="separate"/>
          </w:r>
          <w:r>
            <w:rPr>
              <w:color w:val="auto"/>
            </w:rPr>
            <w:t>24</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_Toc17026 </w:instrText>
          </w:r>
          <w:r>
            <w:rPr>
              <w:color w:val="auto"/>
            </w:rPr>
            <w:fldChar w:fldCharType="separate"/>
          </w:r>
          <w:r>
            <w:rPr>
              <w:color w:val="auto"/>
            </w:rPr>
            <w:t>6.2</w:t>
          </w:r>
          <w:r>
            <w:rPr>
              <w:rFonts w:hint="eastAsia"/>
              <w:color w:val="auto"/>
            </w:rPr>
            <w:t>重要史迹展示利用措施</w:t>
          </w:r>
          <w:r>
            <w:rPr>
              <w:color w:val="auto"/>
            </w:rPr>
            <w:tab/>
          </w:r>
          <w:r>
            <w:rPr>
              <w:color w:val="auto"/>
            </w:rPr>
            <w:fldChar w:fldCharType="begin"/>
          </w:r>
          <w:r>
            <w:rPr>
              <w:color w:val="auto"/>
            </w:rPr>
            <w:instrText xml:space="preserve"> PAGEREF _Toc17026 \h </w:instrText>
          </w:r>
          <w:r>
            <w:rPr>
              <w:color w:val="auto"/>
            </w:rPr>
            <w:fldChar w:fldCharType="separate"/>
          </w:r>
          <w:r>
            <w:rPr>
              <w:color w:val="auto"/>
            </w:rPr>
            <w:t>26</w:t>
          </w:r>
          <w:r>
            <w:rPr>
              <w:color w:val="auto"/>
            </w:rPr>
            <w:fldChar w:fldCharType="end"/>
          </w:r>
          <w:r>
            <w:rPr>
              <w:color w:val="auto"/>
            </w:rPr>
            <w:fldChar w:fldCharType="end"/>
          </w:r>
        </w:p>
        <w:p>
          <w:pPr>
            <w:pStyle w:val="13"/>
            <w:tabs>
              <w:tab w:val="right" w:leader="dot" w:pos="9940"/>
              <w:tab w:val="clear" w:pos="10243"/>
            </w:tabs>
            <w:rPr>
              <w:color w:val="auto"/>
            </w:rPr>
          </w:pPr>
          <w:r>
            <w:rPr>
              <w:color w:val="auto"/>
            </w:rPr>
            <w:fldChar w:fldCharType="begin"/>
          </w:r>
          <w:r>
            <w:rPr>
              <w:color w:val="auto"/>
            </w:rPr>
            <w:instrText xml:space="preserve"> HYPERLINK \l _Toc5410 </w:instrText>
          </w:r>
          <w:r>
            <w:rPr>
              <w:color w:val="auto"/>
            </w:rPr>
            <w:fldChar w:fldCharType="separate"/>
          </w:r>
          <w:r>
            <w:rPr>
              <w:rFonts w:hint="eastAsia"/>
              <w:color w:val="auto"/>
            </w:rPr>
            <w:t>第七章</w:t>
          </w:r>
          <w:r>
            <w:rPr>
              <w:color w:val="auto"/>
            </w:rPr>
            <w:t xml:space="preserve"> </w:t>
          </w:r>
          <w:r>
            <w:rPr>
              <w:rFonts w:hint="eastAsia"/>
              <w:color w:val="auto"/>
            </w:rPr>
            <w:t>文旅融合发展计划</w:t>
          </w:r>
          <w:r>
            <w:rPr>
              <w:color w:val="auto"/>
            </w:rPr>
            <w:tab/>
          </w:r>
          <w:r>
            <w:rPr>
              <w:color w:val="auto"/>
            </w:rPr>
            <w:fldChar w:fldCharType="begin"/>
          </w:r>
          <w:r>
            <w:rPr>
              <w:color w:val="auto"/>
            </w:rPr>
            <w:instrText xml:space="preserve"> PAGEREF _Toc5410 \h </w:instrText>
          </w:r>
          <w:r>
            <w:rPr>
              <w:color w:val="auto"/>
            </w:rPr>
            <w:fldChar w:fldCharType="separate"/>
          </w:r>
          <w:r>
            <w:rPr>
              <w:color w:val="auto"/>
            </w:rPr>
            <w:t>33</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_Toc28967 </w:instrText>
          </w:r>
          <w:r>
            <w:rPr>
              <w:color w:val="auto"/>
            </w:rPr>
            <w:fldChar w:fldCharType="separate"/>
          </w:r>
          <w:r>
            <w:rPr>
              <w:color w:val="auto"/>
            </w:rPr>
            <w:t>7.1</w:t>
          </w:r>
          <w:r>
            <w:rPr>
              <w:rFonts w:hint="eastAsia"/>
              <w:color w:val="auto"/>
            </w:rPr>
            <w:t>打造特色旅游线路</w:t>
          </w:r>
          <w:r>
            <w:rPr>
              <w:color w:val="auto"/>
            </w:rPr>
            <w:tab/>
          </w:r>
          <w:r>
            <w:rPr>
              <w:color w:val="auto"/>
            </w:rPr>
            <w:fldChar w:fldCharType="begin"/>
          </w:r>
          <w:r>
            <w:rPr>
              <w:color w:val="auto"/>
            </w:rPr>
            <w:instrText xml:space="preserve"> PAGEREF _Toc28967 \h </w:instrText>
          </w:r>
          <w:r>
            <w:rPr>
              <w:color w:val="auto"/>
            </w:rPr>
            <w:fldChar w:fldCharType="separate"/>
          </w:r>
          <w:r>
            <w:rPr>
              <w:color w:val="auto"/>
            </w:rPr>
            <w:t>33</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_Toc11673 </w:instrText>
          </w:r>
          <w:r>
            <w:rPr>
              <w:color w:val="auto"/>
            </w:rPr>
            <w:fldChar w:fldCharType="separate"/>
          </w:r>
          <w:r>
            <w:rPr>
              <w:color w:val="auto"/>
            </w:rPr>
            <w:t>7.2</w:t>
          </w:r>
          <w:r>
            <w:rPr>
              <w:rFonts w:hint="eastAsia"/>
              <w:color w:val="auto"/>
            </w:rPr>
            <w:t>发展特色旅游片区</w:t>
          </w:r>
          <w:r>
            <w:rPr>
              <w:color w:val="auto"/>
            </w:rPr>
            <w:tab/>
          </w:r>
          <w:r>
            <w:rPr>
              <w:color w:val="auto"/>
            </w:rPr>
            <w:fldChar w:fldCharType="begin"/>
          </w:r>
          <w:r>
            <w:rPr>
              <w:color w:val="auto"/>
            </w:rPr>
            <w:instrText xml:space="preserve"> PAGEREF _Toc11673 \h </w:instrText>
          </w:r>
          <w:r>
            <w:rPr>
              <w:color w:val="auto"/>
            </w:rPr>
            <w:fldChar w:fldCharType="separate"/>
          </w:r>
          <w:r>
            <w:rPr>
              <w:color w:val="auto"/>
            </w:rPr>
            <w:t>34</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_Toc25138 </w:instrText>
          </w:r>
          <w:r>
            <w:rPr>
              <w:color w:val="auto"/>
            </w:rPr>
            <w:fldChar w:fldCharType="separate"/>
          </w:r>
          <w:r>
            <w:rPr>
              <w:color w:val="auto"/>
            </w:rPr>
            <w:t>7.3</w:t>
          </w:r>
          <w:r>
            <w:rPr>
              <w:rFonts w:hint="eastAsia"/>
              <w:color w:val="auto"/>
            </w:rPr>
            <w:t>塑造深圳“改革开放”特色旅游名片</w:t>
          </w:r>
          <w:r>
            <w:rPr>
              <w:color w:val="auto"/>
            </w:rPr>
            <w:tab/>
          </w:r>
          <w:r>
            <w:rPr>
              <w:color w:val="auto"/>
            </w:rPr>
            <w:fldChar w:fldCharType="begin"/>
          </w:r>
          <w:r>
            <w:rPr>
              <w:color w:val="auto"/>
            </w:rPr>
            <w:instrText xml:space="preserve"> PAGEREF _Toc25138 \h </w:instrText>
          </w:r>
          <w:r>
            <w:rPr>
              <w:color w:val="auto"/>
            </w:rPr>
            <w:fldChar w:fldCharType="separate"/>
          </w:r>
          <w:r>
            <w:rPr>
              <w:color w:val="auto"/>
            </w:rPr>
            <w:t>36</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_Toc13386 </w:instrText>
          </w:r>
          <w:r>
            <w:rPr>
              <w:color w:val="auto"/>
            </w:rPr>
            <w:fldChar w:fldCharType="separate"/>
          </w:r>
          <w:r>
            <w:rPr>
              <w:color w:val="auto"/>
            </w:rPr>
            <w:t>7.4</w:t>
          </w:r>
          <w:r>
            <w:rPr>
              <w:rFonts w:hint="eastAsia"/>
              <w:color w:val="auto"/>
            </w:rPr>
            <w:t>融入区域旅游市场</w:t>
          </w:r>
          <w:r>
            <w:rPr>
              <w:color w:val="auto"/>
            </w:rPr>
            <w:tab/>
          </w:r>
          <w:r>
            <w:rPr>
              <w:color w:val="auto"/>
            </w:rPr>
            <w:fldChar w:fldCharType="begin"/>
          </w:r>
          <w:r>
            <w:rPr>
              <w:color w:val="auto"/>
            </w:rPr>
            <w:instrText xml:space="preserve"> PAGEREF _Toc13386 \h </w:instrText>
          </w:r>
          <w:r>
            <w:rPr>
              <w:color w:val="auto"/>
            </w:rPr>
            <w:fldChar w:fldCharType="separate"/>
          </w:r>
          <w:r>
            <w:rPr>
              <w:color w:val="auto"/>
            </w:rPr>
            <w:t>36</w:t>
          </w:r>
          <w:r>
            <w:rPr>
              <w:color w:val="auto"/>
            </w:rPr>
            <w:fldChar w:fldCharType="end"/>
          </w:r>
          <w:r>
            <w:rPr>
              <w:color w:val="auto"/>
            </w:rPr>
            <w:fldChar w:fldCharType="end"/>
          </w:r>
        </w:p>
        <w:p>
          <w:pPr>
            <w:pStyle w:val="13"/>
            <w:tabs>
              <w:tab w:val="right" w:leader="dot" w:pos="9940"/>
              <w:tab w:val="clear" w:pos="10243"/>
            </w:tabs>
            <w:rPr>
              <w:color w:val="auto"/>
            </w:rPr>
          </w:pPr>
          <w:r>
            <w:rPr>
              <w:color w:val="auto"/>
            </w:rPr>
            <w:fldChar w:fldCharType="begin"/>
          </w:r>
          <w:r>
            <w:rPr>
              <w:color w:val="auto"/>
            </w:rPr>
            <w:instrText xml:space="preserve"> HYPERLINK \l _Toc9550 </w:instrText>
          </w:r>
          <w:r>
            <w:rPr>
              <w:color w:val="auto"/>
            </w:rPr>
            <w:fldChar w:fldCharType="separate"/>
          </w:r>
          <w:r>
            <w:rPr>
              <w:rFonts w:hint="eastAsia"/>
              <w:color w:val="auto"/>
            </w:rPr>
            <w:t>第八章</w:t>
          </w:r>
          <w:r>
            <w:rPr>
              <w:color w:val="auto"/>
            </w:rPr>
            <w:t xml:space="preserve"> </w:t>
          </w:r>
          <w:r>
            <w:rPr>
              <w:rFonts w:hint="eastAsia"/>
              <w:color w:val="auto"/>
            </w:rPr>
            <w:t>实施分期与经费估算</w:t>
          </w:r>
          <w:r>
            <w:rPr>
              <w:color w:val="auto"/>
            </w:rPr>
            <w:tab/>
          </w:r>
          <w:r>
            <w:rPr>
              <w:color w:val="auto"/>
            </w:rPr>
            <w:fldChar w:fldCharType="begin"/>
          </w:r>
          <w:r>
            <w:rPr>
              <w:color w:val="auto"/>
            </w:rPr>
            <w:instrText xml:space="preserve"> PAGEREF _Toc9550 \h </w:instrText>
          </w:r>
          <w:r>
            <w:rPr>
              <w:color w:val="auto"/>
            </w:rPr>
            <w:fldChar w:fldCharType="separate"/>
          </w:r>
          <w:r>
            <w:rPr>
              <w:color w:val="auto"/>
            </w:rPr>
            <w:t>38</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_Toc14220 </w:instrText>
          </w:r>
          <w:r>
            <w:rPr>
              <w:color w:val="auto"/>
            </w:rPr>
            <w:fldChar w:fldCharType="separate"/>
          </w:r>
          <w:r>
            <w:rPr>
              <w:color w:val="auto"/>
            </w:rPr>
            <w:t>8.1</w:t>
          </w:r>
          <w:r>
            <w:rPr>
              <w:rFonts w:hint="eastAsia"/>
              <w:color w:val="auto"/>
            </w:rPr>
            <w:t>近期（</w:t>
          </w:r>
          <w:r>
            <w:rPr>
              <w:color w:val="auto"/>
            </w:rPr>
            <w:t>2023-2027</w:t>
          </w:r>
          <w:r>
            <w:rPr>
              <w:rFonts w:hint="eastAsia"/>
              <w:color w:val="auto"/>
            </w:rPr>
            <w:t>年）工作</w:t>
          </w:r>
          <w:r>
            <w:rPr>
              <w:color w:val="auto"/>
            </w:rPr>
            <w:tab/>
          </w:r>
          <w:r>
            <w:rPr>
              <w:color w:val="auto"/>
            </w:rPr>
            <w:fldChar w:fldCharType="begin"/>
          </w:r>
          <w:r>
            <w:rPr>
              <w:color w:val="auto"/>
            </w:rPr>
            <w:instrText xml:space="preserve"> PAGEREF _Toc14220 \h </w:instrText>
          </w:r>
          <w:r>
            <w:rPr>
              <w:color w:val="auto"/>
            </w:rPr>
            <w:fldChar w:fldCharType="separate"/>
          </w:r>
          <w:r>
            <w:rPr>
              <w:color w:val="auto"/>
            </w:rPr>
            <w:t>38</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_Toc16231 </w:instrText>
          </w:r>
          <w:r>
            <w:rPr>
              <w:color w:val="auto"/>
            </w:rPr>
            <w:fldChar w:fldCharType="separate"/>
          </w:r>
          <w:r>
            <w:rPr>
              <w:color w:val="auto"/>
            </w:rPr>
            <w:t>8.2</w:t>
          </w:r>
          <w:r>
            <w:rPr>
              <w:rFonts w:hint="eastAsia"/>
              <w:color w:val="auto"/>
            </w:rPr>
            <w:t>中期（</w:t>
          </w:r>
          <w:r>
            <w:rPr>
              <w:color w:val="auto"/>
            </w:rPr>
            <w:t>2028-2032</w:t>
          </w:r>
          <w:r>
            <w:rPr>
              <w:rFonts w:hint="eastAsia"/>
              <w:color w:val="auto"/>
            </w:rPr>
            <w:t>年）工作</w:t>
          </w:r>
          <w:r>
            <w:rPr>
              <w:color w:val="auto"/>
            </w:rPr>
            <w:tab/>
          </w:r>
          <w:r>
            <w:rPr>
              <w:color w:val="auto"/>
            </w:rPr>
            <w:fldChar w:fldCharType="begin"/>
          </w:r>
          <w:r>
            <w:rPr>
              <w:color w:val="auto"/>
            </w:rPr>
            <w:instrText xml:space="preserve"> PAGEREF _Toc16231 \h </w:instrText>
          </w:r>
          <w:r>
            <w:rPr>
              <w:color w:val="auto"/>
            </w:rPr>
            <w:fldChar w:fldCharType="separate"/>
          </w:r>
          <w:r>
            <w:rPr>
              <w:color w:val="auto"/>
            </w:rPr>
            <w:t>39</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_Toc24772 </w:instrText>
          </w:r>
          <w:r>
            <w:rPr>
              <w:color w:val="auto"/>
            </w:rPr>
            <w:fldChar w:fldCharType="separate"/>
          </w:r>
          <w:r>
            <w:rPr>
              <w:color w:val="auto"/>
            </w:rPr>
            <w:t>8.3</w:t>
          </w:r>
          <w:r>
            <w:rPr>
              <w:rFonts w:hint="eastAsia"/>
              <w:color w:val="auto"/>
            </w:rPr>
            <w:t>远期（</w:t>
          </w:r>
          <w:r>
            <w:rPr>
              <w:color w:val="auto"/>
            </w:rPr>
            <w:t>2033-2035</w:t>
          </w:r>
          <w:r>
            <w:rPr>
              <w:rFonts w:hint="eastAsia"/>
              <w:color w:val="auto"/>
            </w:rPr>
            <w:t>年）工作</w:t>
          </w:r>
          <w:r>
            <w:rPr>
              <w:color w:val="auto"/>
            </w:rPr>
            <w:tab/>
          </w:r>
          <w:r>
            <w:rPr>
              <w:color w:val="auto"/>
            </w:rPr>
            <w:fldChar w:fldCharType="begin"/>
          </w:r>
          <w:r>
            <w:rPr>
              <w:color w:val="auto"/>
            </w:rPr>
            <w:instrText xml:space="preserve"> PAGEREF _Toc24772 \h </w:instrText>
          </w:r>
          <w:r>
            <w:rPr>
              <w:color w:val="auto"/>
            </w:rPr>
            <w:fldChar w:fldCharType="separate"/>
          </w:r>
          <w:r>
            <w:rPr>
              <w:color w:val="auto"/>
            </w:rPr>
            <w:t>40</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_Toc13262 </w:instrText>
          </w:r>
          <w:r>
            <w:rPr>
              <w:color w:val="auto"/>
            </w:rPr>
            <w:fldChar w:fldCharType="separate"/>
          </w:r>
          <w:r>
            <w:rPr>
              <w:color w:val="auto"/>
            </w:rPr>
            <w:t>8.4</w:t>
          </w:r>
          <w:r>
            <w:rPr>
              <w:rFonts w:hint="eastAsia"/>
              <w:color w:val="auto"/>
            </w:rPr>
            <w:t>经费估算</w:t>
          </w:r>
          <w:r>
            <w:rPr>
              <w:color w:val="auto"/>
            </w:rPr>
            <w:tab/>
          </w:r>
          <w:r>
            <w:rPr>
              <w:color w:val="auto"/>
            </w:rPr>
            <w:fldChar w:fldCharType="begin"/>
          </w:r>
          <w:r>
            <w:rPr>
              <w:color w:val="auto"/>
            </w:rPr>
            <w:instrText xml:space="preserve"> PAGEREF _Toc13262 \h </w:instrText>
          </w:r>
          <w:r>
            <w:rPr>
              <w:color w:val="auto"/>
            </w:rPr>
            <w:fldChar w:fldCharType="separate"/>
          </w:r>
          <w:r>
            <w:rPr>
              <w:color w:val="auto"/>
            </w:rPr>
            <w:t>40</w:t>
          </w:r>
          <w:r>
            <w:rPr>
              <w:color w:val="auto"/>
            </w:rPr>
            <w:fldChar w:fldCharType="end"/>
          </w:r>
          <w:r>
            <w:rPr>
              <w:color w:val="auto"/>
            </w:rPr>
            <w:fldChar w:fldCharType="end"/>
          </w:r>
        </w:p>
        <w:p>
          <w:pPr>
            <w:pStyle w:val="13"/>
            <w:tabs>
              <w:tab w:val="right" w:leader="dot" w:pos="9940"/>
              <w:tab w:val="clear" w:pos="10243"/>
            </w:tabs>
            <w:rPr>
              <w:color w:val="auto"/>
            </w:rPr>
          </w:pPr>
          <w:r>
            <w:rPr>
              <w:color w:val="auto"/>
            </w:rPr>
            <w:fldChar w:fldCharType="begin"/>
          </w:r>
          <w:r>
            <w:rPr>
              <w:color w:val="auto"/>
            </w:rPr>
            <w:instrText xml:space="preserve"> HYPERLINK \l _Toc12157 </w:instrText>
          </w:r>
          <w:r>
            <w:rPr>
              <w:color w:val="auto"/>
            </w:rPr>
            <w:fldChar w:fldCharType="separate"/>
          </w:r>
          <w:r>
            <w:rPr>
              <w:rFonts w:hint="eastAsia"/>
              <w:color w:val="auto"/>
            </w:rPr>
            <w:t>第九章</w:t>
          </w:r>
          <w:r>
            <w:rPr>
              <w:color w:val="auto"/>
            </w:rPr>
            <w:t xml:space="preserve"> </w:t>
          </w:r>
          <w:r>
            <w:rPr>
              <w:rFonts w:hint="eastAsia"/>
              <w:color w:val="auto"/>
            </w:rPr>
            <w:t>规划实施保障</w:t>
          </w:r>
          <w:r>
            <w:rPr>
              <w:color w:val="auto"/>
            </w:rPr>
            <w:tab/>
          </w:r>
          <w:r>
            <w:rPr>
              <w:color w:val="auto"/>
            </w:rPr>
            <w:fldChar w:fldCharType="begin"/>
          </w:r>
          <w:r>
            <w:rPr>
              <w:color w:val="auto"/>
            </w:rPr>
            <w:instrText xml:space="preserve"> PAGEREF _Toc12157 \h </w:instrText>
          </w:r>
          <w:r>
            <w:rPr>
              <w:color w:val="auto"/>
            </w:rPr>
            <w:fldChar w:fldCharType="separate"/>
          </w:r>
          <w:r>
            <w:rPr>
              <w:color w:val="auto"/>
            </w:rPr>
            <w:t>42</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_Toc20344 </w:instrText>
          </w:r>
          <w:r>
            <w:rPr>
              <w:color w:val="auto"/>
            </w:rPr>
            <w:fldChar w:fldCharType="separate"/>
          </w:r>
          <w:r>
            <w:rPr>
              <w:color w:val="auto"/>
            </w:rPr>
            <w:t>9.1</w:t>
          </w:r>
          <w:r>
            <w:rPr>
              <w:rFonts w:hint="eastAsia"/>
              <w:color w:val="auto"/>
            </w:rPr>
            <w:t>保障措施</w:t>
          </w:r>
          <w:r>
            <w:rPr>
              <w:color w:val="auto"/>
            </w:rPr>
            <w:tab/>
          </w:r>
          <w:r>
            <w:rPr>
              <w:color w:val="auto"/>
            </w:rPr>
            <w:fldChar w:fldCharType="begin"/>
          </w:r>
          <w:r>
            <w:rPr>
              <w:color w:val="auto"/>
            </w:rPr>
            <w:instrText xml:space="preserve"> PAGEREF _Toc20344 \h </w:instrText>
          </w:r>
          <w:r>
            <w:rPr>
              <w:color w:val="auto"/>
            </w:rPr>
            <w:fldChar w:fldCharType="separate"/>
          </w:r>
          <w:r>
            <w:rPr>
              <w:color w:val="auto"/>
            </w:rPr>
            <w:t>42</w:t>
          </w:r>
          <w:r>
            <w:rPr>
              <w:color w:val="auto"/>
            </w:rPr>
            <w:fldChar w:fldCharType="end"/>
          </w:r>
          <w:r>
            <w:rPr>
              <w:color w:val="auto"/>
            </w:rPr>
            <w:fldChar w:fldCharType="end"/>
          </w:r>
        </w:p>
        <w:p>
          <w:pPr>
            <w:pStyle w:val="14"/>
            <w:tabs>
              <w:tab w:val="right" w:leader="dot" w:pos="9940"/>
            </w:tabs>
            <w:rPr>
              <w:color w:val="auto"/>
            </w:rPr>
          </w:pPr>
          <w:r>
            <w:rPr>
              <w:color w:val="auto"/>
            </w:rPr>
            <w:fldChar w:fldCharType="begin"/>
          </w:r>
          <w:r>
            <w:rPr>
              <w:color w:val="auto"/>
            </w:rPr>
            <w:instrText xml:space="preserve"> HYPERLINK \l _Toc8739 </w:instrText>
          </w:r>
          <w:r>
            <w:rPr>
              <w:color w:val="auto"/>
            </w:rPr>
            <w:fldChar w:fldCharType="separate"/>
          </w:r>
          <w:r>
            <w:rPr>
              <w:color w:val="auto"/>
            </w:rPr>
            <w:t>9.2</w:t>
          </w:r>
          <w:r>
            <w:rPr>
              <w:rFonts w:hint="eastAsia"/>
              <w:color w:val="auto"/>
            </w:rPr>
            <w:t>保障机制</w:t>
          </w:r>
          <w:r>
            <w:rPr>
              <w:color w:val="auto"/>
            </w:rPr>
            <w:tab/>
          </w:r>
          <w:r>
            <w:rPr>
              <w:color w:val="auto"/>
            </w:rPr>
            <w:fldChar w:fldCharType="begin"/>
          </w:r>
          <w:r>
            <w:rPr>
              <w:color w:val="auto"/>
            </w:rPr>
            <w:instrText xml:space="preserve"> PAGEREF _Toc8739 \h </w:instrText>
          </w:r>
          <w:r>
            <w:rPr>
              <w:color w:val="auto"/>
            </w:rPr>
            <w:fldChar w:fldCharType="separate"/>
          </w:r>
          <w:r>
            <w:rPr>
              <w:color w:val="auto"/>
            </w:rPr>
            <w:t>42</w:t>
          </w:r>
          <w:r>
            <w:rPr>
              <w:color w:val="auto"/>
            </w:rPr>
            <w:fldChar w:fldCharType="end"/>
          </w:r>
          <w:r>
            <w:rPr>
              <w:color w:val="auto"/>
            </w:rPr>
            <w:fldChar w:fldCharType="end"/>
          </w:r>
        </w:p>
        <w:p>
          <w:pPr>
            <w:pStyle w:val="13"/>
            <w:tabs>
              <w:tab w:val="right" w:leader="dot" w:pos="9940"/>
              <w:tab w:val="clear" w:pos="10243"/>
            </w:tabs>
            <w:rPr>
              <w:color w:val="auto"/>
            </w:rPr>
          </w:pPr>
          <w:r>
            <w:rPr>
              <w:color w:val="auto"/>
            </w:rPr>
            <w:fldChar w:fldCharType="begin"/>
          </w:r>
          <w:r>
            <w:rPr>
              <w:color w:val="auto"/>
            </w:rPr>
            <w:instrText xml:space="preserve"> HYPERLINK \l _Toc3907 </w:instrText>
          </w:r>
          <w:r>
            <w:rPr>
              <w:color w:val="auto"/>
            </w:rPr>
            <w:fldChar w:fldCharType="separate"/>
          </w:r>
          <w:r>
            <w:rPr>
              <w:rFonts w:hint="eastAsia"/>
              <w:color w:val="auto"/>
            </w:rPr>
            <w:t>附录一：深圳改革开放史迹调查初选资料</w:t>
          </w:r>
          <w:r>
            <w:rPr>
              <w:color w:val="auto"/>
            </w:rPr>
            <w:tab/>
          </w:r>
          <w:r>
            <w:rPr>
              <w:color w:val="auto"/>
            </w:rPr>
            <w:fldChar w:fldCharType="begin"/>
          </w:r>
          <w:r>
            <w:rPr>
              <w:color w:val="auto"/>
            </w:rPr>
            <w:instrText xml:space="preserve"> PAGEREF _Toc3907 \h </w:instrText>
          </w:r>
          <w:r>
            <w:rPr>
              <w:color w:val="auto"/>
            </w:rPr>
            <w:fldChar w:fldCharType="separate"/>
          </w:r>
          <w:r>
            <w:rPr>
              <w:color w:val="auto"/>
            </w:rPr>
            <w:t>43</w:t>
          </w:r>
          <w:r>
            <w:rPr>
              <w:color w:val="auto"/>
            </w:rPr>
            <w:fldChar w:fldCharType="end"/>
          </w:r>
          <w:r>
            <w:rPr>
              <w:color w:val="auto"/>
            </w:rPr>
            <w:fldChar w:fldCharType="end"/>
          </w:r>
        </w:p>
        <w:p>
          <w:pPr>
            <w:pStyle w:val="13"/>
            <w:tabs>
              <w:tab w:val="right" w:leader="dot" w:pos="9940"/>
              <w:tab w:val="clear" w:pos="10243"/>
            </w:tabs>
            <w:rPr>
              <w:color w:val="auto"/>
            </w:rPr>
          </w:pPr>
          <w:r>
            <w:rPr>
              <w:color w:val="auto"/>
            </w:rPr>
            <w:fldChar w:fldCharType="begin"/>
          </w:r>
          <w:r>
            <w:rPr>
              <w:color w:val="auto"/>
            </w:rPr>
            <w:instrText xml:space="preserve"> HYPERLINK \l _Toc25009 </w:instrText>
          </w:r>
          <w:r>
            <w:rPr>
              <w:color w:val="auto"/>
            </w:rPr>
            <w:fldChar w:fldCharType="separate"/>
          </w:r>
          <w:r>
            <w:rPr>
              <w:rFonts w:hint="eastAsia"/>
              <w:color w:val="auto"/>
            </w:rPr>
            <w:t>附录二：深圳市改革开放重要史迹一览表</w:t>
          </w:r>
          <w:r>
            <w:rPr>
              <w:color w:val="auto"/>
            </w:rPr>
            <w:tab/>
          </w:r>
          <w:r>
            <w:rPr>
              <w:color w:val="auto"/>
            </w:rPr>
            <w:fldChar w:fldCharType="begin"/>
          </w:r>
          <w:r>
            <w:rPr>
              <w:color w:val="auto"/>
            </w:rPr>
            <w:instrText xml:space="preserve"> PAGEREF _Toc25009 \h </w:instrText>
          </w:r>
          <w:r>
            <w:rPr>
              <w:color w:val="auto"/>
            </w:rPr>
            <w:fldChar w:fldCharType="separate"/>
          </w:r>
          <w:r>
            <w:rPr>
              <w:color w:val="auto"/>
            </w:rPr>
            <w:t>47</w:t>
          </w:r>
          <w:r>
            <w:rPr>
              <w:color w:val="auto"/>
            </w:rPr>
            <w:fldChar w:fldCharType="end"/>
          </w:r>
          <w:r>
            <w:rPr>
              <w:color w:val="auto"/>
            </w:rPr>
            <w:fldChar w:fldCharType="end"/>
          </w:r>
        </w:p>
        <w:p>
          <w:pPr>
            <w:pStyle w:val="13"/>
            <w:tabs>
              <w:tab w:val="right" w:leader="dot" w:pos="9940"/>
              <w:tab w:val="clear" w:pos="10243"/>
            </w:tabs>
            <w:rPr>
              <w:color w:val="auto"/>
            </w:rPr>
          </w:pPr>
          <w:r>
            <w:rPr>
              <w:color w:val="auto"/>
            </w:rPr>
            <w:fldChar w:fldCharType="begin"/>
          </w:r>
          <w:r>
            <w:rPr>
              <w:color w:val="auto"/>
            </w:rPr>
            <w:instrText xml:space="preserve"> HYPERLINK \l _Toc363 </w:instrText>
          </w:r>
          <w:r>
            <w:rPr>
              <w:color w:val="auto"/>
            </w:rPr>
            <w:fldChar w:fldCharType="separate"/>
          </w:r>
          <w:r>
            <w:rPr>
              <w:rFonts w:hint="eastAsia"/>
              <w:color w:val="auto"/>
            </w:rPr>
            <w:t>附录三：重要史迹现状综合评估标准</w:t>
          </w:r>
          <w:r>
            <w:rPr>
              <w:color w:val="auto"/>
            </w:rPr>
            <w:tab/>
          </w:r>
          <w:r>
            <w:rPr>
              <w:color w:val="auto"/>
            </w:rPr>
            <w:fldChar w:fldCharType="begin"/>
          </w:r>
          <w:r>
            <w:rPr>
              <w:color w:val="auto"/>
            </w:rPr>
            <w:instrText xml:space="preserve"> PAGEREF _Toc363 \h </w:instrText>
          </w:r>
          <w:r>
            <w:rPr>
              <w:color w:val="auto"/>
            </w:rPr>
            <w:fldChar w:fldCharType="separate"/>
          </w:r>
          <w:r>
            <w:rPr>
              <w:color w:val="auto"/>
            </w:rPr>
            <w:t>49</w:t>
          </w:r>
          <w:r>
            <w:rPr>
              <w:color w:val="auto"/>
            </w:rPr>
            <w:fldChar w:fldCharType="end"/>
          </w:r>
          <w:r>
            <w:rPr>
              <w:color w:val="auto"/>
            </w:rPr>
            <w:fldChar w:fldCharType="end"/>
          </w:r>
        </w:p>
        <w:p>
          <w:pPr>
            <w:pStyle w:val="13"/>
            <w:tabs>
              <w:tab w:val="right" w:leader="dot" w:pos="9940"/>
              <w:tab w:val="clear" w:pos="10243"/>
            </w:tabs>
            <w:rPr>
              <w:color w:val="auto"/>
            </w:rPr>
          </w:pPr>
          <w:r>
            <w:rPr>
              <w:color w:val="auto"/>
            </w:rPr>
            <w:fldChar w:fldCharType="begin"/>
          </w:r>
          <w:r>
            <w:rPr>
              <w:color w:val="auto"/>
            </w:rPr>
            <w:instrText xml:space="preserve"> HYPERLINK \l _Toc28638 </w:instrText>
          </w:r>
          <w:r>
            <w:rPr>
              <w:color w:val="auto"/>
            </w:rPr>
            <w:fldChar w:fldCharType="separate"/>
          </w:r>
          <w:r>
            <w:rPr>
              <w:rFonts w:hint="eastAsia"/>
              <w:color w:val="auto"/>
            </w:rPr>
            <w:t>附录四：重要史迹综合评分表</w:t>
          </w:r>
          <w:r>
            <w:rPr>
              <w:color w:val="auto"/>
            </w:rPr>
            <w:tab/>
          </w:r>
          <w:r>
            <w:rPr>
              <w:color w:val="auto"/>
            </w:rPr>
            <w:fldChar w:fldCharType="begin"/>
          </w:r>
          <w:r>
            <w:rPr>
              <w:color w:val="auto"/>
            </w:rPr>
            <w:instrText xml:space="preserve"> PAGEREF _Toc28638 \h </w:instrText>
          </w:r>
          <w:r>
            <w:rPr>
              <w:color w:val="auto"/>
            </w:rPr>
            <w:fldChar w:fldCharType="separate"/>
          </w:r>
          <w:r>
            <w:rPr>
              <w:color w:val="auto"/>
            </w:rPr>
            <w:t>50</w:t>
          </w:r>
          <w:r>
            <w:rPr>
              <w:color w:val="auto"/>
            </w:rPr>
            <w:fldChar w:fldCharType="end"/>
          </w:r>
          <w:r>
            <w:rPr>
              <w:color w:val="auto"/>
            </w:rPr>
            <w:fldChar w:fldCharType="end"/>
          </w:r>
        </w:p>
        <w:p>
          <w:pPr>
            <w:pStyle w:val="13"/>
            <w:tabs>
              <w:tab w:val="right" w:leader="dot" w:pos="9940"/>
              <w:tab w:val="clear" w:pos="10243"/>
            </w:tabs>
            <w:rPr>
              <w:color w:val="auto"/>
            </w:rPr>
          </w:pPr>
          <w:r>
            <w:rPr>
              <w:color w:val="auto"/>
            </w:rPr>
            <w:fldChar w:fldCharType="begin"/>
          </w:r>
          <w:r>
            <w:rPr>
              <w:color w:val="auto"/>
            </w:rPr>
            <w:instrText xml:space="preserve"> HYPERLINK \l _Toc17298 </w:instrText>
          </w:r>
          <w:r>
            <w:rPr>
              <w:color w:val="auto"/>
            </w:rPr>
            <w:fldChar w:fldCharType="separate"/>
          </w:r>
          <w:r>
            <w:rPr>
              <w:rFonts w:hint="eastAsia"/>
              <w:color w:val="auto"/>
            </w:rPr>
            <w:t>附录五：史迹保存现状评估及建议措施</w:t>
          </w:r>
          <w:r>
            <w:rPr>
              <w:color w:val="auto"/>
            </w:rPr>
            <w:tab/>
          </w:r>
          <w:r>
            <w:rPr>
              <w:color w:val="auto"/>
            </w:rPr>
            <w:fldChar w:fldCharType="begin"/>
          </w:r>
          <w:r>
            <w:rPr>
              <w:color w:val="auto"/>
            </w:rPr>
            <w:instrText xml:space="preserve"> PAGEREF _Toc17298 \h </w:instrText>
          </w:r>
          <w:r>
            <w:rPr>
              <w:color w:val="auto"/>
            </w:rPr>
            <w:fldChar w:fldCharType="separate"/>
          </w:r>
          <w:r>
            <w:rPr>
              <w:color w:val="auto"/>
            </w:rPr>
            <w:t>52</w:t>
          </w:r>
          <w:r>
            <w:rPr>
              <w:color w:val="auto"/>
            </w:rPr>
            <w:fldChar w:fldCharType="end"/>
          </w:r>
          <w:r>
            <w:rPr>
              <w:color w:val="auto"/>
            </w:rPr>
            <w:fldChar w:fldCharType="end"/>
          </w:r>
        </w:p>
        <w:p>
          <w:pPr>
            <w:pStyle w:val="13"/>
            <w:tabs>
              <w:tab w:val="right" w:leader="dot" w:pos="9940"/>
              <w:tab w:val="clear" w:pos="10243"/>
            </w:tabs>
            <w:rPr>
              <w:color w:val="auto"/>
            </w:rPr>
          </w:pPr>
          <w:r>
            <w:rPr>
              <w:color w:val="auto"/>
            </w:rPr>
            <w:fldChar w:fldCharType="begin"/>
          </w:r>
          <w:r>
            <w:rPr>
              <w:color w:val="auto"/>
            </w:rPr>
            <w:instrText xml:space="preserve"> HYPERLINK \l _Toc4994 </w:instrText>
          </w:r>
          <w:r>
            <w:rPr>
              <w:color w:val="auto"/>
            </w:rPr>
            <w:fldChar w:fldCharType="separate"/>
          </w:r>
          <w:r>
            <w:rPr>
              <w:rFonts w:hint="eastAsia"/>
              <w:color w:val="auto"/>
            </w:rPr>
            <w:t>附录六：规划重点实施项目表</w:t>
          </w:r>
          <w:r>
            <w:rPr>
              <w:color w:val="auto"/>
            </w:rPr>
            <w:tab/>
          </w:r>
          <w:r>
            <w:rPr>
              <w:color w:val="auto"/>
            </w:rPr>
            <w:fldChar w:fldCharType="begin"/>
          </w:r>
          <w:r>
            <w:rPr>
              <w:color w:val="auto"/>
            </w:rPr>
            <w:instrText xml:space="preserve"> PAGEREF _Toc4994 \h </w:instrText>
          </w:r>
          <w:r>
            <w:rPr>
              <w:color w:val="auto"/>
            </w:rPr>
            <w:fldChar w:fldCharType="separate"/>
          </w:r>
          <w:r>
            <w:rPr>
              <w:color w:val="auto"/>
            </w:rPr>
            <w:t>56</w:t>
          </w:r>
          <w:r>
            <w:rPr>
              <w:color w:val="auto"/>
            </w:rPr>
            <w:fldChar w:fldCharType="end"/>
          </w:r>
          <w:r>
            <w:rPr>
              <w:color w:val="auto"/>
            </w:rPr>
            <w:fldChar w:fldCharType="end"/>
          </w:r>
        </w:p>
        <w:p>
          <w:pPr>
            <w:pStyle w:val="13"/>
            <w:tabs>
              <w:tab w:val="right" w:leader="dot" w:pos="9940"/>
              <w:tab w:val="clear" w:pos="10243"/>
            </w:tabs>
            <w:rPr>
              <w:color w:val="auto"/>
            </w:rPr>
          </w:pPr>
          <w:r>
            <w:rPr>
              <w:color w:val="auto"/>
            </w:rPr>
            <w:fldChar w:fldCharType="begin"/>
          </w:r>
          <w:r>
            <w:rPr>
              <w:color w:val="auto"/>
            </w:rPr>
            <w:instrText xml:space="preserve"> HYPERLINK \l _Toc2560 </w:instrText>
          </w:r>
          <w:r>
            <w:rPr>
              <w:color w:val="auto"/>
            </w:rPr>
            <w:fldChar w:fldCharType="separate"/>
          </w:r>
          <w:r>
            <w:rPr>
              <w:rFonts w:hint="eastAsia"/>
              <w:color w:val="auto"/>
            </w:rPr>
            <w:t>附录七：历次意见及采纳情况</w:t>
          </w:r>
          <w:r>
            <w:rPr>
              <w:color w:val="auto"/>
            </w:rPr>
            <w:tab/>
          </w:r>
          <w:r>
            <w:rPr>
              <w:color w:val="auto"/>
            </w:rPr>
            <w:fldChar w:fldCharType="begin"/>
          </w:r>
          <w:r>
            <w:rPr>
              <w:color w:val="auto"/>
            </w:rPr>
            <w:instrText xml:space="preserve"> PAGEREF _Toc2560 \h </w:instrText>
          </w:r>
          <w:r>
            <w:rPr>
              <w:color w:val="auto"/>
            </w:rPr>
            <w:fldChar w:fldCharType="separate"/>
          </w:r>
          <w:r>
            <w:rPr>
              <w:color w:val="auto"/>
            </w:rPr>
            <w:t>58</w:t>
          </w:r>
          <w:r>
            <w:rPr>
              <w:color w:val="auto"/>
            </w:rPr>
            <w:fldChar w:fldCharType="end"/>
          </w:r>
          <w:r>
            <w:rPr>
              <w:color w:val="auto"/>
            </w:rPr>
            <w:fldChar w:fldCharType="end"/>
          </w:r>
        </w:p>
        <w:p>
          <w:pPr>
            <w:rPr>
              <w:color w:val="auto"/>
            </w:rPr>
          </w:pPr>
          <w:r>
            <w:rPr>
              <w:color w:val="auto"/>
            </w:rPr>
            <w:fldChar w:fldCharType="end"/>
          </w:r>
        </w:p>
      </w:sdtContent>
    </w:sdt>
    <w:p>
      <w:pPr>
        <w:spacing w:line="360" w:lineRule="auto"/>
        <w:ind w:firstLine="720" w:firstLineChars="300"/>
        <w:rPr>
          <w:color w:val="auto"/>
          <w:sz w:val="24"/>
          <w:szCs w:val="24"/>
        </w:rPr>
        <w:sectPr>
          <w:headerReference r:id="rId5" w:type="default"/>
          <w:footerReference r:id="rId6" w:type="default"/>
          <w:pgSz w:w="23811" w:h="16838" w:orient="landscape"/>
          <w:pgMar w:top="1800" w:right="1440" w:bottom="1800" w:left="1440" w:header="964" w:footer="992" w:gutter="0"/>
          <w:pgNumType w:fmt="lowerRoman" w:start="1"/>
          <w:cols w:space="1051" w:num="2"/>
          <w:docGrid w:type="lines" w:linePitch="312" w:charSpace="0"/>
        </w:sectPr>
      </w:pPr>
    </w:p>
    <w:p>
      <w:pPr>
        <w:pStyle w:val="2"/>
        <w:rPr>
          <w:color w:val="auto"/>
        </w:rPr>
      </w:pPr>
      <w:bookmarkStart w:id="0" w:name="_Toc11998"/>
      <w:bookmarkStart w:id="1" w:name="_Toc1806761609"/>
      <w:bookmarkStart w:id="2" w:name="_Toc2392"/>
      <w:bookmarkStart w:id="3" w:name="_Toc1901"/>
      <w:bookmarkStart w:id="4" w:name="_Toc16882"/>
      <w:bookmarkStart w:id="5" w:name="_Toc114072176"/>
      <w:bookmarkStart w:id="6" w:name="_Toc17479"/>
      <w:bookmarkStart w:id="7" w:name="_Toc28155"/>
      <w:r>
        <w:rPr>
          <w:rFonts w:hint="eastAsia"/>
          <w:color w:val="auto"/>
        </w:rPr>
        <w:t>第一章</w:t>
      </w:r>
      <w:r>
        <w:rPr>
          <w:color w:val="auto"/>
        </w:rPr>
        <w:t xml:space="preserve"> 总则</w:t>
      </w:r>
      <w:bookmarkEnd w:id="0"/>
      <w:bookmarkEnd w:id="1"/>
      <w:bookmarkEnd w:id="2"/>
      <w:bookmarkEnd w:id="3"/>
      <w:bookmarkEnd w:id="4"/>
      <w:bookmarkEnd w:id="5"/>
      <w:bookmarkEnd w:id="6"/>
      <w:bookmarkEnd w:id="7"/>
    </w:p>
    <w:p>
      <w:pPr>
        <w:pStyle w:val="3"/>
        <w:rPr>
          <w:color w:val="auto"/>
        </w:rPr>
      </w:pPr>
      <w:bookmarkStart w:id="8" w:name="_Toc823593883"/>
      <w:bookmarkStart w:id="9" w:name="_Toc20355"/>
      <w:bookmarkStart w:id="10" w:name="_Toc28178"/>
      <w:bookmarkStart w:id="11" w:name="_Toc21733"/>
      <w:bookmarkStart w:id="12" w:name="_Toc29460"/>
      <w:bookmarkStart w:id="13" w:name="_Toc114072177"/>
      <w:bookmarkStart w:id="14" w:name="_Toc24968"/>
      <w:bookmarkStart w:id="15" w:name="_Toc31186"/>
      <w:r>
        <w:rPr>
          <w:rFonts w:hint="eastAsia"/>
          <w:color w:val="auto"/>
        </w:rPr>
        <w:t>1</w:t>
      </w:r>
      <w:r>
        <w:rPr>
          <w:color w:val="auto"/>
        </w:rPr>
        <w:t>.1</w:t>
      </w:r>
      <w:r>
        <w:rPr>
          <w:rFonts w:hint="eastAsia"/>
          <w:color w:val="auto"/>
        </w:rPr>
        <w:t>编制背景</w:t>
      </w:r>
      <w:bookmarkEnd w:id="8"/>
      <w:bookmarkEnd w:id="9"/>
      <w:bookmarkEnd w:id="10"/>
      <w:bookmarkEnd w:id="11"/>
      <w:bookmarkEnd w:id="12"/>
      <w:bookmarkEnd w:id="13"/>
      <w:bookmarkEnd w:id="14"/>
      <w:bookmarkEnd w:id="15"/>
    </w:p>
    <w:p>
      <w:pPr>
        <w:pStyle w:val="8"/>
        <w:ind w:firstLine="482"/>
        <w:rPr>
          <w:b/>
          <w:color w:val="auto"/>
        </w:rPr>
      </w:pPr>
      <w:r>
        <w:rPr>
          <w:rFonts w:hint="eastAsia"/>
          <w:b/>
          <w:color w:val="auto"/>
        </w:rPr>
        <w:t>（</w:t>
      </w:r>
      <w:r>
        <w:rPr>
          <w:b/>
          <w:color w:val="auto"/>
        </w:rPr>
        <w:t>1</w:t>
      </w:r>
      <w:r>
        <w:rPr>
          <w:rFonts w:hint="eastAsia"/>
          <w:b/>
          <w:color w:val="auto"/>
        </w:rPr>
        <w:t>）</w:t>
      </w:r>
      <w:r>
        <w:rPr>
          <w:b/>
          <w:color w:val="auto"/>
        </w:rPr>
        <w:tab/>
      </w:r>
      <w:r>
        <w:rPr>
          <w:rFonts w:hint="eastAsia"/>
          <w:b/>
          <w:color w:val="auto"/>
        </w:rPr>
        <w:t>彰显</w:t>
      </w:r>
      <w:r>
        <w:rPr>
          <w:b/>
          <w:color w:val="auto"/>
        </w:rPr>
        <w:t>深圳改革开放</w:t>
      </w:r>
      <w:r>
        <w:rPr>
          <w:rFonts w:hint="eastAsia"/>
          <w:b/>
          <w:color w:val="auto"/>
        </w:rPr>
        <w:t>伟大奇迹，传承弘扬特区精神</w:t>
      </w:r>
    </w:p>
    <w:p>
      <w:pPr>
        <w:pStyle w:val="8"/>
        <w:rPr>
          <w:color w:val="auto"/>
        </w:rPr>
      </w:pPr>
      <w:r>
        <w:rPr>
          <w:rFonts w:hint="eastAsia"/>
          <w:color w:val="auto"/>
        </w:rPr>
        <w:t>习近平总书记于2</w:t>
      </w:r>
      <w:r>
        <w:rPr>
          <w:color w:val="auto"/>
        </w:rPr>
        <w:t>020</w:t>
      </w:r>
      <w:r>
        <w:rPr>
          <w:rFonts w:hint="eastAsia"/>
          <w:color w:val="auto"/>
        </w:rPr>
        <w:t>年1</w:t>
      </w:r>
      <w:r>
        <w:rPr>
          <w:color w:val="auto"/>
        </w:rPr>
        <w:t>0</w:t>
      </w:r>
      <w:r>
        <w:rPr>
          <w:rFonts w:hint="eastAsia"/>
          <w:color w:val="auto"/>
        </w:rPr>
        <w:t>月1</w:t>
      </w:r>
      <w:r>
        <w:rPr>
          <w:color w:val="auto"/>
        </w:rPr>
        <w:t>4</w:t>
      </w:r>
      <w:r>
        <w:rPr>
          <w:rFonts w:hint="eastAsia"/>
          <w:color w:val="auto"/>
        </w:rPr>
        <w:t>日在深圳经济特区建立</w:t>
      </w:r>
      <w:r>
        <w:rPr>
          <w:color w:val="auto"/>
        </w:rPr>
        <w:t>40周年庆祝大会</w:t>
      </w:r>
      <w:r>
        <w:rPr>
          <w:rFonts w:hint="eastAsia"/>
          <w:color w:val="auto"/>
        </w:rPr>
        <w:t>发表的重要讲话中指出，兴办经济特区，是党和国家为推进改革开放和社会主义现代化建设进行的伟大创举。</w:t>
      </w:r>
      <w:r>
        <w:rPr>
          <w:rFonts w:hint="eastAsia"/>
          <w:color w:val="auto"/>
          <w:lang w:val="en-US" w:eastAsia="zh-CN"/>
        </w:rPr>
        <w:t>党的</w:t>
      </w:r>
      <w:r>
        <w:rPr>
          <w:color w:val="auto"/>
        </w:rPr>
        <w:t>二十大报告提出：坚持深化改革开放。深入推进改革创新，坚定不移扩大开放，着力破解深层次体制机制障碍，不断彰显中国特色社会主义制度优势，不断增强社会主义现代化建设的动力和活力，把我国制度优势更好转化为国家治理效能。</w:t>
      </w:r>
    </w:p>
    <w:p>
      <w:pPr>
        <w:pStyle w:val="8"/>
        <w:rPr>
          <w:color w:val="auto"/>
        </w:rPr>
      </w:pPr>
      <w:r>
        <w:rPr>
          <w:rFonts w:hint="eastAsia"/>
          <w:color w:val="auto"/>
        </w:rPr>
        <w:t>从1</w:t>
      </w:r>
      <w:r>
        <w:rPr>
          <w:color w:val="auto"/>
        </w:rPr>
        <w:t>980</w:t>
      </w:r>
      <w:r>
        <w:rPr>
          <w:rFonts w:hint="eastAsia"/>
          <w:color w:val="auto"/>
        </w:rPr>
        <w:t>年国家批准设置经济特区以来，深圳用4</w:t>
      </w:r>
      <w:r>
        <w:rPr>
          <w:color w:val="auto"/>
        </w:rPr>
        <w:t>0</w:t>
      </w:r>
      <w:r>
        <w:rPr>
          <w:rFonts w:hint="eastAsia"/>
          <w:color w:val="auto"/>
        </w:rPr>
        <w:t>年的时间，“</w:t>
      </w:r>
      <w:r>
        <w:rPr>
          <w:color w:val="auto"/>
        </w:rPr>
        <w:t>走过了国外一些国际化大都市上百年走完的历程</w:t>
      </w:r>
      <w:r>
        <w:rPr>
          <w:rFonts w:hint="eastAsia"/>
          <w:color w:val="auto"/>
        </w:rPr>
        <w:t>”，“实现了由一座落后的边陲小镇到具有全球影响力的国际化大都市的历史性跨越”，“实现了由经济体制改革到全面深化改革的历史性跨越”，“实现了由经济开发到统筹社会主义物质文明、政治文明、精神文明、社会文明、生态文明发展的历史性跨越”，“实现了由解决温饱到高质量全面小康的历史性跨越”，“向世界展示了我国改革开放的磅礴伟力，展示了中国特色社会主义的光明前景”。</w:t>
      </w:r>
    </w:p>
    <w:p>
      <w:pPr>
        <w:pStyle w:val="8"/>
        <w:rPr>
          <w:color w:val="auto"/>
        </w:rPr>
      </w:pPr>
      <w:r>
        <w:rPr>
          <w:rFonts w:hint="eastAsia"/>
          <w:color w:val="auto"/>
        </w:rPr>
        <w:t>在这</w:t>
      </w:r>
      <w:r>
        <w:rPr>
          <w:color w:val="auto"/>
        </w:rPr>
        <w:t>40</w:t>
      </w:r>
      <w:r>
        <w:rPr>
          <w:rFonts w:hint="eastAsia"/>
          <w:color w:val="auto"/>
        </w:rPr>
        <w:t>多</w:t>
      </w:r>
      <w:r>
        <w:rPr>
          <w:color w:val="auto"/>
        </w:rPr>
        <w:t>年</w:t>
      </w:r>
      <w:r>
        <w:rPr>
          <w:rFonts w:hint="eastAsia"/>
          <w:color w:val="auto"/>
        </w:rPr>
        <w:t>的</w:t>
      </w:r>
      <w:r>
        <w:rPr>
          <w:color w:val="auto"/>
        </w:rPr>
        <w:t>改革开放过程中，标志性建筑以及代表性重要史迹，它们是</w:t>
      </w:r>
      <w:r>
        <w:rPr>
          <w:rFonts w:hint="eastAsia"/>
          <w:color w:val="auto"/>
        </w:rPr>
        <w:t>见证</w:t>
      </w:r>
      <w:r>
        <w:rPr>
          <w:color w:val="auto"/>
        </w:rPr>
        <w:t>深圳改革开放的重要史迹及历史印记，</w:t>
      </w:r>
      <w:r>
        <w:rPr>
          <w:rFonts w:hint="eastAsia"/>
          <w:color w:val="auto"/>
        </w:rPr>
        <w:t>也是国家经济特区4</w:t>
      </w:r>
      <w:r>
        <w:rPr>
          <w:color w:val="auto"/>
        </w:rPr>
        <w:t>0</w:t>
      </w:r>
      <w:r>
        <w:rPr>
          <w:rFonts w:hint="eastAsia"/>
          <w:color w:val="auto"/>
        </w:rPr>
        <w:t>多年成功实践的缩影</w:t>
      </w:r>
      <w:r>
        <w:rPr>
          <w:color w:val="auto"/>
        </w:rPr>
        <w:t>。</w:t>
      </w:r>
      <w:r>
        <w:rPr>
          <w:rFonts w:hint="eastAsia"/>
          <w:color w:val="auto"/>
        </w:rPr>
        <w:t>通过本规划的编制，全面</w:t>
      </w:r>
      <w:r>
        <w:rPr>
          <w:color w:val="auto"/>
        </w:rPr>
        <w:t>调查了解这些重要史迹，深入分析、评估其价值</w:t>
      </w:r>
      <w:r>
        <w:rPr>
          <w:rFonts w:hint="eastAsia"/>
          <w:color w:val="auto"/>
        </w:rPr>
        <w:t>内涵</w:t>
      </w:r>
      <w:r>
        <w:rPr>
          <w:color w:val="auto"/>
        </w:rPr>
        <w:t>，</w:t>
      </w:r>
      <w:r>
        <w:rPr>
          <w:rFonts w:hint="eastAsia"/>
          <w:color w:val="auto"/>
        </w:rPr>
        <w:t>提出切实可行的保护和展示利用措施，不仅可以全面推进和指导深圳改革开放重要史迹的保护利用工作，而且能够积极彰显深圳改革开放伟大成就，传承弘扬民族精神、时代精神、改革开放精神和特区精神，</w:t>
      </w:r>
      <w:r>
        <w:rPr>
          <w:color w:val="auto"/>
        </w:rPr>
        <w:t>增强人民</w:t>
      </w:r>
      <w:r>
        <w:rPr>
          <w:rFonts w:hint="eastAsia"/>
          <w:color w:val="auto"/>
        </w:rPr>
        <w:t>群众</w:t>
      </w:r>
      <w:r>
        <w:rPr>
          <w:color w:val="auto"/>
        </w:rPr>
        <w:t>的文化认同感与</w:t>
      </w:r>
      <w:r>
        <w:rPr>
          <w:rFonts w:hint="eastAsia"/>
          <w:color w:val="auto"/>
        </w:rPr>
        <w:t>社会凝聚力</w:t>
      </w:r>
    </w:p>
    <w:p>
      <w:pPr>
        <w:pStyle w:val="8"/>
        <w:ind w:firstLine="482"/>
        <w:rPr>
          <w:b/>
          <w:color w:val="auto"/>
        </w:rPr>
      </w:pPr>
      <w:r>
        <w:rPr>
          <w:rFonts w:hint="eastAsia"/>
          <w:b/>
          <w:color w:val="auto"/>
        </w:rPr>
        <w:t>（2）</w:t>
      </w:r>
      <w:r>
        <w:rPr>
          <w:b/>
          <w:color w:val="auto"/>
        </w:rPr>
        <w:tab/>
      </w:r>
      <w:r>
        <w:rPr>
          <w:rFonts w:hint="eastAsia"/>
          <w:b/>
          <w:color w:val="auto"/>
        </w:rPr>
        <w:t>融入新时代</w:t>
      </w:r>
      <w:r>
        <w:rPr>
          <w:b/>
          <w:color w:val="auto"/>
        </w:rPr>
        <w:t>深圳</w:t>
      </w:r>
      <w:r>
        <w:rPr>
          <w:rFonts w:hint="eastAsia"/>
          <w:b/>
          <w:color w:val="auto"/>
        </w:rPr>
        <w:t>经济特区改革发展新征程</w:t>
      </w:r>
    </w:p>
    <w:p>
      <w:pPr>
        <w:pStyle w:val="8"/>
        <w:rPr>
          <w:color w:val="auto"/>
        </w:rPr>
      </w:pPr>
      <w:r>
        <w:rPr>
          <w:color w:val="auto"/>
        </w:rPr>
        <w:t>2015年“湾区”的概念首次上升至国家层面，被纳入《推动共建丝绸之路经济带和21世纪海上丝绸之路的愿景与行动》。2017年7月由国家发改委、广东省政府、港澳特区政府共同签署的《深化粤港澳合作 推进大湾区建设框架协议》，标志着大湾区正式成为国家主力推动建设的空间区域，被定位为中国未来全球化发展战略的区域发展引擎。2017年大湾区框架协议出台，分别确立了国家发改委、广东省、香港和澳门的分工协作。2019年8月，党中央出台了支持深圳建设中国特色社会主义先行示范区的意见，全面部署了有关工作。深圳要建设好中国特色社会主义先行示范区，创建社会主义现代化强国的城市范例，提高贯彻落实新发展理念能力和水平，形成全面深化改革、全面扩大开放新格局，推进粤港澳大湾区建设，丰富“一国两制”事业发展新实践，率先实现社会主义现代化。这是新时代党中央赋予深圳的历史使命。</w:t>
      </w:r>
      <w:r>
        <w:rPr>
          <w:rFonts w:hint="eastAsia"/>
          <w:color w:val="auto"/>
        </w:rPr>
        <w:t>党中央经过深入研究，决定以经济特区建立</w:t>
      </w:r>
      <w:r>
        <w:rPr>
          <w:color w:val="auto"/>
        </w:rPr>
        <w:t>40周年为契机，支持深圳实施综合改革试点，以清单批量授权方式赋予深圳在重要领域和关键环节改革上更多自主权，一揽子推出27条改革举措和40条首批授权事项。深圳经济特区要扛起责任，牢牢把握正确方向，解放思想、守正创新，努力在重要领域推出一批重大改革措施，形成一批可复制可推广的重大制度创新成果。</w:t>
      </w:r>
      <w:r>
        <w:rPr>
          <w:rFonts w:hint="eastAsia"/>
          <w:color w:val="auto"/>
        </w:rPr>
        <w:t>本规划以深圳最具代表性的改革开放的史迹点为基础，全面发扬深圳改革开放的“特区精神”，传承城市文脉，塑造城市特色。</w:t>
      </w:r>
    </w:p>
    <w:p>
      <w:pPr>
        <w:pStyle w:val="8"/>
        <w:ind w:firstLine="482"/>
        <w:rPr>
          <w:b/>
          <w:color w:val="auto"/>
        </w:rPr>
      </w:pPr>
      <w:r>
        <w:rPr>
          <w:rFonts w:hint="eastAsia"/>
          <w:b/>
          <w:color w:val="auto"/>
        </w:rPr>
        <w:t>（</w:t>
      </w:r>
      <w:r>
        <w:rPr>
          <w:b/>
          <w:color w:val="auto"/>
        </w:rPr>
        <w:t>3</w:t>
      </w:r>
      <w:r>
        <w:rPr>
          <w:rFonts w:hint="eastAsia"/>
          <w:b/>
          <w:color w:val="auto"/>
        </w:rPr>
        <w:t>）构建以改革开放为主题的历史文化保护传承体系</w:t>
      </w:r>
    </w:p>
    <w:p>
      <w:pPr>
        <w:pStyle w:val="8"/>
        <w:rPr>
          <w:color w:val="auto"/>
        </w:rPr>
      </w:pPr>
      <w:r>
        <w:rPr>
          <w:rFonts w:hint="eastAsia"/>
          <w:color w:val="auto"/>
        </w:rPr>
        <w:t>2</w:t>
      </w:r>
      <w:r>
        <w:rPr>
          <w:color w:val="auto"/>
        </w:rPr>
        <w:t>021</w:t>
      </w:r>
      <w:r>
        <w:rPr>
          <w:rFonts w:hint="eastAsia"/>
          <w:color w:val="auto"/>
        </w:rPr>
        <w:t>年，中共中央办公厅、国务院办公厅日前印发《关于在城乡建设中加强历史文化保护传承的意见》</w:t>
      </w:r>
      <w:r>
        <w:rPr>
          <w:color w:val="auto"/>
        </w:rPr>
        <w:t>(下称《意见》)。</w:t>
      </w:r>
      <w:r>
        <w:rPr>
          <w:rFonts w:hint="eastAsia"/>
          <w:color w:val="auto"/>
        </w:rPr>
        <w:t>《意见》提出，不仅要保护好中国古代的遗产，还要保护好近现代和当代重要的建设成果，强调要通过系统保护各个时期的历史文化遗产，全方位展现古代文明五千年、近现代历史</w:t>
      </w:r>
      <w:r>
        <w:rPr>
          <w:color w:val="auto"/>
        </w:rPr>
        <w:t>180</w:t>
      </w:r>
      <w:r>
        <w:rPr>
          <w:rFonts w:hint="eastAsia"/>
          <w:color w:val="auto"/>
        </w:rPr>
        <w:t>年、中国共产党建党</w:t>
      </w:r>
      <w:r>
        <w:rPr>
          <w:color w:val="auto"/>
        </w:rPr>
        <w:t>100</w:t>
      </w:r>
      <w:r>
        <w:rPr>
          <w:rFonts w:hint="eastAsia"/>
          <w:color w:val="auto"/>
        </w:rPr>
        <w:t>周年、新中国成立</w:t>
      </w:r>
      <w:r>
        <w:rPr>
          <w:color w:val="auto"/>
        </w:rPr>
        <w:t>70</w:t>
      </w:r>
      <w:r>
        <w:rPr>
          <w:rFonts w:hint="eastAsia"/>
          <w:color w:val="auto"/>
        </w:rPr>
        <w:t>年、改革开放</w:t>
      </w:r>
      <w:r>
        <w:rPr>
          <w:color w:val="auto"/>
        </w:rPr>
        <w:t>40</w:t>
      </w:r>
      <w:r>
        <w:rPr>
          <w:rFonts w:hint="eastAsia"/>
          <w:color w:val="auto"/>
        </w:rPr>
        <w:t>年的光辉历程，从而生动、立体地讲好中国故事。</w:t>
      </w:r>
    </w:p>
    <w:p>
      <w:pPr>
        <w:pStyle w:val="8"/>
        <w:rPr>
          <w:color w:val="auto"/>
        </w:rPr>
      </w:pPr>
      <w:r>
        <w:rPr>
          <w:rFonts w:hint="eastAsia"/>
          <w:color w:val="auto"/>
        </w:rPr>
        <w:t>习近平总书记在党的二十大报告中指出：“我们必须坚定历史自信、文化自信，坚持古为今用、推陈出新，把马克思主义思想精髓同中华优秀传统文化精华贯通起来、同人民群众日用而不觉的共同价值观念融通起来”、 “广泛践行社会主义核心价值观</w:t>
      </w:r>
      <w:r>
        <w:rPr>
          <w:color w:val="auto"/>
        </w:rPr>
        <w:t>.......持续抓好党史、新中国史、改革开放史、社会主义发展史宣传教育，引导人民知史爱党、知史爱国，不断坚定中国特色社会主义共同理想....... 把社会主义核心价值观融入法治建设、融入社会发展、融入日常生活”</w:t>
      </w:r>
      <w:r>
        <w:rPr>
          <w:rFonts w:hint="eastAsia"/>
          <w:color w:val="auto"/>
        </w:rPr>
        <w:t>、 “加大文物和文化遗产保护力度，加强城乡建设中历史文化保护传承，建好用好国家文化公园”</w:t>
      </w:r>
      <w:r>
        <w:rPr>
          <w:color w:val="auto"/>
        </w:rPr>
        <w:t xml:space="preserve"> </w:t>
      </w:r>
      <w:r>
        <w:rPr>
          <w:rFonts w:hint="eastAsia"/>
          <w:color w:val="auto"/>
        </w:rPr>
        <w:t>。</w:t>
      </w:r>
      <w:r>
        <w:rPr>
          <w:color w:val="auto"/>
        </w:rPr>
        <w:t xml:space="preserve">  </w:t>
      </w:r>
    </w:p>
    <w:p>
      <w:pPr>
        <w:pStyle w:val="8"/>
        <w:rPr>
          <w:color w:val="auto"/>
        </w:rPr>
      </w:pPr>
      <w:r>
        <w:rPr>
          <w:color w:val="auto"/>
        </w:rPr>
        <w:t xml:space="preserve"> </w:t>
      </w:r>
      <w:r>
        <w:rPr>
          <w:rFonts w:hint="eastAsia"/>
          <w:color w:val="auto"/>
        </w:rPr>
        <w:t>“深圳是改革开放后党和人民一手缔造的崭新城市，是中国特色社会主义在一张白纸上的精彩演绎。”深圳经济特区亟需构建以改革开放为主题的的历史文化保护传承体系，展现这四十多年的发展历程，中国共产党百年奋斗的伟大征程，中国改革开放的壮阔历程，新时代奋斗的征程。深圳作为中国最早的经济特区之一，拥有大量改革开放史迹，它们是深圳改革开放精神的重要载体和历史记忆。梳理、挖掘改革开放重要史迹，能更好的继承和发扬特区精神，打造全国改革开放史迹的保护典范。本规划整理深圳现有的改革开放重要史迹点，对其进行基础资料分析整理，并在此基础上进行保护利用规划制定，并为后续构建以改革开放为主题的历史文化保护传承体系做好前期准备工作。</w:t>
      </w:r>
    </w:p>
    <w:p>
      <w:pPr>
        <w:pStyle w:val="3"/>
        <w:rPr>
          <w:color w:val="auto"/>
        </w:rPr>
      </w:pPr>
      <w:bookmarkStart w:id="16" w:name="_Toc14791"/>
      <w:bookmarkStart w:id="17" w:name="_Toc13055"/>
      <w:bookmarkStart w:id="18" w:name="_Toc6573"/>
      <w:bookmarkStart w:id="19" w:name="_Toc1610286666"/>
      <w:bookmarkStart w:id="20" w:name="_Toc8190"/>
      <w:bookmarkStart w:id="21" w:name="_Toc19622"/>
      <w:bookmarkStart w:id="22" w:name="_Toc23138"/>
      <w:bookmarkStart w:id="23" w:name="_Toc114072178"/>
      <w:r>
        <w:rPr>
          <w:color w:val="auto"/>
        </w:rPr>
        <w:t>1.2编制</w:t>
      </w:r>
      <w:r>
        <w:rPr>
          <w:rFonts w:hint="eastAsia"/>
          <w:color w:val="auto"/>
        </w:rPr>
        <w:t>目的</w:t>
      </w:r>
      <w:bookmarkEnd w:id="16"/>
      <w:bookmarkEnd w:id="17"/>
      <w:bookmarkEnd w:id="18"/>
      <w:bookmarkEnd w:id="19"/>
      <w:bookmarkEnd w:id="20"/>
      <w:bookmarkEnd w:id="21"/>
      <w:bookmarkEnd w:id="22"/>
      <w:bookmarkEnd w:id="23"/>
    </w:p>
    <w:p>
      <w:pPr>
        <w:pStyle w:val="8"/>
        <w:rPr>
          <w:color w:val="auto"/>
        </w:rPr>
      </w:pPr>
      <w:r>
        <w:rPr>
          <w:rFonts w:hint="eastAsia"/>
          <w:color w:val="auto"/>
        </w:rPr>
        <w:t>为深入贯彻落实习近平总书记在深圳经济特区建立4</w:t>
      </w:r>
      <w:r>
        <w:rPr>
          <w:color w:val="auto"/>
        </w:rPr>
        <w:t>0</w:t>
      </w:r>
      <w:r>
        <w:rPr>
          <w:rFonts w:hint="eastAsia"/>
          <w:color w:val="auto"/>
        </w:rPr>
        <w:t>周年庆祝大会上的重要讲话精神和党的十八大以来关于城市历史文化保护的系列重要指示，全面发扬深圳改革开放的“特区精神”，传承城市文脉，塑造城市特色，助力建设新时代</w:t>
      </w:r>
      <w:r>
        <w:rPr>
          <w:rFonts w:hint="eastAsia"/>
          <w:color w:val="auto"/>
          <w:shd w:val="clear" w:color="auto" w:fill="FFFFFF"/>
        </w:rPr>
        <w:t>中国特色社会主义先行示范区</w:t>
      </w:r>
      <w:r>
        <w:rPr>
          <w:rFonts w:hint="eastAsia"/>
          <w:color w:val="auto"/>
        </w:rPr>
        <w:t>，特制定本规划。</w:t>
      </w:r>
    </w:p>
    <w:p>
      <w:pPr>
        <w:pStyle w:val="3"/>
        <w:rPr>
          <w:color w:val="auto"/>
        </w:rPr>
      </w:pPr>
      <w:bookmarkStart w:id="24" w:name="_Toc10479"/>
      <w:bookmarkStart w:id="25" w:name="_Toc17341"/>
      <w:bookmarkStart w:id="26" w:name="_Toc26440"/>
      <w:bookmarkStart w:id="27" w:name="_Toc1499075968"/>
      <w:bookmarkStart w:id="28" w:name="_Toc9986"/>
      <w:bookmarkStart w:id="29" w:name="_Toc114072179"/>
      <w:bookmarkStart w:id="30" w:name="_Toc13477"/>
      <w:bookmarkStart w:id="31" w:name="_Toc3266"/>
      <w:r>
        <w:rPr>
          <w:color w:val="auto"/>
        </w:rPr>
        <w:t>1.3</w:t>
      </w:r>
      <w:r>
        <w:rPr>
          <w:rFonts w:hint="eastAsia"/>
          <w:color w:val="auto"/>
        </w:rPr>
        <w:t>规划</w:t>
      </w:r>
      <w:r>
        <w:rPr>
          <w:color w:val="auto"/>
        </w:rPr>
        <w:t>性质</w:t>
      </w:r>
      <w:bookmarkEnd w:id="24"/>
      <w:bookmarkEnd w:id="25"/>
      <w:bookmarkEnd w:id="26"/>
      <w:bookmarkEnd w:id="27"/>
      <w:bookmarkEnd w:id="28"/>
      <w:bookmarkEnd w:id="29"/>
      <w:bookmarkEnd w:id="30"/>
      <w:bookmarkEnd w:id="31"/>
    </w:p>
    <w:p>
      <w:pPr>
        <w:pStyle w:val="8"/>
        <w:rPr>
          <w:color w:val="auto"/>
        </w:rPr>
      </w:pPr>
      <w:r>
        <w:rPr>
          <w:rFonts w:hint="eastAsia"/>
          <w:color w:val="auto"/>
        </w:rPr>
        <w:t>深圳市改革开放重要史迹保护利用的专项规划。</w:t>
      </w:r>
    </w:p>
    <w:p>
      <w:pPr>
        <w:pStyle w:val="3"/>
        <w:rPr>
          <w:color w:val="auto"/>
        </w:rPr>
      </w:pPr>
      <w:bookmarkStart w:id="32" w:name="_Toc15888"/>
      <w:bookmarkStart w:id="33" w:name="_Toc114072180"/>
      <w:bookmarkStart w:id="34" w:name="_Toc177"/>
      <w:bookmarkStart w:id="35" w:name="_Toc691647572"/>
      <w:bookmarkStart w:id="36" w:name="_Toc30090"/>
      <w:bookmarkStart w:id="37" w:name="_Toc10691"/>
      <w:bookmarkStart w:id="38" w:name="_Toc16939"/>
      <w:bookmarkStart w:id="39" w:name="_Toc524"/>
      <w:r>
        <w:rPr>
          <w:color w:val="auto"/>
        </w:rPr>
        <w:t>1.4编制依据</w:t>
      </w:r>
      <w:bookmarkEnd w:id="32"/>
      <w:bookmarkEnd w:id="33"/>
      <w:bookmarkEnd w:id="34"/>
      <w:bookmarkEnd w:id="35"/>
      <w:bookmarkEnd w:id="36"/>
      <w:bookmarkEnd w:id="37"/>
      <w:bookmarkEnd w:id="38"/>
      <w:bookmarkEnd w:id="39"/>
    </w:p>
    <w:p>
      <w:pPr>
        <w:pStyle w:val="8"/>
        <w:ind w:firstLine="479" w:firstLineChars="199"/>
        <w:rPr>
          <w:b/>
          <w:color w:val="auto"/>
        </w:rPr>
      </w:pPr>
      <w:r>
        <w:rPr>
          <w:rFonts w:hint="eastAsia"/>
          <w:b/>
          <w:color w:val="auto"/>
        </w:rPr>
        <w:t>（1）</w:t>
      </w:r>
      <w:r>
        <w:rPr>
          <w:b/>
          <w:color w:val="auto"/>
        </w:rPr>
        <w:t>法律法规</w:t>
      </w:r>
    </w:p>
    <w:p>
      <w:pPr>
        <w:pStyle w:val="8"/>
        <w:rPr>
          <w:color w:val="auto"/>
        </w:rPr>
      </w:pPr>
      <w:r>
        <w:rPr>
          <w:color w:val="auto"/>
        </w:rPr>
        <w:t>《中华人民共和国文物保护法》（2017</w:t>
      </w:r>
      <w:r>
        <w:rPr>
          <w:rFonts w:hint="eastAsia"/>
          <w:color w:val="auto"/>
        </w:rPr>
        <w:t>年</w:t>
      </w:r>
      <w:r>
        <w:rPr>
          <w:color w:val="auto"/>
        </w:rPr>
        <w:t>修订）</w:t>
      </w:r>
    </w:p>
    <w:p>
      <w:pPr>
        <w:pStyle w:val="8"/>
        <w:ind w:firstLine="0" w:firstLineChars="0"/>
        <w:rPr>
          <w:color w:val="auto"/>
        </w:rPr>
      </w:pPr>
      <w:r>
        <w:rPr>
          <w:color w:val="auto"/>
        </w:rPr>
        <w:tab/>
      </w:r>
      <w:r>
        <w:rPr>
          <w:color w:val="auto"/>
        </w:rPr>
        <w:t>《中华人民共和国文物保护法实施条例》（2017</w:t>
      </w:r>
      <w:r>
        <w:rPr>
          <w:rFonts w:hint="eastAsia"/>
          <w:color w:val="auto"/>
        </w:rPr>
        <w:t>年</w:t>
      </w:r>
      <w:r>
        <w:rPr>
          <w:color w:val="auto"/>
        </w:rPr>
        <w:t>修订）</w:t>
      </w:r>
    </w:p>
    <w:p>
      <w:pPr>
        <w:pStyle w:val="8"/>
        <w:rPr>
          <w:color w:val="auto"/>
        </w:rPr>
      </w:pPr>
      <w:r>
        <w:rPr>
          <w:color w:val="auto"/>
        </w:rPr>
        <w:t>《中华人民共和国土地管理法》（2004年）</w:t>
      </w:r>
    </w:p>
    <w:p>
      <w:pPr>
        <w:pStyle w:val="8"/>
        <w:rPr>
          <w:color w:val="auto"/>
        </w:rPr>
      </w:pPr>
      <w:r>
        <w:rPr>
          <w:color w:val="auto"/>
        </w:rPr>
        <w:t>《中华人民共和国城乡规划法》（2019年</w:t>
      </w:r>
      <w:r>
        <w:rPr>
          <w:rFonts w:hint="eastAsia"/>
          <w:color w:val="auto"/>
        </w:rPr>
        <w:t>修订</w:t>
      </w:r>
      <w:r>
        <w:rPr>
          <w:color w:val="auto"/>
        </w:rPr>
        <w:t>）</w:t>
      </w:r>
    </w:p>
    <w:p>
      <w:pPr>
        <w:pStyle w:val="8"/>
        <w:rPr>
          <w:color w:val="auto"/>
        </w:rPr>
      </w:pPr>
      <w:r>
        <w:rPr>
          <w:color w:val="auto"/>
        </w:rPr>
        <w:t>《中华人民共和国环境保护法》（2015年）</w:t>
      </w:r>
    </w:p>
    <w:p>
      <w:pPr>
        <w:pStyle w:val="8"/>
        <w:ind w:firstLine="479" w:firstLineChars="199"/>
        <w:rPr>
          <w:b/>
          <w:color w:val="auto"/>
        </w:rPr>
      </w:pPr>
      <w:r>
        <w:rPr>
          <w:rFonts w:hint="eastAsia"/>
          <w:b/>
          <w:color w:val="auto"/>
        </w:rPr>
        <w:t>（2）</w:t>
      </w:r>
      <w:r>
        <w:rPr>
          <w:b/>
          <w:color w:val="auto"/>
        </w:rPr>
        <w:t>相关行业准则、办法和规范</w:t>
      </w:r>
    </w:p>
    <w:p>
      <w:pPr>
        <w:pStyle w:val="8"/>
        <w:rPr>
          <w:color w:val="auto"/>
        </w:rPr>
      </w:pPr>
      <w:r>
        <w:rPr>
          <w:color w:val="auto"/>
        </w:rPr>
        <w:t>《中国文物古迹保护准则》（2015年）</w:t>
      </w:r>
    </w:p>
    <w:p>
      <w:pPr>
        <w:pStyle w:val="8"/>
        <w:rPr>
          <w:color w:val="auto"/>
        </w:rPr>
      </w:pPr>
      <w:r>
        <w:rPr>
          <w:color w:val="auto"/>
        </w:rPr>
        <w:t>《文物保护工程管理办法》（2003年）</w:t>
      </w:r>
    </w:p>
    <w:p>
      <w:pPr>
        <w:pStyle w:val="8"/>
        <w:rPr>
          <w:color w:val="auto"/>
        </w:rPr>
      </w:pPr>
      <w:r>
        <w:rPr>
          <w:color w:val="auto"/>
        </w:rPr>
        <w:t>《文物保护单位开放服务规范》（GB/T22528-2008）</w:t>
      </w:r>
    </w:p>
    <w:p>
      <w:pPr>
        <w:pStyle w:val="8"/>
        <w:rPr>
          <w:color w:val="auto"/>
        </w:rPr>
      </w:pPr>
      <w:r>
        <w:rPr>
          <w:color w:val="auto"/>
        </w:rPr>
        <w:t>《历史文化各城保护</w:t>
      </w:r>
      <w:r>
        <w:rPr>
          <w:rFonts w:hint="eastAsia"/>
          <w:color w:val="auto"/>
        </w:rPr>
        <w:t>标准</w:t>
      </w:r>
      <w:r>
        <w:rPr>
          <w:color w:val="auto"/>
        </w:rPr>
        <w:t>》（2018年）</w:t>
      </w:r>
    </w:p>
    <w:p>
      <w:pPr>
        <w:pStyle w:val="8"/>
        <w:rPr>
          <w:color w:val="auto"/>
        </w:rPr>
      </w:pPr>
      <w:r>
        <w:rPr>
          <w:color w:val="auto"/>
        </w:rPr>
        <w:t>《城市紫线管理办法》（2004年）</w:t>
      </w:r>
    </w:p>
    <w:p>
      <w:pPr>
        <w:pStyle w:val="8"/>
        <w:rPr>
          <w:color w:val="auto"/>
        </w:rPr>
      </w:pPr>
      <w:r>
        <w:rPr>
          <w:color w:val="auto"/>
        </w:rPr>
        <w:t>《全国重点文物保护单位保护规划编制要求》（2005年）</w:t>
      </w:r>
    </w:p>
    <w:p>
      <w:pPr>
        <w:pStyle w:val="8"/>
        <w:rPr>
          <w:color w:val="auto"/>
        </w:rPr>
      </w:pPr>
      <w:r>
        <w:rPr>
          <w:rFonts w:hint="eastAsia"/>
          <w:color w:val="auto"/>
        </w:rPr>
        <w:t>《</w:t>
      </w:r>
      <w:r>
        <w:rPr>
          <w:color w:val="auto"/>
        </w:rPr>
        <w:t>关于推进工业文化发展的指导意见</w:t>
      </w:r>
      <w:r>
        <w:rPr>
          <w:rFonts w:hint="eastAsia"/>
          <w:color w:val="auto"/>
        </w:rPr>
        <w:t>》（</w:t>
      </w:r>
      <w:r>
        <w:rPr>
          <w:color w:val="auto"/>
        </w:rPr>
        <w:t>工信部联产业[2016</w:t>
      </w:r>
      <w:r>
        <w:rPr>
          <w:rFonts w:hint="eastAsia"/>
          <w:color w:val="auto"/>
        </w:rPr>
        <w:t>]</w:t>
      </w:r>
      <w:r>
        <w:rPr>
          <w:color w:val="auto"/>
        </w:rPr>
        <w:t>446号</w:t>
      </w:r>
      <w:r>
        <w:rPr>
          <w:rFonts w:hint="eastAsia"/>
          <w:color w:val="auto"/>
        </w:rPr>
        <w:t>）</w:t>
      </w:r>
    </w:p>
    <w:p>
      <w:pPr>
        <w:pStyle w:val="8"/>
        <w:rPr>
          <w:color w:val="auto"/>
        </w:rPr>
      </w:pPr>
      <w:r>
        <w:rPr>
          <w:rFonts w:hint="eastAsia"/>
          <w:color w:val="auto"/>
        </w:rPr>
        <w:t>《国家工业遗产管理暂行办法》（工信部产业[2018</w:t>
      </w:r>
      <w:r>
        <w:rPr>
          <w:color w:val="auto"/>
        </w:rPr>
        <w:t>]</w:t>
      </w:r>
      <w:r>
        <w:rPr>
          <w:rFonts w:hint="eastAsia"/>
          <w:color w:val="auto"/>
        </w:rPr>
        <w:t>232号）</w:t>
      </w:r>
    </w:p>
    <w:p>
      <w:pPr>
        <w:pStyle w:val="8"/>
        <w:ind w:firstLine="479" w:firstLineChars="199"/>
        <w:rPr>
          <w:b/>
          <w:color w:val="auto"/>
        </w:rPr>
      </w:pPr>
      <w:r>
        <w:rPr>
          <w:rFonts w:hint="eastAsia"/>
          <w:b/>
          <w:color w:val="auto"/>
        </w:rPr>
        <w:t>（3）国家和地方</w:t>
      </w:r>
      <w:r>
        <w:rPr>
          <w:b/>
          <w:color w:val="auto"/>
        </w:rPr>
        <w:t>相关文件</w:t>
      </w:r>
    </w:p>
    <w:p>
      <w:pPr>
        <w:pStyle w:val="8"/>
        <w:rPr>
          <w:color w:val="auto"/>
        </w:rPr>
      </w:pPr>
      <w:r>
        <w:rPr>
          <w:rFonts w:hint="eastAsia"/>
          <w:color w:val="auto"/>
        </w:rPr>
        <w:t>《关于在城乡建设中加强历史文化保护传承的意见》（2</w:t>
      </w:r>
      <w:r>
        <w:rPr>
          <w:color w:val="auto"/>
        </w:rPr>
        <w:t>021</w:t>
      </w:r>
      <w:r>
        <w:rPr>
          <w:rFonts w:hint="eastAsia"/>
          <w:color w:val="auto"/>
        </w:rPr>
        <w:t>年）</w:t>
      </w:r>
    </w:p>
    <w:p>
      <w:pPr>
        <w:pStyle w:val="8"/>
        <w:rPr>
          <w:color w:val="auto"/>
        </w:rPr>
      </w:pPr>
      <w:r>
        <w:rPr>
          <w:rFonts w:hint="eastAsia"/>
          <w:color w:val="auto"/>
        </w:rPr>
        <w:t>《关于推进博物馆改革发展的指导意见》（2</w:t>
      </w:r>
      <w:r>
        <w:rPr>
          <w:color w:val="auto"/>
        </w:rPr>
        <w:t>021</w:t>
      </w:r>
      <w:r>
        <w:rPr>
          <w:rFonts w:hint="eastAsia"/>
          <w:color w:val="auto"/>
        </w:rPr>
        <w:t>年）</w:t>
      </w:r>
    </w:p>
    <w:p>
      <w:pPr>
        <w:pStyle w:val="8"/>
        <w:rPr>
          <w:color w:val="auto"/>
        </w:rPr>
      </w:pPr>
      <w:r>
        <w:rPr>
          <w:rFonts w:hint="eastAsia"/>
          <w:color w:val="auto"/>
        </w:rPr>
        <w:t>《关于加强文物保护利用改革的若干意见》（2</w:t>
      </w:r>
      <w:r>
        <w:rPr>
          <w:color w:val="auto"/>
        </w:rPr>
        <w:t>018</w:t>
      </w:r>
      <w:r>
        <w:rPr>
          <w:rFonts w:hint="eastAsia"/>
          <w:color w:val="auto"/>
        </w:rPr>
        <w:t>年）</w:t>
      </w:r>
    </w:p>
    <w:p>
      <w:pPr>
        <w:pStyle w:val="8"/>
        <w:rPr>
          <w:color w:val="auto"/>
        </w:rPr>
      </w:pPr>
      <w:r>
        <w:rPr>
          <w:color w:val="auto"/>
        </w:rPr>
        <w:t xml:space="preserve">《国务院关于加强文化遗产保护的通知》（国发[2005]42号，2005年） </w:t>
      </w:r>
    </w:p>
    <w:p>
      <w:pPr>
        <w:pStyle w:val="8"/>
        <w:rPr>
          <w:color w:val="auto"/>
        </w:rPr>
      </w:pPr>
      <w:r>
        <w:rPr>
          <w:rFonts w:hint="eastAsia"/>
          <w:color w:val="auto"/>
        </w:rPr>
        <w:t>《“十四五”文物保护和科技创新规划》（2</w:t>
      </w:r>
      <w:r>
        <w:rPr>
          <w:color w:val="auto"/>
        </w:rPr>
        <w:t>021</w:t>
      </w:r>
      <w:r>
        <w:rPr>
          <w:rFonts w:hint="eastAsia"/>
          <w:color w:val="auto"/>
        </w:rPr>
        <w:t>年）</w:t>
      </w:r>
    </w:p>
    <w:p>
      <w:pPr>
        <w:pStyle w:val="8"/>
        <w:rPr>
          <w:color w:val="auto"/>
        </w:rPr>
      </w:pPr>
      <w:r>
        <w:rPr>
          <w:color w:val="auto"/>
        </w:rPr>
        <w:t xml:space="preserve">《广东省实施&lt;中华人民共和国文物保护法&gt;办法》（2008年） </w:t>
      </w:r>
    </w:p>
    <w:p>
      <w:pPr>
        <w:pStyle w:val="8"/>
        <w:rPr>
          <w:color w:val="auto"/>
        </w:rPr>
      </w:pPr>
      <w:r>
        <w:rPr>
          <w:color w:val="auto"/>
        </w:rPr>
        <w:t>《广东省文物保护单位</w:t>
      </w:r>
      <w:r>
        <w:rPr>
          <w:rFonts w:hint="eastAsia"/>
          <w:color w:val="auto"/>
        </w:rPr>
        <w:t>“</w:t>
      </w:r>
      <w:r>
        <w:rPr>
          <w:color w:val="auto"/>
        </w:rPr>
        <w:t>四有</w:t>
      </w:r>
      <w:r>
        <w:rPr>
          <w:rFonts w:hint="eastAsia"/>
          <w:color w:val="auto"/>
        </w:rPr>
        <w:t>”</w:t>
      </w:r>
      <w:r>
        <w:rPr>
          <w:color w:val="auto"/>
        </w:rPr>
        <w:t>工作规范》（2009年）</w:t>
      </w:r>
    </w:p>
    <w:p>
      <w:pPr>
        <w:pStyle w:val="8"/>
        <w:rPr>
          <w:color w:val="auto"/>
        </w:rPr>
      </w:pPr>
      <w:r>
        <w:rPr>
          <w:color w:val="auto"/>
        </w:rPr>
        <w:t>《广东省住房和城乡建设厅印发&lt;关于加强优秀历史建筑保护工作指导意见&gt;的通知》（2010年）（含《关于加强优秀历史建筑保护工作指导意见》）</w:t>
      </w:r>
    </w:p>
    <w:p>
      <w:pPr>
        <w:pStyle w:val="8"/>
        <w:rPr>
          <w:color w:val="auto"/>
        </w:rPr>
      </w:pPr>
      <w:r>
        <w:rPr>
          <w:color w:val="auto"/>
        </w:rPr>
        <w:t>《深圳市历史风貌区和历史建筑保护办法（试行）》（2020年）</w:t>
      </w:r>
    </w:p>
    <w:p>
      <w:pPr>
        <w:pStyle w:val="8"/>
        <w:rPr>
          <w:color w:val="auto"/>
        </w:rPr>
      </w:pPr>
      <w:r>
        <w:rPr>
          <w:rFonts w:hint="eastAsia"/>
          <w:color w:val="auto"/>
        </w:rPr>
        <w:t>《深圳市国土空间总体规划</w:t>
      </w:r>
      <w:r>
        <w:rPr>
          <w:color w:val="auto"/>
        </w:rPr>
        <w:t>(2020-2035年)</w:t>
      </w:r>
      <w:r>
        <w:rPr>
          <w:rFonts w:hint="eastAsia"/>
          <w:color w:val="auto"/>
        </w:rPr>
        <w:t>》（2</w:t>
      </w:r>
      <w:r>
        <w:rPr>
          <w:color w:val="auto"/>
        </w:rPr>
        <w:t>020</w:t>
      </w:r>
      <w:r>
        <w:rPr>
          <w:rFonts w:hint="eastAsia"/>
          <w:color w:val="auto"/>
        </w:rPr>
        <w:t>年）</w:t>
      </w:r>
    </w:p>
    <w:p>
      <w:pPr>
        <w:pStyle w:val="8"/>
        <w:rPr>
          <w:color w:val="auto"/>
        </w:rPr>
      </w:pPr>
      <w:r>
        <w:rPr>
          <w:color w:val="auto"/>
        </w:rPr>
        <w:t>《深圳市国民经济和社会发展第十四个五年规划和二〇三五年远景目标纲要》（2021</w:t>
      </w:r>
      <w:r>
        <w:rPr>
          <w:rFonts w:hint="eastAsia"/>
          <w:color w:val="auto"/>
        </w:rPr>
        <w:t>年</w:t>
      </w:r>
      <w:r>
        <w:rPr>
          <w:color w:val="auto"/>
        </w:rPr>
        <w:t>）</w:t>
      </w:r>
    </w:p>
    <w:p>
      <w:pPr>
        <w:pStyle w:val="8"/>
        <w:rPr>
          <w:color w:val="auto"/>
        </w:rPr>
      </w:pPr>
      <w:r>
        <w:rPr>
          <w:rFonts w:hint="eastAsia"/>
          <w:color w:val="auto"/>
        </w:rPr>
        <w:t>《关于实施革命文物保护利用工程（</w:t>
      </w:r>
      <w:r>
        <w:rPr>
          <w:color w:val="auto"/>
        </w:rPr>
        <w:t>2018-2022年）的实施意见》</w:t>
      </w:r>
      <w:r>
        <w:rPr>
          <w:rFonts w:hint="eastAsia"/>
          <w:color w:val="auto"/>
        </w:rPr>
        <w:t>（2</w:t>
      </w:r>
      <w:r>
        <w:rPr>
          <w:color w:val="auto"/>
        </w:rPr>
        <w:t>018</w:t>
      </w:r>
      <w:r>
        <w:rPr>
          <w:rFonts w:hint="eastAsia"/>
          <w:color w:val="auto"/>
        </w:rPr>
        <w:t>年）</w:t>
      </w:r>
    </w:p>
    <w:p>
      <w:pPr>
        <w:pStyle w:val="8"/>
        <w:rPr>
          <w:color w:val="auto"/>
        </w:rPr>
      </w:pPr>
      <w:r>
        <w:rPr>
          <w:color w:val="auto"/>
        </w:rPr>
        <w:t>《革命文物保护利用“十四五”专项规划》</w:t>
      </w:r>
      <w:r>
        <w:rPr>
          <w:rFonts w:hint="eastAsia"/>
          <w:color w:val="auto"/>
        </w:rPr>
        <w:t>（2</w:t>
      </w:r>
      <w:r>
        <w:rPr>
          <w:color w:val="auto"/>
        </w:rPr>
        <w:t>021</w:t>
      </w:r>
      <w:r>
        <w:rPr>
          <w:rFonts w:hint="eastAsia"/>
          <w:color w:val="auto"/>
        </w:rPr>
        <w:t>年）</w:t>
      </w:r>
    </w:p>
    <w:p>
      <w:pPr>
        <w:pStyle w:val="3"/>
        <w:rPr>
          <w:color w:val="auto"/>
        </w:rPr>
      </w:pPr>
      <w:bookmarkStart w:id="40" w:name="_Toc111"/>
      <w:bookmarkStart w:id="41" w:name="_Toc27299"/>
      <w:bookmarkStart w:id="42" w:name="_Toc6712"/>
      <w:bookmarkStart w:id="43" w:name="_Toc114072181"/>
      <w:bookmarkStart w:id="44" w:name="_Toc191761393"/>
      <w:bookmarkStart w:id="45" w:name="_Toc7916"/>
      <w:bookmarkStart w:id="46" w:name="_Toc29959"/>
      <w:bookmarkStart w:id="47" w:name="_Toc20076"/>
      <w:r>
        <w:rPr>
          <w:color w:val="auto"/>
        </w:rPr>
        <w:t>1.5规划范围</w:t>
      </w:r>
      <w:bookmarkEnd w:id="40"/>
      <w:bookmarkEnd w:id="41"/>
      <w:bookmarkEnd w:id="42"/>
      <w:bookmarkEnd w:id="43"/>
      <w:bookmarkEnd w:id="44"/>
      <w:bookmarkEnd w:id="45"/>
      <w:bookmarkEnd w:id="46"/>
      <w:bookmarkEnd w:id="47"/>
    </w:p>
    <w:p>
      <w:pPr>
        <w:pStyle w:val="4"/>
        <w:rPr>
          <w:color w:val="auto"/>
        </w:rPr>
      </w:pPr>
      <w:r>
        <w:rPr>
          <w:color w:val="auto"/>
        </w:rPr>
        <w:t>1.5.1宏观层面</w:t>
      </w:r>
    </w:p>
    <w:p>
      <w:pPr>
        <w:pStyle w:val="8"/>
        <w:rPr>
          <w:color w:val="auto"/>
        </w:rPr>
      </w:pPr>
      <w:r>
        <w:rPr>
          <w:color w:val="auto"/>
        </w:rPr>
        <w:t>规划范围为整个深圳市。提出整体规划目标、规划策略、规划框架、保护利用体系，明确重点片区，策划重点展示与阐释路线。</w:t>
      </w:r>
    </w:p>
    <w:p>
      <w:pPr>
        <w:pStyle w:val="4"/>
        <w:rPr>
          <w:color w:val="auto"/>
        </w:rPr>
      </w:pPr>
      <w:r>
        <w:rPr>
          <w:color w:val="auto"/>
        </w:rPr>
        <w:t>1.5.2微观层面</w:t>
      </w:r>
    </w:p>
    <w:p>
      <w:pPr>
        <w:pStyle w:val="8"/>
        <w:rPr>
          <w:color w:val="auto"/>
        </w:rPr>
      </w:pPr>
      <w:r>
        <w:rPr>
          <w:color w:val="auto"/>
        </w:rPr>
        <w:t>以标志性建筑</w:t>
      </w:r>
      <w:r>
        <w:rPr>
          <w:rFonts w:hint="eastAsia"/>
          <w:color w:val="auto"/>
        </w:rPr>
        <w:t>和</w:t>
      </w:r>
      <w:r>
        <w:rPr>
          <w:color w:val="auto"/>
        </w:rPr>
        <w:t>代表性重要史迹为核心</w:t>
      </w:r>
      <w:r>
        <w:rPr>
          <w:rFonts w:hint="eastAsia"/>
          <w:color w:val="auto"/>
        </w:rPr>
        <w:t>要素</w:t>
      </w:r>
      <w:r>
        <w:rPr>
          <w:color w:val="auto"/>
        </w:rPr>
        <w:t>，明确重要史迹片区，提出具体</w:t>
      </w:r>
      <w:r>
        <w:rPr>
          <w:rFonts w:hint="eastAsia"/>
          <w:color w:val="auto"/>
        </w:rPr>
        <w:t>保护利用</w:t>
      </w:r>
      <w:r>
        <w:rPr>
          <w:color w:val="auto"/>
        </w:rPr>
        <w:t>目标、策略及内容。</w:t>
      </w:r>
    </w:p>
    <w:p>
      <w:pPr>
        <w:pStyle w:val="3"/>
        <w:rPr>
          <w:color w:val="auto"/>
        </w:rPr>
      </w:pPr>
      <w:bookmarkStart w:id="48" w:name="_Toc1708261651"/>
      <w:bookmarkStart w:id="49" w:name="_Toc114072182"/>
      <w:bookmarkStart w:id="50" w:name="_Toc1372"/>
      <w:bookmarkStart w:id="51" w:name="_Toc17064"/>
      <w:bookmarkStart w:id="52" w:name="_Toc24069"/>
      <w:bookmarkStart w:id="53" w:name="_Toc25168"/>
      <w:bookmarkStart w:id="54" w:name="_Toc3395"/>
      <w:bookmarkStart w:id="55" w:name="_Toc28651"/>
      <w:r>
        <w:rPr>
          <w:color w:val="auto"/>
        </w:rPr>
        <w:t>1.6规划期限</w:t>
      </w:r>
      <w:bookmarkEnd w:id="48"/>
      <w:bookmarkEnd w:id="49"/>
      <w:bookmarkEnd w:id="50"/>
      <w:bookmarkEnd w:id="51"/>
      <w:bookmarkEnd w:id="52"/>
      <w:bookmarkEnd w:id="53"/>
      <w:bookmarkEnd w:id="54"/>
      <w:bookmarkEnd w:id="55"/>
    </w:p>
    <w:p>
      <w:pPr>
        <w:pStyle w:val="8"/>
        <w:rPr>
          <w:color w:val="auto"/>
        </w:rPr>
      </w:pPr>
      <w:r>
        <w:rPr>
          <w:rFonts w:hint="eastAsia"/>
          <w:color w:val="auto"/>
        </w:rPr>
        <w:t>规划期限为</w:t>
      </w:r>
      <w:r>
        <w:rPr>
          <w:color w:val="auto"/>
        </w:rPr>
        <w:t>2023</w:t>
      </w:r>
      <w:r>
        <w:rPr>
          <w:rFonts w:hint="eastAsia"/>
          <w:color w:val="auto"/>
        </w:rPr>
        <w:t>年</w:t>
      </w:r>
      <w:r>
        <w:rPr>
          <w:color w:val="auto"/>
        </w:rPr>
        <w:t>～2035年，分三期实施。</w:t>
      </w:r>
    </w:p>
    <w:p>
      <w:pPr>
        <w:pStyle w:val="8"/>
        <w:rPr>
          <w:color w:val="auto"/>
        </w:rPr>
      </w:pPr>
      <w:r>
        <w:rPr>
          <w:color w:val="auto"/>
        </w:rPr>
        <w:t>规划近期：2023年～2027年；</w:t>
      </w:r>
    </w:p>
    <w:p>
      <w:pPr>
        <w:pStyle w:val="8"/>
        <w:rPr>
          <w:color w:val="auto"/>
        </w:rPr>
      </w:pPr>
      <w:r>
        <w:rPr>
          <w:color w:val="auto"/>
        </w:rPr>
        <w:t>规划中期：2028年～2032年；</w:t>
      </w:r>
    </w:p>
    <w:p>
      <w:pPr>
        <w:pStyle w:val="8"/>
        <w:rPr>
          <w:color w:val="auto"/>
        </w:rPr>
      </w:pPr>
      <w:r>
        <w:rPr>
          <w:rFonts w:hint="eastAsia"/>
          <w:color w:val="auto"/>
        </w:rPr>
        <w:t>规划远期：</w:t>
      </w:r>
      <w:r>
        <w:rPr>
          <w:color w:val="auto"/>
        </w:rPr>
        <w:t>2033年～2035年</w:t>
      </w:r>
      <w:r>
        <w:rPr>
          <w:rFonts w:hint="eastAsia"/>
          <w:color w:val="auto"/>
        </w:rPr>
        <w:t>。</w:t>
      </w:r>
      <w:bookmarkStart w:id="56" w:name="_Toc30243"/>
      <w:bookmarkStart w:id="57" w:name="_Toc30651"/>
      <w:bookmarkStart w:id="58" w:name="_Toc8601"/>
      <w:bookmarkStart w:id="59" w:name="_Toc1044691614"/>
      <w:r>
        <w:rPr>
          <w:color w:val="auto"/>
        </w:rPr>
        <w:br w:type="column"/>
      </w:r>
      <w:bookmarkEnd w:id="56"/>
      <w:bookmarkEnd w:id="57"/>
      <w:bookmarkStart w:id="60" w:name="_Toc114072183"/>
    </w:p>
    <w:p>
      <w:pPr>
        <w:rPr>
          <w:color w:val="auto"/>
        </w:rPr>
      </w:pPr>
      <w:bookmarkStart w:id="61" w:name="_Toc25869"/>
      <w:bookmarkStart w:id="62" w:name="_Toc10485"/>
      <w:bookmarkStart w:id="63" w:name="_Toc32306"/>
      <w:r>
        <w:rPr>
          <w:rFonts w:hint="eastAsia"/>
          <w:color w:val="auto"/>
        </w:rPr>
        <w:br w:type="page"/>
      </w:r>
    </w:p>
    <w:p>
      <w:pPr>
        <w:pStyle w:val="2"/>
        <w:rPr>
          <w:color w:val="auto"/>
        </w:rPr>
      </w:pPr>
      <w:bookmarkStart w:id="64" w:name="_Toc18040"/>
      <w:bookmarkStart w:id="65" w:name="_Toc5012"/>
      <w:r>
        <w:rPr>
          <w:rFonts w:hint="eastAsia"/>
          <w:color w:val="auto"/>
        </w:rPr>
        <w:t>第二章</w:t>
      </w:r>
      <w:r>
        <w:rPr>
          <w:color w:val="auto"/>
        </w:rPr>
        <w:t xml:space="preserve"> 项目概述</w:t>
      </w:r>
      <w:bookmarkEnd w:id="58"/>
      <w:bookmarkEnd w:id="59"/>
      <w:bookmarkEnd w:id="60"/>
      <w:bookmarkEnd w:id="61"/>
      <w:bookmarkEnd w:id="62"/>
      <w:bookmarkEnd w:id="63"/>
      <w:bookmarkEnd w:id="64"/>
      <w:bookmarkEnd w:id="65"/>
    </w:p>
    <w:p>
      <w:pPr>
        <w:pStyle w:val="3"/>
        <w:rPr>
          <w:color w:val="auto"/>
        </w:rPr>
      </w:pPr>
      <w:bookmarkStart w:id="66" w:name="_Toc20619"/>
      <w:bookmarkStart w:id="67" w:name="_Toc20003"/>
      <w:bookmarkStart w:id="68" w:name="_Toc19560"/>
      <w:bookmarkStart w:id="69" w:name="_Toc798"/>
      <w:bookmarkStart w:id="70" w:name="_Toc114072184"/>
      <w:bookmarkStart w:id="71" w:name="_Toc28777"/>
      <w:bookmarkStart w:id="72" w:name="_Toc305658626"/>
      <w:bookmarkStart w:id="73" w:name="_Toc28478"/>
      <w:r>
        <w:rPr>
          <w:color w:val="auto"/>
        </w:rPr>
        <w:t>2.1</w:t>
      </w:r>
      <w:r>
        <w:rPr>
          <w:rFonts w:hint="eastAsia"/>
          <w:color w:val="auto"/>
        </w:rPr>
        <w:t>重要史迹遴选</w:t>
      </w:r>
      <w:bookmarkEnd w:id="66"/>
      <w:bookmarkEnd w:id="67"/>
      <w:bookmarkEnd w:id="68"/>
      <w:bookmarkEnd w:id="69"/>
      <w:bookmarkEnd w:id="70"/>
      <w:bookmarkEnd w:id="71"/>
      <w:bookmarkEnd w:id="72"/>
      <w:bookmarkEnd w:id="73"/>
    </w:p>
    <w:p>
      <w:pPr>
        <w:pStyle w:val="8"/>
        <w:rPr>
          <w:color w:val="auto"/>
        </w:rPr>
      </w:pPr>
      <w:r>
        <w:rPr>
          <w:rFonts w:hint="eastAsia"/>
          <w:color w:val="auto"/>
        </w:rPr>
        <w:t>深圳市改革开放重要史迹的遴选主要经过了资料收集、实地调研评估两个阶段。首先，在深圳市文物行政主管部门积极指导与配合下，全面系统收集、整理了深圳改革开放时期的文献资料，从中提取了重要信息、重大节点和标志性事件及其物质载体，同时与相关业务单位进行了沟通与联系，及时获取了改革开放重要史迹的第一手资料。其次，对具有改革开放历史价值、见证重要历史事件的相关地点进行了实地调研，制作并填写完成改革开放史迹初选地调查表，涵盖其概况、价值、所有权、历史沿革、保护管理情况、构成清单等内容，完成了初选地的信息普查和评估。详见附录一、二。</w:t>
      </w:r>
    </w:p>
    <w:p>
      <w:pPr>
        <w:pStyle w:val="8"/>
        <w:rPr>
          <w:color w:val="auto"/>
        </w:rPr>
      </w:pPr>
      <w:r>
        <w:rPr>
          <w:rFonts w:hint="eastAsia"/>
          <w:color w:val="auto"/>
        </w:rPr>
        <w:t>在上述工作的基础上，确定了</w:t>
      </w:r>
      <w:r>
        <w:rPr>
          <w:color w:val="auto"/>
        </w:rPr>
        <w:t>4</w:t>
      </w:r>
      <w:r>
        <w:rPr>
          <w:rFonts w:hint="eastAsia"/>
          <w:color w:val="auto"/>
        </w:rPr>
        <w:t>2</w:t>
      </w:r>
      <w:r>
        <w:rPr>
          <w:color w:val="auto"/>
        </w:rPr>
        <w:t>处改革开放时期与重要历史事件或重要人物相关的标志性建筑以及代表性史迹</w:t>
      </w:r>
      <w:r>
        <w:rPr>
          <w:rFonts w:hint="eastAsia"/>
          <w:color w:val="auto"/>
        </w:rPr>
        <w:t>点</w:t>
      </w:r>
      <w:r>
        <w:rPr>
          <w:color w:val="auto"/>
        </w:rPr>
        <w:t>作为重要史迹，时间涵盖了从1978年12月十一届三中全会提出改革开放新决策至今的各个历史时期，尤其是1978年至1993年这一重要时段，空间上覆盖了深圳改革开放不同阶段的代表性地区和场所。</w:t>
      </w:r>
    </w:p>
    <w:p>
      <w:pPr>
        <w:pStyle w:val="3"/>
        <w:rPr>
          <w:color w:val="auto"/>
        </w:rPr>
      </w:pPr>
      <w:bookmarkStart w:id="74" w:name="_Toc12649"/>
      <w:bookmarkStart w:id="75" w:name="_Toc2277"/>
      <w:bookmarkStart w:id="76" w:name="_Toc114072185"/>
      <w:bookmarkStart w:id="77" w:name="_Toc13056"/>
      <w:bookmarkStart w:id="78" w:name="_Toc30088"/>
      <w:bookmarkStart w:id="79" w:name="_Toc423643558"/>
      <w:bookmarkStart w:id="80" w:name="_Toc10636"/>
      <w:bookmarkStart w:id="81" w:name="_Toc30104"/>
      <w:r>
        <w:rPr>
          <w:color w:val="auto"/>
        </w:rPr>
        <w:t>2.2</w:t>
      </w:r>
      <w:r>
        <w:rPr>
          <w:rFonts w:hint="eastAsia"/>
          <w:color w:val="auto"/>
        </w:rPr>
        <w:t>规划</w:t>
      </w:r>
      <w:r>
        <w:rPr>
          <w:color w:val="auto"/>
        </w:rPr>
        <w:t>对象构成</w:t>
      </w:r>
      <w:bookmarkEnd w:id="74"/>
      <w:bookmarkEnd w:id="75"/>
      <w:bookmarkEnd w:id="76"/>
      <w:bookmarkEnd w:id="77"/>
      <w:bookmarkEnd w:id="78"/>
      <w:bookmarkEnd w:id="79"/>
      <w:bookmarkEnd w:id="80"/>
      <w:bookmarkEnd w:id="81"/>
      <w:r>
        <w:rPr>
          <w:color w:val="auto"/>
        </w:rPr>
        <w:tab/>
      </w:r>
    </w:p>
    <w:p>
      <w:pPr>
        <w:pStyle w:val="8"/>
        <w:ind w:firstLine="479" w:firstLineChars="199"/>
        <w:rPr>
          <w:b/>
          <w:color w:val="auto"/>
        </w:rPr>
      </w:pPr>
      <w:r>
        <w:rPr>
          <w:rFonts w:hint="eastAsia"/>
          <w:b/>
          <w:color w:val="auto"/>
        </w:rPr>
        <w:t>（1）深圳市改革开放重要史迹</w:t>
      </w:r>
    </w:p>
    <w:p>
      <w:pPr>
        <w:pStyle w:val="8"/>
        <w:rPr>
          <w:color w:val="auto"/>
        </w:rPr>
      </w:pPr>
      <w:r>
        <w:rPr>
          <w:rFonts w:hint="eastAsia"/>
          <w:color w:val="auto"/>
        </w:rPr>
        <w:t>深圳市改革开放重要史迹共</w:t>
      </w:r>
      <w:r>
        <w:rPr>
          <w:color w:val="auto"/>
        </w:rPr>
        <w:t>4</w:t>
      </w:r>
      <w:r>
        <w:rPr>
          <w:rFonts w:hint="eastAsia"/>
          <w:color w:val="auto"/>
        </w:rPr>
        <w:t>2</w:t>
      </w:r>
      <w:r>
        <w:rPr>
          <w:color w:val="auto"/>
        </w:rPr>
        <w:t>处</w:t>
      </w:r>
      <w:r>
        <w:rPr>
          <w:rFonts w:hint="eastAsia"/>
          <w:color w:val="auto"/>
        </w:rPr>
        <w:t>（表2</w:t>
      </w:r>
      <w:r>
        <w:rPr>
          <w:color w:val="auto"/>
        </w:rPr>
        <w:t>-1</w:t>
      </w:r>
      <w:r>
        <w:rPr>
          <w:rFonts w:hint="eastAsia"/>
          <w:color w:val="auto"/>
        </w:rPr>
        <w:t>）</w:t>
      </w:r>
      <w:r>
        <w:rPr>
          <w:color w:val="auto"/>
        </w:rPr>
        <w:t>。其中南山区1</w:t>
      </w:r>
      <w:r>
        <w:rPr>
          <w:rFonts w:hint="eastAsia"/>
          <w:color w:val="auto"/>
        </w:rPr>
        <w:t>5</w:t>
      </w:r>
      <w:r>
        <w:rPr>
          <w:color w:val="auto"/>
        </w:rPr>
        <w:t>处、罗湖区8处、福田区8处、大鹏新区4处、盐田区3处、龙岗区2处、宝安区1处、光明区1处。</w:t>
      </w:r>
    </w:p>
    <w:p>
      <w:pPr>
        <w:pStyle w:val="8"/>
        <w:spacing w:line="312" w:lineRule="auto"/>
        <w:jc w:val="center"/>
        <w:rPr>
          <w:color w:val="auto"/>
        </w:rPr>
      </w:pPr>
      <w:r>
        <w:rPr>
          <w:rFonts w:hint="eastAsia"/>
          <w:color w:val="auto"/>
        </w:rPr>
        <w:t>表2-</w:t>
      </w:r>
      <w:r>
        <w:rPr>
          <w:color w:val="auto"/>
        </w:rPr>
        <w:t xml:space="preserve">1 </w:t>
      </w:r>
      <w:r>
        <w:rPr>
          <w:rFonts w:hint="eastAsia"/>
          <w:color w:val="auto"/>
        </w:rPr>
        <w:t>深圳市改革开放重要史迹名单</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7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3" w:hRule="atLeast"/>
          <w:jc w:val="center"/>
        </w:trPr>
        <w:tc>
          <w:tcPr>
            <w:tcW w:w="2115" w:type="dxa"/>
            <w:vAlign w:val="center"/>
          </w:tcPr>
          <w:p>
            <w:pPr>
              <w:spacing w:line="312" w:lineRule="auto"/>
              <w:rPr>
                <w:rFonts w:ascii="宋体" w:hAnsi="宋体" w:eastAsia="宋体" w:cs="华文仿宋"/>
                <w:color w:val="auto"/>
                <w:szCs w:val="21"/>
                <w:shd w:val="clear" w:color="auto" w:fill="FFFFFF"/>
              </w:rPr>
            </w:pPr>
            <w:r>
              <w:rPr>
                <w:rFonts w:hint="eastAsia" w:ascii="宋体" w:hAnsi="宋体" w:eastAsia="宋体" w:cs="华文仿宋"/>
                <w:b/>
                <w:color w:val="auto"/>
                <w:szCs w:val="21"/>
                <w:shd w:val="clear" w:color="auto" w:fill="FFFFFF"/>
              </w:rPr>
              <w:t>南山区（15处）</w:t>
            </w:r>
          </w:p>
        </w:tc>
        <w:tc>
          <w:tcPr>
            <w:tcW w:w="7519" w:type="dxa"/>
            <w:vAlign w:val="center"/>
          </w:tcPr>
          <w:p>
            <w:pPr>
              <w:spacing w:line="312" w:lineRule="auto"/>
              <w:rPr>
                <w:rFonts w:ascii="宋体" w:hAnsi="宋体" w:eastAsia="宋体" w:cs="华文仿宋"/>
                <w:color w:val="auto"/>
                <w:szCs w:val="21"/>
                <w:shd w:val="clear" w:color="auto" w:fill="FFFFFF"/>
              </w:rPr>
            </w:pPr>
            <w:r>
              <w:rPr>
                <w:rFonts w:hint="eastAsia" w:ascii="宋体" w:hAnsi="宋体" w:eastAsia="宋体" w:cs="华文仿宋"/>
                <w:color w:val="auto"/>
                <w:szCs w:val="21"/>
                <w:shd w:val="clear" w:color="auto" w:fill="FFFFFF"/>
              </w:rPr>
              <w:t>大成面粉厂、广东浮法玻璃厂（价值工厂）、“空谈误国，实干兴邦”标语牌、明华轮、南海酒店（希尔顿酒店）、三洋厂房（南海意库）、深圳大学（汇元楼、汇典楼与汇紫楼）、微波山时间广场、袁庚像、锦绣中华民俗村（华侨城）、世界之窗、前海石公园、深圳市南头中学（校史馆）、二线关同乐检查站、深圳大学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115" w:type="dxa"/>
            <w:vAlign w:val="center"/>
          </w:tcPr>
          <w:p>
            <w:pPr>
              <w:spacing w:line="312" w:lineRule="auto"/>
              <w:rPr>
                <w:rFonts w:ascii="宋体" w:hAnsi="宋体" w:eastAsia="宋体" w:cs="华文仿宋"/>
                <w:color w:val="auto"/>
                <w:szCs w:val="21"/>
                <w:shd w:val="clear" w:color="auto" w:fill="FFFFFF"/>
              </w:rPr>
            </w:pPr>
            <w:r>
              <w:rPr>
                <w:rFonts w:hint="eastAsia" w:ascii="宋体" w:hAnsi="宋体" w:eastAsia="宋体" w:cs="华文仿宋"/>
                <w:b/>
                <w:color w:val="auto"/>
                <w:szCs w:val="21"/>
                <w:shd w:val="clear" w:color="auto" w:fill="FFFFFF"/>
              </w:rPr>
              <w:t>罗湖区（8处）</w:t>
            </w:r>
          </w:p>
        </w:tc>
        <w:tc>
          <w:tcPr>
            <w:tcW w:w="7519" w:type="dxa"/>
            <w:vAlign w:val="center"/>
          </w:tcPr>
          <w:p>
            <w:pPr>
              <w:spacing w:line="312" w:lineRule="auto"/>
              <w:rPr>
                <w:rFonts w:ascii="宋体" w:hAnsi="宋体" w:eastAsia="宋体" w:cs="华文仿宋"/>
                <w:color w:val="auto"/>
                <w:szCs w:val="21"/>
                <w:shd w:val="clear" w:color="auto" w:fill="FFFFFF"/>
              </w:rPr>
            </w:pPr>
            <w:r>
              <w:rPr>
                <w:rFonts w:hint="eastAsia" w:ascii="宋体" w:hAnsi="宋体" w:eastAsia="宋体" w:cs="华文仿宋"/>
                <w:color w:val="auto"/>
                <w:szCs w:val="21"/>
                <w:shd w:val="clear" w:color="auto" w:fill="FFFFFF"/>
              </w:rPr>
              <w:t>地王大厦、深圳迎宾馆（桂园、兰园别墅）、深圳证券交易所（老楼）、竹园宾馆、深圳国贸大厦、深圳渔民村、深圳火车站、深圳罗湖口岸联检大楼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jc w:val="center"/>
        </w:trPr>
        <w:tc>
          <w:tcPr>
            <w:tcW w:w="2115" w:type="dxa"/>
            <w:vAlign w:val="center"/>
          </w:tcPr>
          <w:p>
            <w:pPr>
              <w:spacing w:line="312" w:lineRule="auto"/>
              <w:rPr>
                <w:rFonts w:ascii="宋体" w:hAnsi="宋体" w:eastAsia="宋体" w:cs="华文仿宋"/>
                <w:color w:val="auto"/>
                <w:szCs w:val="21"/>
                <w:shd w:val="clear" w:color="auto" w:fill="FFFFFF"/>
              </w:rPr>
            </w:pPr>
            <w:r>
              <w:rPr>
                <w:rFonts w:hint="eastAsia" w:ascii="宋体" w:hAnsi="宋体" w:eastAsia="宋体" w:cs="华文仿宋"/>
                <w:b/>
                <w:color w:val="auto"/>
                <w:szCs w:val="21"/>
                <w:shd w:val="clear" w:color="auto" w:fill="FFFFFF"/>
              </w:rPr>
              <w:t>福田区（8处）</w:t>
            </w:r>
          </w:p>
        </w:tc>
        <w:tc>
          <w:tcPr>
            <w:tcW w:w="7519" w:type="dxa"/>
            <w:vAlign w:val="center"/>
          </w:tcPr>
          <w:p>
            <w:pPr>
              <w:spacing w:line="312" w:lineRule="auto"/>
              <w:rPr>
                <w:rFonts w:ascii="宋体" w:hAnsi="宋体" w:eastAsia="宋体" w:cs="华文仿宋"/>
                <w:color w:val="auto"/>
                <w:szCs w:val="21"/>
                <w:shd w:val="clear" w:color="auto" w:fill="FFFFFF"/>
              </w:rPr>
            </w:pPr>
            <w:r>
              <w:rPr>
                <w:rFonts w:hint="eastAsia" w:ascii="宋体" w:hAnsi="宋体" w:eastAsia="宋体" w:cs="华文仿宋"/>
                <w:color w:val="auto"/>
                <w:szCs w:val="21"/>
                <w:shd w:val="clear" w:color="auto" w:fill="FFFFFF"/>
              </w:rPr>
              <w:t>莲花山公园（邓小平</w:t>
            </w:r>
            <w:r>
              <w:rPr>
                <w:rFonts w:hint="eastAsia" w:ascii="宋体" w:hAnsi="宋体" w:eastAsia="宋体" w:cs="华文仿宋"/>
                <w:color w:val="auto"/>
                <w:szCs w:val="21"/>
                <w:shd w:val="clear" w:color="auto" w:fill="FFFFFF"/>
                <w:lang w:eastAsia="zh-CN"/>
              </w:rPr>
              <w:t>铜像</w:t>
            </w:r>
            <w:r>
              <w:rPr>
                <w:rFonts w:hint="eastAsia" w:ascii="宋体" w:hAnsi="宋体" w:eastAsia="宋体" w:cs="华文仿宋"/>
                <w:color w:val="auto"/>
                <w:szCs w:val="21"/>
                <w:shd w:val="clear" w:color="auto" w:fill="FFFFFF"/>
              </w:rPr>
              <w:t>）、电子大厦、上海宾馆、深圳科学馆旧馆、深圳新闻大厦、深圳图书馆旧馆、孺子牛雕像、深圳博物馆旧馆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115" w:type="dxa"/>
            <w:vAlign w:val="center"/>
          </w:tcPr>
          <w:p>
            <w:pPr>
              <w:spacing w:line="312" w:lineRule="auto"/>
              <w:rPr>
                <w:rFonts w:ascii="宋体" w:hAnsi="宋体" w:eastAsia="宋体" w:cs="华文仿宋"/>
                <w:color w:val="auto"/>
                <w:szCs w:val="21"/>
                <w:shd w:val="clear" w:color="auto" w:fill="FFFFFF"/>
              </w:rPr>
            </w:pPr>
            <w:r>
              <w:rPr>
                <w:rFonts w:hint="eastAsia" w:ascii="宋体" w:hAnsi="宋体" w:eastAsia="宋体" w:cs="华文仿宋"/>
                <w:b/>
                <w:color w:val="auto"/>
                <w:szCs w:val="21"/>
                <w:shd w:val="clear" w:color="auto" w:fill="FFFFFF"/>
              </w:rPr>
              <w:t>大鹏新区（4处）</w:t>
            </w:r>
          </w:p>
        </w:tc>
        <w:tc>
          <w:tcPr>
            <w:tcW w:w="7519" w:type="dxa"/>
            <w:vAlign w:val="center"/>
          </w:tcPr>
          <w:p>
            <w:pPr>
              <w:spacing w:line="312" w:lineRule="auto"/>
              <w:rPr>
                <w:rFonts w:ascii="宋体" w:hAnsi="宋体" w:eastAsia="宋体" w:cs="华文仿宋"/>
                <w:color w:val="auto"/>
                <w:szCs w:val="21"/>
                <w:shd w:val="clear" w:color="auto" w:fill="FFFFFF"/>
              </w:rPr>
            </w:pPr>
            <w:r>
              <w:rPr>
                <w:rFonts w:hint="eastAsia" w:ascii="宋体" w:hAnsi="宋体" w:eastAsia="宋体" w:cs="华文仿宋"/>
                <w:color w:val="auto"/>
                <w:szCs w:val="21"/>
                <w:shd w:val="clear" w:color="auto" w:fill="FFFFFF"/>
              </w:rPr>
              <w:t>艺象ID TOWN（原鸿华印染厂）、袁庚祖居、大亚湾核电站、鹤薮小学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115" w:type="dxa"/>
            <w:vAlign w:val="center"/>
          </w:tcPr>
          <w:p>
            <w:pPr>
              <w:spacing w:line="312" w:lineRule="auto"/>
              <w:rPr>
                <w:rFonts w:ascii="宋体" w:hAnsi="宋体" w:eastAsia="宋体" w:cs="华文仿宋"/>
                <w:color w:val="auto"/>
                <w:szCs w:val="21"/>
                <w:shd w:val="clear" w:color="auto" w:fill="FFFFFF"/>
              </w:rPr>
            </w:pPr>
            <w:r>
              <w:rPr>
                <w:rFonts w:hint="eastAsia" w:ascii="宋体" w:hAnsi="宋体" w:eastAsia="宋体" w:cs="华文仿宋"/>
                <w:b/>
                <w:color w:val="auto"/>
                <w:szCs w:val="21"/>
                <w:shd w:val="clear" w:color="auto" w:fill="FFFFFF"/>
              </w:rPr>
              <w:t>盐田区（3处）</w:t>
            </w:r>
          </w:p>
        </w:tc>
        <w:tc>
          <w:tcPr>
            <w:tcW w:w="7519" w:type="dxa"/>
            <w:vAlign w:val="center"/>
          </w:tcPr>
          <w:p>
            <w:pPr>
              <w:spacing w:line="312" w:lineRule="auto"/>
              <w:rPr>
                <w:rFonts w:ascii="宋体" w:hAnsi="宋体" w:eastAsia="宋体" w:cs="华文仿宋"/>
                <w:color w:val="auto"/>
                <w:szCs w:val="21"/>
                <w:shd w:val="clear" w:color="auto" w:fill="FFFFFF"/>
              </w:rPr>
            </w:pPr>
            <w:r>
              <w:rPr>
                <w:rFonts w:hint="eastAsia" w:ascii="宋体" w:hAnsi="宋体" w:eastAsia="宋体" w:cs="华文仿宋"/>
                <w:color w:val="auto"/>
                <w:szCs w:val="21"/>
                <w:shd w:val="clear" w:color="auto" w:fill="FFFFFF"/>
              </w:rPr>
              <w:t>中英街历史博物馆、盐田港国际集装箱码头、沙头角保税区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115" w:type="dxa"/>
            <w:vAlign w:val="center"/>
          </w:tcPr>
          <w:p>
            <w:pPr>
              <w:spacing w:line="312" w:lineRule="auto"/>
              <w:rPr>
                <w:rFonts w:ascii="宋体" w:hAnsi="宋体" w:eastAsia="宋体" w:cs="华文仿宋"/>
                <w:color w:val="auto"/>
                <w:szCs w:val="21"/>
                <w:shd w:val="clear" w:color="auto" w:fill="FFFFFF"/>
              </w:rPr>
            </w:pPr>
            <w:r>
              <w:rPr>
                <w:rFonts w:hint="eastAsia" w:ascii="宋体" w:hAnsi="宋体" w:eastAsia="宋体" w:cs="华文仿宋"/>
                <w:b/>
                <w:color w:val="auto"/>
                <w:szCs w:val="21"/>
                <w:shd w:val="clear" w:color="auto" w:fill="FFFFFF"/>
              </w:rPr>
              <w:t>龙岗区（2处）</w:t>
            </w:r>
          </w:p>
        </w:tc>
        <w:tc>
          <w:tcPr>
            <w:tcW w:w="7519" w:type="dxa"/>
            <w:vAlign w:val="center"/>
          </w:tcPr>
          <w:p>
            <w:pPr>
              <w:spacing w:line="312" w:lineRule="auto"/>
              <w:rPr>
                <w:rFonts w:ascii="宋体" w:hAnsi="宋体" w:eastAsia="宋体" w:cs="华文仿宋"/>
                <w:color w:val="auto"/>
                <w:szCs w:val="21"/>
                <w:shd w:val="clear" w:color="auto" w:fill="FFFFFF"/>
              </w:rPr>
            </w:pPr>
            <w:r>
              <w:rPr>
                <w:rFonts w:hint="eastAsia" w:ascii="宋体" w:hAnsi="宋体" w:eastAsia="宋体" w:cs="华文仿宋"/>
                <w:color w:val="auto"/>
                <w:szCs w:val="21"/>
                <w:shd w:val="clear" w:color="auto" w:fill="FFFFFF"/>
              </w:rPr>
              <w:t>大芬油画村（胜发店铺、第一个油画工坊）、南岭村（村委办公楼——会议室，社区党群服务中心）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2115" w:type="dxa"/>
            <w:vAlign w:val="center"/>
          </w:tcPr>
          <w:p>
            <w:pPr>
              <w:spacing w:line="312" w:lineRule="auto"/>
              <w:rPr>
                <w:rFonts w:ascii="宋体" w:hAnsi="宋体" w:eastAsia="宋体" w:cs="华文仿宋"/>
                <w:color w:val="auto"/>
                <w:szCs w:val="21"/>
                <w:shd w:val="clear" w:color="auto" w:fill="FFFFFF"/>
              </w:rPr>
            </w:pPr>
            <w:r>
              <w:rPr>
                <w:rFonts w:hint="eastAsia" w:ascii="宋体" w:hAnsi="宋体" w:eastAsia="宋体" w:cs="华文仿宋"/>
                <w:b/>
                <w:color w:val="auto"/>
                <w:szCs w:val="21"/>
                <w:shd w:val="clear" w:color="auto" w:fill="FFFFFF"/>
              </w:rPr>
              <w:t>宝安区（1处）</w:t>
            </w:r>
          </w:p>
        </w:tc>
        <w:tc>
          <w:tcPr>
            <w:tcW w:w="7519" w:type="dxa"/>
            <w:vAlign w:val="center"/>
          </w:tcPr>
          <w:p>
            <w:pPr>
              <w:spacing w:line="312" w:lineRule="auto"/>
              <w:rPr>
                <w:rFonts w:ascii="宋体" w:hAnsi="宋体" w:eastAsia="宋体" w:cs="华文仿宋"/>
                <w:color w:val="auto"/>
                <w:szCs w:val="21"/>
                <w:shd w:val="clear" w:color="auto" w:fill="FFFFFF"/>
              </w:rPr>
            </w:pPr>
            <w:r>
              <w:rPr>
                <w:rFonts w:hint="eastAsia" w:ascii="宋体" w:hAnsi="宋体" w:eastAsia="宋体" w:cs="华文仿宋"/>
                <w:color w:val="auto"/>
                <w:szCs w:val="21"/>
                <w:shd w:val="clear" w:color="auto" w:fill="FFFFFF"/>
              </w:rPr>
              <w:t>深圳劳务工博物馆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2115" w:type="dxa"/>
            <w:vAlign w:val="center"/>
          </w:tcPr>
          <w:p>
            <w:pPr>
              <w:spacing w:line="312" w:lineRule="auto"/>
              <w:rPr>
                <w:rFonts w:ascii="宋体" w:hAnsi="宋体" w:eastAsia="宋体" w:cs="华文仿宋"/>
                <w:color w:val="auto"/>
                <w:szCs w:val="21"/>
                <w:shd w:val="clear" w:color="auto" w:fill="FFFFFF"/>
              </w:rPr>
            </w:pPr>
            <w:r>
              <w:rPr>
                <w:rFonts w:hint="eastAsia" w:ascii="宋体" w:hAnsi="宋体" w:eastAsia="宋体" w:cs="华文仿宋"/>
                <w:b/>
                <w:color w:val="auto"/>
                <w:szCs w:val="21"/>
                <w:shd w:val="clear" w:color="auto" w:fill="FFFFFF"/>
              </w:rPr>
              <w:t>光明区（1处）</w:t>
            </w:r>
          </w:p>
        </w:tc>
        <w:tc>
          <w:tcPr>
            <w:tcW w:w="7519" w:type="dxa"/>
            <w:vAlign w:val="center"/>
          </w:tcPr>
          <w:p>
            <w:pPr>
              <w:spacing w:line="312" w:lineRule="auto"/>
              <w:rPr>
                <w:rFonts w:ascii="宋体" w:hAnsi="宋体" w:eastAsia="宋体" w:cs="华文仿宋"/>
                <w:color w:val="auto"/>
                <w:szCs w:val="21"/>
                <w:shd w:val="clear" w:color="auto" w:fill="FFFFFF"/>
              </w:rPr>
            </w:pPr>
            <w:r>
              <w:rPr>
                <w:rFonts w:hint="eastAsia" w:ascii="宋体" w:hAnsi="宋体" w:eastAsia="宋体" w:cs="华文仿宋"/>
                <w:color w:val="auto"/>
                <w:szCs w:val="21"/>
                <w:shd w:val="clear" w:color="auto" w:fill="FFFFFF"/>
              </w:rPr>
              <w:t>光明街道糖厂</w:t>
            </w:r>
          </w:p>
        </w:tc>
      </w:tr>
    </w:tbl>
    <w:p>
      <w:pPr>
        <w:pStyle w:val="8"/>
        <w:spacing w:line="312" w:lineRule="auto"/>
        <w:ind w:firstLine="0" w:firstLineChars="0"/>
        <w:rPr>
          <w:color w:val="auto"/>
        </w:rPr>
      </w:pPr>
    </w:p>
    <w:p>
      <w:pPr>
        <w:pStyle w:val="8"/>
        <w:ind w:firstLine="482"/>
        <w:rPr>
          <w:b/>
          <w:color w:val="auto"/>
        </w:rPr>
      </w:pPr>
      <w:r>
        <w:rPr>
          <w:rFonts w:hint="eastAsia"/>
          <w:b/>
          <w:color w:val="auto"/>
        </w:rPr>
        <w:t>（2）相关历史环境</w:t>
      </w:r>
    </w:p>
    <w:p>
      <w:pPr>
        <w:pStyle w:val="8"/>
        <w:rPr>
          <w:color w:val="auto"/>
        </w:rPr>
      </w:pPr>
      <w:r>
        <w:rPr>
          <w:rFonts w:hint="eastAsia"/>
          <w:color w:val="auto"/>
        </w:rPr>
        <w:t>包括与42处重要史迹相关的公共空间、历史人文资源、自然生态资源等。</w:t>
      </w:r>
    </w:p>
    <w:p>
      <w:pPr>
        <w:pStyle w:val="3"/>
        <w:rPr>
          <w:color w:val="auto"/>
        </w:rPr>
      </w:pPr>
      <w:bookmarkStart w:id="82" w:name="_Toc1268989501"/>
      <w:bookmarkStart w:id="83" w:name="_Toc16807"/>
      <w:bookmarkStart w:id="84" w:name="_Toc19463"/>
      <w:bookmarkStart w:id="85" w:name="_Toc13980"/>
      <w:bookmarkStart w:id="86" w:name="_Toc30723"/>
      <w:bookmarkStart w:id="87" w:name="_Toc8410"/>
      <w:bookmarkStart w:id="88" w:name="_Toc114072186"/>
      <w:bookmarkStart w:id="89" w:name="_Toc11505"/>
      <w:r>
        <w:rPr>
          <w:rFonts w:hint="eastAsia"/>
          <w:color w:val="auto"/>
        </w:rPr>
        <w:t>2</w:t>
      </w:r>
      <w:r>
        <w:rPr>
          <w:color w:val="auto"/>
        </w:rPr>
        <w:t xml:space="preserve">.3 </w:t>
      </w:r>
      <w:r>
        <w:rPr>
          <w:rFonts w:hint="eastAsia"/>
          <w:color w:val="auto"/>
        </w:rPr>
        <w:t>重要史迹现状概述</w:t>
      </w:r>
      <w:bookmarkEnd w:id="82"/>
      <w:bookmarkEnd w:id="83"/>
      <w:bookmarkEnd w:id="84"/>
      <w:bookmarkEnd w:id="85"/>
      <w:bookmarkEnd w:id="86"/>
      <w:bookmarkEnd w:id="87"/>
      <w:bookmarkEnd w:id="88"/>
      <w:bookmarkEnd w:id="89"/>
    </w:p>
    <w:p>
      <w:pPr>
        <w:pStyle w:val="4"/>
        <w:rPr>
          <w:color w:val="auto"/>
        </w:rPr>
      </w:pPr>
      <w:r>
        <w:rPr>
          <w:rFonts w:hint="eastAsia"/>
          <w:color w:val="auto"/>
        </w:rPr>
        <w:t>2.</w:t>
      </w:r>
      <w:r>
        <w:rPr>
          <w:color w:val="auto"/>
        </w:rPr>
        <w:t xml:space="preserve">3.1 </w:t>
      </w:r>
      <w:r>
        <w:rPr>
          <w:rFonts w:hint="eastAsia"/>
          <w:color w:val="auto"/>
        </w:rPr>
        <w:t>重要史迹的时空分布特征</w:t>
      </w:r>
    </w:p>
    <w:p>
      <w:pPr>
        <w:pStyle w:val="8"/>
        <w:rPr>
          <w:color w:val="auto"/>
        </w:rPr>
      </w:pPr>
      <w:r>
        <w:rPr>
          <w:rFonts w:hint="eastAsia"/>
          <w:color w:val="auto"/>
        </w:rPr>
        <w:t>（1）空间分布</w:t>
      </w:r>
    </w:p>
    <w:p>
      <w:pPr>
        <w:pStyle w:val="8"/>
        <w:rPr>
          <w:color w:val="auto"/>
        </w:rPr>
      </w:pPr>
      <w:r>
        <w:rPr>
          <w:rFonts w:hint="eastAsia"/>
          <w:color w:val="auto"/>
        </w:rPr>
        <w:t>就所处行政区划而言，深圳市改革开放重要史迹广泛分布于除龙华区、坪山区之外的其它8个区。其中尤以南山区最多，为15处；罗湖区、福田区次之，各有8处；除此之外，大鹏新区</w:t>
      </w:r>
      <w:r>
        <w:rPr>
          <w:color w:val="auto"/>
        </w:rPr>
        <w:t>4处</w:t>
      </w:r>
      <w:r>
        <w:rPr>
          <w:rFonts w:hint="eastAsia"/>
          <w:color w:val="auto"/>
        </w:rPr>
        <w:t>，</w:t>
      </w:r>
      <w:r>
        <w:rPr>
          <w:color w:val="auto"/>
        </w:rPr>
        <w:t>盐田区3处</w:t>
      </w:r>
      <w:r>
        <w:rPr>
          <w:rFonts w:hint="eastAsia"/>
          <w:color w:val="auto"/>
        </w:rPr>
        <w:t>，</w:t>
      </w:r>
      <w:r>
        <w:rPr>
          <w:color w:val="auto"/>
        </w:rPr>
        <w:t>龙岗区2处</w:t>
      </w:r>
      <w:r>
        <w:rPr>
          <w:rFonts w:hint="eastAsia"/>
          <w:color w:val="auto"/>
        </w:rPr>
        <w:t>，</w:t>
      </w:r>
      <w:r>
        <w:rPr>
          <w:color w:val="auto"/>
        </w:rPr>
        <w:t>宝安区</w:t>
      </w:r>
      <w:r>
        <w:rPr>
          <w:rFonts w:hint="eastAsia"/>
          <w:color w:val="auto"/>
        </w:rPr>
        <w:t>和</w:t>
      </w:r>
      <w:r>
        <w:rPr>
          <w:color w:val="auto"/>
        </w:rPr>
        <w:t>光明区</w:t>
      </w:r>
      <w:r>
        <w:rPr>
          <w:rFonts w:hint="eastAsia"/>
          <w:color w:val="auto"/>
        </w:rPr>
        <w:t>各</w:t>
      </w:r>
      <w:r>
        <w:rPr>
          <w:color w:val="auto"/>
        </w:rPr>
        <w:t>1处</w:t>
      </w:r>
      <w:r>
        <w:rPr>
          <w:rFonts w:hint="eastAsia"/>
          <w:color w:val="auto"/>
        </w:rPr>
        <w:t>。总体而言，共有</w:t>
      </w:r>
      <w:r>
        <w:rPr>
          <w:color w:val="auto"/>
        </w:rPr>
        <w:t>3</w:t>
      </w:r>
      <w:r>
        <w:rPr>
          <w:rFonts w:hint="eastAsia"/>
          <w:color w:val="auto"/>
        </w:rPr>
        <w:t>6</w:t>
      </w:r>
      <w:r>
        <w:rPr>
          <w:color w:val="auto"/>
        </w:rPr>
        <w:t>处</w:t>
      </w:r>
      <w:r>
        <w:rPr>
          <w:rFonts w:hint="eastAsia"/>
          <w:color w:val="auto"/>
        </w:rPr>
        <w:t>于历史上的深圳特区关内，约占</w:t>
      </w:r>
      <w:r>
        <w:rPr>
          <w:color w:val="auto"/>
        </w:rPr>
        <w:t>86</w:t>
      </w:r>
      <w:r>
        <w:rPr>
          <w:rFonts w:hint="eastAsia"/>
          <w:color w:val="auto"/>
        </w:rPr>
        <w:t>%；位于关外的有</w:t>
      </w:r>
      <w:r>
        <w:rPr>
          <w:color w:val="auto"/>
        </w:rPr>
        <w:t>6</w:t>
      </w:r>
      <w:r>
        <w:rPr>
          <w:rFonts w:hint="eastAsia"/>
          <w:color w:val="auto"/>
        </w:rPr>
        <w:t>处，约占</w:t>
      </w:r>
      <w:r>
        <w:rPr>
          <w:color w:val="auto"/>
        </w:rPr>
        <w:t>14%。</w:t>
      </w:r>
    </w:p>
    <w:p>
      <w:pPr>
        <w:pStyle w:val="8"/>
        <w:rPr>
          <w:color w:val="auto"/>
        </w:rPr>
      </w:pPr>
      <w:r>
        <w:rPr>
          <w:rFonts w:hint="eastAsia"/>
          <w:color w:val="auto"/>
        </w:rPr>
        <w:t>就空间集聚性而言，深圳市改革开放重要史迹呈现出以南山蛇口工业区和罗湖-福田交汇处为聚集核心的分布特征，与深圳改革开放早期发端于罗湖、蛇口工业区、沙头角并逐步向外围扩张的发展脉络相吻合。其中，蛇口工业区聚集处多以工厂、酒店、标语为主，如大成面粉厂、明华轮、袁庚像等；罗湖区与福田区交汇处多以办公大楼、雕像为主，如地王大厦、邓小平</w:t>
      </w:r>
      <w:r>
        <w:rPr>
          <w:rFonts w:hint="eastAsia"/>
          <w:color w:val="auto"/>
          <w:lang w:eastAsia="zh-CN"/>
        </w:rPr>
        <w:t>铜像</w:t>
      </w:r>
      <w:r>
        <w:rPr>
          <w:rFonts w:hint="eastAsia"/>
          <w:color w:val="auto"/>
        </w:rPr>
        <w:t>等。</w:t>
      </w:r>
    </w:p>
    <w:p>
      <w:pPr>
        <w:pStyle w:val="8"/>
        <w:rPr>
          <w:color w:val="auto"/>
        </w:rPr>
      </w:pPr>
      <w:r>
        <w:rPr>
          <w:rFonts w:hint="eastAsia"/>
          <w:color w:val="auto"/>
        </w:rPr>
        <w:t>（2）时间分布</w:t>
      </w:r>
    </w:p>
    <w:p>
      <w:pPr>
        <w:pStyle w:val="8"/>
        <w:rPr>
          <w:color w:val="auto"/>
        </w:rPr>
      </w:pPr>
      <w:r>
        <w:rPr>
          <w:rFonts w:hint="eastAsia"/>
          <w:color w:val="auto"/>
        </w:rPr>
        <w:t>参考相关研究成果，改革开放发展进程分为改革开放初始奠基阶段（</w:t>
      </w:r>
      <w:r>
        <w:rPr>
          <w:color w:val="auto"/>
        </w:rPr>
        <w:t>1980年以前）和改革开放以来的第一阶段（1980-1985年</w:t>
      </w:r>
      <w:r>
        <w:rPr>
          <w:rFonts w:hint="eastAsia"/>
          <w:color w:val="auto"/>
        </w:rPr>
        <w:t>、改革开放局部推进阶段</w:t>
      </w:r>
      <w:r>
        <w:rPr>
          <w:color w:val="auto"/>
        </w:rPr>
        <w:t>）、</w:t>
      </w:r>
      <w:r>
        <w:rPr>
          <w:rFonts w:hint="eastAsia"/>
          <w:color w:val="auto"/>
        </w:rPr>
        <w:t>第二阶段（1</w:t>
      </w:r>
      <w:r>
        <w:rPr>
          <w:color w:val="auto"/>
        </w:rPr>
        <w:t>986</w:t>
      </w:r>
      <w:r>
        <w:rPr>
          <w:rFonts w:hint="eastAsia"/>
          <w:color w:val="auto"/>
        </w:rPr>
        <w:t>-</w:t>
      </w:r>
      <w:r>
        <w:rPr>
          <w:color w:val="auto"/>
        </w:rPr>
        <w:t>1992</w:t>
      </w:r>
      <w:r>
        <w:rPr>
          <w:rFonts w:hint="eastAsia"/>
          <w:color w:val="auto"/>
        </w:rPr>
        <w:t>年、改革开放全面推进阶段）、第三阶段（1</w:t>
      </w:r>
      <w:r>
        <w:rPr>
          <w:color w:val="auto"/>
        </w:rPr>
        <w:t>993</w:t>
      </w:r>
      <w:r>
        <w:rPr>
          <w:rFonts w:hint="eastAsia"/>
          <w:color w:val="auto"/>
        </w:rPr>
        <w:t>-</w:t>
      </w:r>
      <w:r>
        <w:rPr>
          <w:color w:val="auto"/>
        </w:rPr>
        <w:t>2002</w:t>
      </w:r>
      <w:r>
        <w:rPr>
          <w:rFonts w:hint="eastAsia"/>
          <w:color w:val="auto"/>
        </w:rPr>
        <w:t>年、增创新优势与跨越式发展阶段）、第四阶段（2</w:t>
      </w:r>
      <w:r>
        <w:rPr>
          <w:color w:val="auto"/>
        </w:rPr>
        <w:t>003</w:t>
      </w:r>
      <w:r>
        <w:rPr>
          <w:rFonts w:hint="eastAsia"/>
          <w:color w:val="auto"/>
        </w:rPr>
        <w:t>-</w:t>
      </w:r>
      <w:r>
        <w:rPr>
          <w:color w:val="auto"/>
        </w:rPr>
        <w:t>2020</w:t>
      </w:r>
      <w:r>
        <w:rPr>
          <w:rFonts w:hint="eastAsia"/>
          <w:color w:val="auto"/>
        </w:rPr>
        <w:t>年、改革开放深化发展阶段）：</w:t>
      </w:r>
    </w:p>
    <w:p>
      <w:pPr>
        <w:pStyle w:val="8"/>
        <w:rPr>
          <w:color w:val="auto"/>
        </w:rPr>
      </w:pPr>
      <w:r>
        <w:rPr>
          <w:rFonts w:hint="eastAsia"/>
          <w:color w:val="auto"/>
        </w:rPr>
        <w:t>第一阶段（1</w:t>
      </w:r>
      <w:r>
        <w:rPr>
          <w:color w:val="auto"/>
        </w:rPr>
        <w:t>980</w:t>
      </w:r>
      <w:r>
        <w:rPr>
          <w:rFonts w:hint="eastAsia"/>
          <w:color w:val="auto"/>
        </w:rPr>
        <w:t>-1</w:t>
      </w:r>
      <w:r>
        <w:rPr>
          <w:color w:val="auto"/>
        </w:rPr>
        <w:t>985</w:t>
      </w:r>
      <w:r>
        <w:rPr>
          <w:rFonts w:hint="eastAsia"/>
          <w:color w:val="auto"/>
        </w:rPr>
        <w:t>年）：</w:t>
      </w:r>
      <w:r>
        <w:rPr>
          <w:color w:val="auto"/>
        </w:rPr>
        <w:t>1980年8月</w:t>
      </w:r>
      <w:r>
        <w:rPr>
          <w:rFonts w:hint="eastAsia"/>
          <w:color w:val="auto"/>
        </w:rPr>
        <w:t>，</w:t>
      </w:r>
      <w:r>
        <w:rPr>
          <w:color w:val="auto"/>
        </w:rPr>
        <w:t>党和国家批准在深圳、珠海、汕头、厦门设置经济特区，在四个经济特区中，深圳特区起步最早，这一阶段主要是集中力量进行大规模基本建设</w:t>
      </w:r>
      <w:r>
        <w:rPr>
          <w:rFonts w:hint="eastAsia"/>
          <w:color w:val="auto"/>
        </w:rPr>
        <w:t>；</w:t>
      </w:r>
    </w:p>
    <w:p>
      <w:pPr>
        <w:pStyle w:val="8"/>
        <w:rPr>
          <w:color w:val="auto"/>
        </w:rPr>
      </w:pPr>
      <w:r>
        <w:rPr>
          <w:rFonts w:hint="eastAsia"/>
          <w:color w:val="auto"/>
        </w:rPr>
        <w:t>第二阶段（1</w:t>
      </w:r>
      <w:r>
        <w:rPr>
          <w:color w:val="auto"/>
        </w:rPr>
        <w:t>986</w:t>
      </w:r>
      <w:r>
        <w:rPr>
          <w:rFonts w:hint="eastAsia"/>
          <w:color w:val="auto"/>
        </w:rPr>
        <w:t>-</w:t>
      </w:r>
      <w:r>
        <w:rPr>
          <w:color w:val="auto"/>
        </w:rPr>
        <w:t>1992</w:t>
      </w:r>
      <w:r>
        <w:rPr>
          <w:rFonts w:hint="eastAsia"/>
          <w:color w:val="auto"/>
        </w:rPr>
        <w:t>年）：深圳特区开始有了新目标，开始逐步完善投资环境，集中有效的做好“外引内联”，建成综合发展的外向型经济特区；</w:t>
      </w:r>
    </w:p>
    <w:p>
      <w:pPr>
        <w:pStyle w:val="8"/>
        <w:rPr>
          <w:color w:val="auto"/>
        </w:rPr>
      </w:pPr>
      <w:r>
        <w:rPr>
          <w:rFonts w:hint="eastAsia"/>
          <w:color w:val="auto"/>
        </w:rPr>
        <w:t>第三阶段（1</w:t>
      </w:r>
      <w:r>
        <w:rPr>
          <w:color w:val="auto"/>
        </w:rPr>
        <w:t>993</w:t>
      </w:r>
      <w:r>
        <w:rPr>
          <w:rFonts w:hint="eastAsia"/>
          <w:color w:val="auto"/>
        </w:rPr>
        <w:t>-</w:t>
      </w:r>
      <w:r>
        <w:rPr>
          <w:color w:val="auto"/>
        </w:rPr>
        <w:t>2002</w:t>
      </w:r>
      <w:r>
        <w:rPr>
          <w:rFonts w:hint="eastAsia"/>
          <w:color w:val="auto"/>
        </w:rPr>
        <w:t>年）：从中央赋予的经济特区优惠政策，转向依靠提升素质创新优势等方向发展；</w:t>
      </w:r>
    </w:p>
    <w:p>
      <w:pPr>
        <w:pStyle w:val="8"/>
        <w:rPr>
          <w:color w:val="auto"/>
        </w:rPr>
      </w:pPr>
      <w:r>
        <w:rPr>
          <w:rFonts w:hint="eastAsia"/>
          <w:color w:val="auto"/>
        </w:rPr>
        <w:t>第四阶段（</w:t>
      </w:r>
      <w:r>
        <w:rPr>
          <w:color w:val="auto"/>
        </w:rPr>
        <w:t>2003-2020年</w:t>
      </w:r>
      <w:r>
        <w:rPr>
          <w:rFonts w:hint="eastAsia"/>
          <w:color w:val="auto"/>
        </w:rPr>
        <w:t>）：开始提出新的建设目标，如建设和谐深圳、效益深圳的目标，全面落实了科学发展观的各项方针，</w:t>
      </w:r>
      <w:r>
        <w:rPr>
          <w:rFonts w:hint="eastAsia"/>
          <w:color w:val="auto"/>
          <w:lang w:val="en-US" w:eastAsia="zh-CN"/>
        </w:rPr>
        <w:t>以</w:t>
      </w:r>
      <w:r>
        <w:rPr>
          <w:rFonts w:hint="eastAsia"/>
          <w:color w:val="auto"/>
        </w:rPr>
        <w:t>习近平新时代中国特色社会主义思想统领深圳发展工作，在</w:t>
      </w:r>
      <w:r>
        <w:rPr>
          <w:color w:val="auto"/>
        </w:rPr>
        <w:t>2018</w:t>
      </w:r>
      <w:r>
        <w:rPr>
          <w:rFonts w:hint="eastAsia"/>
          <w:color w:val="auto"/>
        </w:rPr>
        <w:t>年国务院特批撤销了深圳特区的关内外管理线，深圳开始了全面发展。</w:t>
      </w:r>
    </w:p>
    <w:p>
      <w:pPr>
        <w:pStyle w:val="8"/>
        <w:rPr>
          <w:color w:val="auto"/>
        </w:rPr>
      </w:pPr>
      <w:r>
        <w:rPr>
          <w:rFonts w:hint="eastAsia"/>
          <w:color w:val="auto"/>
        </w:rPr>
        <w:t>按上述发展阶段划分，属于第一阶段的改革开放重要史迹有</w:t>
      </w:r>
      <w:r>
        <w:rPr>
          <w:color w:val="auto"/>
        </w:rPr>
        <w:t>15处，分别为南岭村（村委办公楼——会议室，社区党群服务中心）、竹园宾馆、三洋厂房（南海意库）、二线关同乐检查站、南海酒店（希尔顿酒店）、深圳大学（汇元楼、汇典楼与汇紫楼）、电子大厦、深圳新闻大厦、深圳罗湖口岸、孺子牛雕像、广东浮法玻璃厂（价值工厂）、</w:t>
      </w:r>
      <w:r>
        <w:rPr>
          <w:rFonts w:hint="eastAsia"/>
          <w:color w:val="auto"/>
        </w:rPr>
        <w:t>大成面粉厂、</w:t>
      </w:r>
      <w:r>
        <w:rPr>
          <w:color w:val="auto"/>
        </w:rPr>
        <w:t>深圳国贸大厦、上海宾馆和深圳图书馆旧馆；第二阶段的有11处，分别为锦绣中华民俗村（华侨城）、</w:t>
      </w:r>
      <w:r>
        <w:rPr>
          <w:rFonts w:hint="eastAsia" w:ascii="宋体" w:hAnsi="宋体" w:cs="宋体"/>
          <w:color w:val="auto"/>
          <w:kern w:val="0"/>
          <w:szCs w:val="21"/>
          <w:lang w:bidi="ar"/>
        </w:rPr>
        <w:t>“空谈误国，实干兴邦”标语牌、</w:t>
      </w:r>
      <w:r>
        <w:rPr>
          <w:color w:val="auto"/>
        </w:rPr>
        <w:t>深圳科学馆旧馆、大亚湾核电站、盐田港国际集装箱码头、深圳迎宾馆（桂园、兰园别墅）、深圳博物馆旧馆、深圳证券交易所（老</w:t>
      </w:r>
      <w:r>
        <w:rPr>
          <w:rFonts w:hint="eastAsia"/>
          <w:color w:val="auto"/>
        </w:rPr>
        <w:t>楼）、艺象</w:t>
      </w:r>
      <w:r>
        <w:rPr>
          <w:color w:val="auto"/>
        </w:rPr>
        <w:t>ID TOWN （原鸿华印染厂）、大芬油画村（胜发店铺、第一个油画坊）和沙头角保税区；第三阶段的有</w:t>
      </w:r>
      <w:r>
        <w:rPr>
          <w:rFonts w:hint="eastAsia"/>
          <w:color w:val="auto"/>
        </w:rPr>
        <w:t>5</w:t>
      </w:r>
      <w:r>
        <w:rPr>
          <w:color w:val="auto"/>
        </w:rPr>
        <w:t>处，分别为世界之窗、地王大厦、中英街历史博物馆、莲花山公园（邓小平</w:t>
      </w:r>
      <w:r>
        <w:rPr>
          <w:rFonts w:hint="eastAsia"/>
          <w:color w:val="auto"/>
          <w:lang w:eastAsia="zh-CN"/>
        </w:rPr>
        <w:t>铜像</w:t>
      </w:r>
      <w:r>
        <w:rPr>
          <w:color w:val="auto"/>
        </w:rPr>
        <w:t>）和深圳大学城；第四阶段的有3处，分别为深圳劳务工博物馆、前海石公园、袁庚像。除此之外，尚有8处的实际建设年代早于改革开放，分别为微波山时间广场、明华轮、深圳南头中学、深圳火车站、深圳渔民村、袁庚</w:t>
      </w:r>
      <w:r>
        <w:rPr>
          <w:rFonts w:hint="eastAsia"/>
          <w:color w:val="auto"/>
        </w:rPr>
        <w:t>祖居</w:t>
      </w:r>
      <w:r>
        <w:rPr>
          <w:color w:val="auto"/>
        </w:rPr>
        <w:t>、鹤薮小学、光明街道糖厂。</w:t>
      </w:r>
    </w:p>
    <w:p>
      <w:pPr>
        <w:pStyle w:val="8"/>
        <w:rPr>
          <w:color w:val="auto"/>
        </w:rPr>
      </w:pPr>
      <w:r>
        <w:rPr>
          <w:rFonts w:hint="eastAsia"/>
          <w:color w:val="auto"/>
        </w:rPr>
        <w:t>总体而言，位于深圳改革开放第一阶段、第二阶段的重要史迹居多，共占</w:t>
      </w:r>
      <w:r>
        <w:rPr>
          <w:color w:val="auto"/>
        </w:rPr>
        <w:t>60%</w:t>
      </w:r>
      <w:r>
        <w:rPr>
          <w:rFonts w:hint="eastAsia"/>
          <w:color w:val="auto"/>
        </w:rPr>
        <w:t>，见证了改革初始从无到有、蓬勃发展的城市建设，多为酒店、码头、工厂等，承载了深圳改革开放的重要历史记忆；选取的第三阶段和第四阶段的重要史迹相对较少，大部分以展示、纪念为主，如博物馆、雕像等。</w:t>
      </w:r>
    </w:p>
    <w:p>
      <w:pPr>
        <w:pStyle w:val="8"/>
        <w:rPr>
          <w:color w:val="auto"/>
        </w:rPr>
      </w:pPr>
      <w:r>
        <w:rPr>
          <w:rFonts w:hint="eastAsia"/>
          <w:color w:val="auto"/>
        </w:rPr>
        <w:t>（3）时空耦合分布特征</w:t>
      </w:r>
    </w:p>
    <w:p>
      <w:pPr>
        <w:pStyle w:val="8"/>
        <w:rPr>
          <w:color w:val="auto"/>
        </w:rPr>
      </w:pPr>
      <w:r>
        <w:rPr>
          <w:rFonts w:hint="eastAsia"/>
          <w:color w:val="auto"/>
        </w:rPr>
        <w:t>不同阶段的重要史迹呈现不同的空间分布特征。建于深圳改革开放之前的重要史迹分别位于南山区、罗湖区和大鹏新区，为后期改革开放重要事件的发生地、重要人物的活动地和重要精神的传播载体；建于深圳改革开放第一阶段的重要史迹主要位于南山区与福田区，罗湖区与龙岗区次之，多以工业厂房、办公楼、宾馆为主，见证了改革开放初期筚路蓝缕的奋斗历程；建于第二阶段的重要史迹平均分布于南山、罗湖、福田、盐田和龙港等五个区，类型多样，见证了经济特区改革开放事业多领域的齐头并进；建于第三阶段的重要史迹主要分布于南山、罗湖、福田、盐田等区，见证了深圳改革开放的进一步提升；建于第四阶段的重要史迹分布于南山区和宝安区，是深圳市改革开放初心如磐、面向未来的重要见证。</w:t>
      </w:r>
    </w:p>
    <w:p>
      <w:pPr>
        <w:pStyle w:val="4"/>
        <w:rPr>
          <w:color w:val="auto"/>
        </w:rPr>
      </w:pPr>
      <w:r>
        <w:rPr>
          <w:color w:val="auto"/>
        </w:rPr>
        <w:t xml:space="preserve">2.3.2 </w:t>
      </w:r>
      <w:r>
        <w:rPr>
          <w:rFonts w:hint="eastAsia"/>
          <w:color w:val="auto"/>
        </w:rPr>
        <w:t>重要史迹的功能类型</w:t>
      </w:r>
    </w:p>
    <w:p>
      <w:pPr>
        <w:pStyle w:val="8"/>
        <w:rPr>
          <w:color w:val="auto"/>
        </w:rPr>
      </w:pPr>
      <w:r>
        <w:rPr>
          <w:rFonts w:hint="eastAsia"/>
          <w:color w:val="auto"/>
        </w:rPr>
        <w:t>（1）现状使用</w:t>
      </w:r>
      <w:r>
        <w:rPr>
          <w:color w:val="auto"/>
        </w:rPr>
        <w:t>功能</w:t>
      </w:r>
    </w:p>
    <w:p>
      <w:pPr>
        <w:pStyle w:val="8"/>
        <w:rPr>
          <w:color w:val="auto"/>
        </w:rPr>
      </w:pPr>
      <w:r>
        <w:rPr>
          <w:rFonts w:hint="eastAsia"/>
          <w:color w:val="auto"/>
        </w:rPr>
        <w:t>重要史迹的使用功能大致有分为五类：居住建筑、公共建筑、工农业建筑、广场公园、标识小品。在现状使用功能中，其中居住建筑共1处，公共建筑</w:t>
      </w:r>
      <w:r>
        <w:rPr>
          <w:color w:val="auto"/>
        </w:rPr>
        <w:t>27</w:t>
      </w:r>
      <w:r>
        <w:rPr>
          <w:rFonts w:hint="eastAsia"/>
          <w:color w:val="auto"/>
        </w:rPr>
        <w:t>处，工农业建筑</w:t>
      </w:r>
      <w:r>
        <w:rPr>
          <w:color w:val="auto"/>
        </w:rPr>
        <w:t>3</w:t>
      </w:r>
      <w:r>
        <w:rPr>
          <w:rFonts w:hint="eastAsia"/>
          <w:color w:val="auto"/>
        </w:rPr>
        <w:t>处，标识小品4处，广场公园2处，闲置5处。史迹中公共建筑数量最多，公共建筑使用功能分为行政办公、文教、科研、医疗、商业、观览、体育、旅馆、交通、通信广播、园林、纪念性碑、雕像等。各个史迹点详细功能详见下表。</w:t>
      </w:r>
    </w:p>
    <w:p>
      <w:pPr>
        <w:pStyle w:val="8"/>
        <w:rPr>
          <w:color w:val="auto"/>
        </w:rPr>
      </w:pPr>
      <w:r>
        <w:rPr>
          <w:rFonts w:hint="eastAsia"/>
          <w:color w:val="auto"/>
        </w:rPr>
        <w:t>（2）原使用功能</w:t>
      </w:r>
    </w:p>
    <w:p>
      <w:pPr>
        <w:pStyle w:val="8"/>
        <w:rPr>
          <w:color w:val="auto"/>
        </w:rPr>
      </w:pPr>
      <w:r>
        <w:rPr>
          <w:rFonts w:hint="eastAsia"/>
          <w:color w:val="auto"/>
        </w:rPr>
        <w:t>在原使用功能中，居住建筑</w:t>
      </w:r>
      <w:r>
        <w:rPr>
          <w:color w:val="auto"/>
        </w:rPr>
        <w:t>2</w:t>
      </w:r>
      <w:r>
        <w:rPr>
          <w:rFonts w:hint="eastAsia"/>
          <w:color w:val="auto"/>
        </w:rPr>
        <w:t>处，公共建筑</w:t>
      </w:r>
      <w:r>
        <w:rPr>
          <w:color w:val="auto"/>
        </w:rPr>
        <w:t>27</w:t>
      </w:r>
      <w:r>
        <w:rPr>
          <w:rFonts w:hint="eastAsia"/>
          <w:color w:val="auto"/>
        </w:rPr>
        <w:t>处，工业建筑</w:t>
      </w:r>
      <w:r>
        <w:rPr>
          <w:color w:val="auto"/>
        </w:rPr>
        <w:t>7</w:t>
      </w:r>
      <w:r>
        <w:rPr>
          <w:rFonts w:hint="eastAsia"/>
          <w:color w:val="auto"/>
        </w:rPr>
        <w:t>处，小品4处，广场公园</w:t>
      </w:r>
      <w:r>
        <w:rPr>
          <w:color w:val="auto"/>
        </w:rPr>
        <w:t>2</w:t>
      </w:r>
      <w:r>
        <w:rPr>
          <w:rFonts w:hint="eastAsia"/>
          <w:color w:val="auto"/>
        </w:rPr>
        <w:t>处。详见下表。</w:t>
      </w:r>
    </w:p>
    <w:p>
      <w:pPr>
        <w:pStyle w:val="8"/>
        <w:jc w:val="center"/>
        <w:rPr>
          <w:color w:val="auto"/>
        </w:rPr>
      </w:pPr>
      <w:r>
        <w:rPr>
          <w:rFonts w:hint="eastAsia"/>
          <w:color w:val="auto"/>
        </w:rPr>
        <w:t>表2-</w:t>
      </w:r>
      <w:r>
        <w:rPr>
          <w:color w:val="auto"/>
        </w:rPr>
        <w:t xml:space="preserve">2 </w:t>
      </w:r>
      <w:r>
        <w:rPr>
          <w:rFonts w:hint="eastAsia"/>
          <w:color w:val="auto"/>
        </w:rPr>
        <w:t>深圳市改革开放重要史迹功能类型统计表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693"/>
        <w:gridCol w:w="2835"/>
        <w:gridCol w:w="3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71" w:type="dxa"/>
            <w:shd w:val="clear" w:color="auto" w:fill="D8D8D8" w:themeFill="background1" w:themeFillShade="D9"/>
            <w:vAlign w:val="center"/>
          </w:tcPr>
          <w:p>
            <w:pPr>
              <w:pStyle w:val="8"/>
              <w:ind w:firstLine="0" w:firstLineChars="0"/>
              <w:jc w:val="center"/>
              <w:rPr>
                <w:b/>
                <w:color w:val="auto"/>
                <w:sz w:val="22"/>
              </w:rPr>
            </w:pPr>
            <w:r>
              <w:rPr>
                <w:rFonts w:hint="eastAsia"/>
                <w:b/>
                <w:color w:val="auto"/>
                <w:sz w:val="22"/>
              </w:rPr>
              <w:t>区位</w:t>
            </w:r>
          </w:p>
        </w:tc>
        <w:tc>
          <w:tcPr>
            <w:tcW w:w="2693" w:type="dxa"/>
            <w:shd w:val="clear" w:color="auto" w:fill="D8D8D8" w:themeFill="background1" w:themeFillShade="D9"/>
            <w:noWrap/>
            <w:vAlign w:val="center"/>
          </w:tcPr>
          <w:p>
            <w:pPr>
              <w:pStyle w:val="8"/>
              <w:ind w:firstLine="0" w:firstLineChars="0"/>
              <w:jc w:val="center"/>
              <w:rPr>
                <w:b/>
                <w:color w:val="auto"/>
                <w:sz w:val="22"/>
              </w:rPr>
            </w:pPr>
            <w:r>
              <w:rPr>
                <w:rFonts w:hint="eastAsia"/>
                <w:b/>
                <w:color w:val="auto"/>
                <w:sz w:val="22"/>
              </w:rPr>
              <w:t>史迹点名称</w:t>
            </w:r>
          </w:p>
        </w:tc>
        <w:tc>
          <w:tcPr>
            <w:tcW w:w="2835" w:type="dxa"/>
            <w:shd w:val="clear" w:color="auto" w:fill="D8D8D8" w:themeFill="background1" w:themeFillShade="D9"/>
            <w:vAlign w:val="center"/>
          </w:tcPr>
          <w:p>
            <w:pPr>
              <w:pStyle w:val="8"/>
              <w:ind w:firstLine="0" w:firstLineChars="0"/>
              <w:jc w:val="center"/>
              <w:rPr>
                <w:color w:val="auto"/>
                <w:sz w:val="22"/>
              </w:rPr>
            </w:pPr>
            <w:r>
              <w:rPr>
                <w:rFonts w:hint="eastAsia"/>
                <w:b/>
                <w:color w:val="auto"/>
                <w:sz w:val="22"/>
              </w:rPr>
              <w:t>现状使用功能</w:t>
            </w:r>
          </w:p>
        </w:tc>
        <w:tc>
          <w:tcPr>
            <w:tcW w:w="3131" w:type="dxa"/>
            <w:shd w:val="clear" w:color="auto" w:fill="D8D8D8" w:themeFill="background1" w:themeFillShade="D9"/>
            <w:vAlign w:val="center"/>
          </w:tcPr>
          <w:p>
            <w:pPr>
              <w:pStyle w:val="8"/>
              <w:ind w:firstLine="0" w:firstLineChars="0"/>
              <w:jc w:val="center"/>
              <w:rPr>
                <w:b/>
                <w:color w:val="auto"/>
                <w:sz w:val="22"/>
              </w:rPr>
            </w:pPr>
            <w:r>
              <w:rPr>
                <w:rFonts w:hint="eastAsia"/>
                <w:b/>
                <w:color w:val="auto"/>
                <w:sz w:val="22"/>
              </w:rPr>
              <w:t>原使用功能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restart"/>
            <w:noWrap/>
            <w:vAlign w:val="center"/>
          </w:tcPr>
          <w:p>
            <w:pPr>
              <w:pStyle w:val="8"/>
              <w:ind w:firstLine="0" w:firstLineChars="0"/>
              <w:jc w:val="center"/>
              <w:rPr>
                <w:color w:val="auto"/>
                <w:sz w:val="22"/>
              </w:rPr>
            </w:pPr>
            <w:r>
              <w:rPr>
                <w:rFonts w:hint="eastAsia"/>
                <w:color w:val="auto"/>
                <w:sz w:val="22"/>
              </w:rPr>
              <w:t>南山区</w:t>
            </w:r>
          </w:p>
        </w:tc>
        <w:tc>
          <w:tcPr>
            <w:tcW w:w="2693" w:type="dxa"/>
            <w:noWrap/>
            <w:vAlign w:val="center"/>
          </w:tcPr>
          <w:p>
            <w:pPr>
              <w:pStyle w:val="8"/>
              <w:ind w:firstLine="0" w:firstLineChars="0"/>
              <w:jc w:val="left"/>
              <w:rPr>
                <w:color w:val="auto"/>
                <w:sz w:val="22"/>
              </w:rPr>
            </w:pPr>
            <w:r>
              <w:rPr>
                <w:rFonts w:hint="eastAsia"/>
                <w:color w:val="auto"/>
                <w:sz w:val="22"/>
              </w:rPr>
              <w:t>大成面粉厂</w:t>
            </w:r>
          </w:p>
        </w:tc>
        <w:tc>
          <w:tcPr>
            <w:tcW w:w="2835" w:type="dxa"/>
            <w:noWrap/>
            <w:vAlign w:val="center"/>
          </w:tcPr>
          <w:p>
            <w:pPr>
              <w:pStyle w:val="8"/>
              <w:ind w:firstLine="0" w:firstLineChars="0"/>
              <w:jc w:val="left"/>
              <w:rPr>
                <w:color w:val="auto"/>
                <w:sz w:val="22"/>
              </w:rPr>
            </w:pPr>
            <w:r>
              <w:rPr>
                <w:rFonts w:hint="eastAsia"/>
                <w:color w:val="auto"/>
                <w:sz w:val="22"/>
              </w:rPr>
              <w:t>闲置</w:t>
            </w:r>
          </w:p>
        </w:tc>
        <w:tc>
          <w:tcPr>
            <w:tcW w:w="3131" w:type="dxa"/>
            <w:vAlign w:val="center"/>
          </w:tcPr>
          <w:p>
            <w:pPr>
              <w:pStyle w:val="8"/>
              <w:ind w:firstLine="0" w:firstLineChars="0"/>
              <w:jc w:val="left"/>
              <w:rPr>
                <w:color w:val="auto"/>
                <w:sz w:val="22"/>
              </w:rPr>
            </w:pPr>
            <w:r>
              <w:rPr>
                <w:rFonts w:hint="eastAsia"/>
                <w:color w:val="auto"/>
                <w:sz w:val="22"/>
              </w:rPr>
              <w:t>工农业建筑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271" w:type="dxa"/>
            <w:vMerge w:val="continue"/>
            <w:vAlign w:val="center"/>
          </w:tcPr>
          <w:p>
            <w:pPr>
              <w:pStyle w:val="8"/>
              <w:ind w:firstLine="440"/>
              <w:jc w:val="center"/>
              <w:rPr>
                <w:color w:val="auto"/>
                <w:sz w:val="22"/>
              </w:rPr>
            </w:pPr>
          </w:p>
        </w:tc>
        <w:tc>
          <w:tcPr>
            <w:tcW w:w="2693" w:type="dxa"/>
            <w:vAlign w:val="center"/>
          </w:tcPr>
          <w:p>
            <w:pPr>
              <w:pStyle w:val="8"/>
              <w:ind w:firstLine="0" w:firstLineChars="0"/>
              <w:jc w:val="left"/>
              <w:rPr>
                <w:color w:val="auto"/>
                <w:sz w:val="22"/>
              </w:rPr>
            </w:pPr>
            <w:r>
              <w:rPr>
                <w:rFonts w:hint="eastAsia"/>
                <w:color w:val="auto"/>
                <w:sz w:val="22"/>
              </w:rPr>
              <w:t>广东浮法玻璃厂（价值</w:t>
            </w:r>
          </w:p>
          <w:p>
            <w:pPr>
              <w:pStyle w:val="8"/>
              <w:ind w:firstLine="0" w:firstLineChars="0"/>
              <w:jc w:val="left"/>
              <w:rPr>
                <w:color w:val="auto"/>
                <w:sz w:val="22"/>
              </w:rPr>
            </w:pPr>
            <w:r>
              <w:rPr>
                <w:rFonts w:hint="eastAsia"/>
                <w:color w:val="auto"/>
                <w:sz w:val="22"/>
              </w:rPr>
              <w:t>工厂）</w:t>
            </w:r>
          </w:p>
        </w:tc>
        <w:tc>
          <w:tcPr>
            <w:tcW w:w="2835" w:type="dxa"/>
            <w:noWrap/>
            <w:vAlign w:val="center"/>
          </w:tcPr>
          <w:p>
            <w:pPr>
              <w:pStyle w:val="8"/>
              <w:ind w:firstLine="0" w:firstLineChars="0"/>
              <w:jc w:val="left"/>
              <w:rPr>
                <w:color w:val="auto"/>
                <w:sz w:val="22"/>
              </w:rPr>
            </w:pPr>
            <w:r>
              <w:rPr>
                <w:rFonts w:hint="eastAsia"/>
                <w:color w:val="auto"/>
                <w:sz w:val="22"/>
              </w:rPr>
              <w:t>公共建筑（观览）</w:t>
            </w:r>
          </w:p>
        </w:tc>
        <w:tc>
          <w:tcPr>
            <w:tcW w:w="3131" w:type="dxa"/>
            <w:vAlign w:val="center"/>
          </w:tcPr>
          <w:p>
            <w:pPr>
              <w:pStyle w:val="8"/>
              <w:ind w:firstLine="0" w:firstLineChars="0"/>
              <w:jc w:val="left"/>
              <w:rPr>
                <w:color w:val="auto"/>
                <w:sz w:val="22"/>
              </w:rPr>
            </w:pPr>
            <w:r>
              <w:rPr>
                <w:rFonts w:hint="eastAsia"/>
                <w:color w:val="auto"/>
                <w:sz w:val="22"/>
              </w:rPr>
              <w:t>工农业建筑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vAlign w:val="center"/>
          </w:tcPr>
          <w:p>
            <w:pPr>
              <w:pStyle w:val="8"/>
              <w:ind w:firstLine="0" w:firstLineChars="0"/>
              <w:jc w:val="left"/>
              <w:rPr>
                <w:color w:val="auto"/>
                <w:sz w:val="22"/>
              </w:rPr>
            </w:pPr>
            <w:r>
              <w:rPr>
                <w:rFonts w:hint="eastAsia"/>
                <w:color w:val="auto"/>
                <w:sz w:val="22"/>
              </w:rPr>
              <w:t>“空谈误国，实干兴邦”标语牌</w:t>
            </w:r>
          </w:p>
        </w:tc>
        <w:tc>
          <w:tcPr>
            <w:tcW w:w="2835" w:type="dxa"/>
            <w:noWrap/>
            <w:vAlign w:val="center"/>
          </w:tcPr>
          <w:p>
            <w:pPr>
              <w:pStyle w:val="8"/>
              <w:ind w:firstLine="0" w:firstLineChars="0"/>
              <w:jc w:val="left"/>
              <w:rPr>
                <w:color w:val="auto"/>
                <w:sz w:val="22"/>
              </w:rPr>
            </w:pPr>
            <w:r>
              <w:rPr>
                <w:rFonts w:hint="eastAsia"/>
                <w:color w:val="auto"/>
              </w:rPr>
              <w:t>标识小品</w:t>
            </w:r>
          </w:p>
        </w:tc>
        <w:tc>
          <w:tcPr>
            <w:tcW w:w="3131" w:type="dxa"/>
            <w:vAlign w:val="center"/>
          </w:tcPr>
          <w:p>
            <w:pPr>
              <w:pStyle w:val="8"/>
              <w:ind w:firstLine="0" w:firstLineChars="0"/>
              <w:jc w:val="left"/>
              <w:rPr>
                <w:color w:val="auto"/>
                <w:sz w:val="22"/>
              </w:rPr>
            </w:pPr>
            <w:r>
              <w:rPr>
                <w:rFonts w:hint="eastAsia"/>
                <w:color w:val="auto"/>
              </w:rPr>
              <w:t>小品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noWrap/>
            <w:vAlign w:val="center"/>
          </w:tcPr>
          <w:p>
            <w:pPr>
              <w:pStyle w:val="8"/>
              <w:ind w:firstLine="0" w:firstLineChars="0"/>
              <w:jc w:val="left"/>
              <w:rPr>
                <w:color w:val="auto"/>
                <w:sz w:val="22"/>
              </w:rPr>
            </w:pPr>
            <w:r>
              <w:rPr>
                <w:rFonts w:hint="eastAsia"/>
                <w:color w:val="auto"/>
                <w:sz w:val="22"/>
              </w:rPr>
              <w:t>明华轮</w:t>
            </w:r>
          </w:p>
        </w:tc>
        <w:tc>
          <w:tcPr>
            <w:tcW w:w="2835" w:type="dxa"/>
            <w:noWrap/>
            <w:vAlign w:val="center"/>
          </w:tcPr>
          <w:p>
            <w:pPr>
              <w:pStyle w:val="8"/>
              <w:ind w:firstLine="0" w:firstLineChars="0"/>
              <w:jc w:val="left"/>
              <w:rPr>
                <w:color w:val="auto"/>
                <w:sz w:val="22"/>
              </w:rPr>
            </w:pPr>
            <w:r>
              <w:rPr>
                <w:rFonts w:hint="eastAsia"/>
                <w:color w:val="auto"/>
                <w:sz w:val="22"/>
              </w:rPr>
              <w:t>公共建筑（商业、旅馆）</w:t>
            </w:r>
          </w:p>
        </w:tc>
        <w:tc>
          <w:tcPr>
            <w:tcW w:w="3131" w:type="dxa"/>
            <w:vAlign w:val="center"/>
          </w:tcPr>
          <w:p>
            <w:pPr>
              <w:pStyle w:val="8"/>
              <w:ind w:firstLine="0" w:firstLineChars="0"/>
              <w:jc w:val="left"/>
              <w:rPr>
                <w:color w:val="auto"/>
                <w:sz w:val="22"/>
              </w:rPr>
            </w:pPr>
            <w:r>
              <w:rPr>
                <w:rFonts w:hint="eastAsia"/>
                <w:color w:val="auto"/>
                <w:sz w:val="22"/>
              </w:rPr>
              <w:t>公共建筑（交通）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271" w:type="dxa"/>
            <w:vMerge w:val="continue"/>
            <w:vAlign w:val="center"/>
          </w:tcPr>
          <w:p>
            <w:pPr>
              <w:pStyle w:val="8"/>
              <w:ind w:firstLine="440"/>
              <w:jc w:val="center"/>
              <w:rPr>
                <w:color w:val="auto"/>
                <w:sz w:val="22"/>
              </w:rPr>
            </w:pPr>
          </w:p>
        </w:tc>
        <w:tc>
          <w:tcPr>
            <w:tcW w:w="2693" w:type="dxa"/>
            <w:vAlign w:val="center"/>
          </w:tcPr>
          <w:p>
            <w:pPr>
              <w:pStyle w:val="8"/>
              <w:ind w:firstLine="0" w:firstLineChars="0"/>
              <w:jc w:val="left"/>
              <w:rPr>
                <w:color w:val="auto"/>
                <w:sz w:val="22"/>
              </w:rPr>
            </w:pPr>
            <w:r>
              <w:rPr>
                <w:rFonts w:hint="eastAsia"/>
                <w:color w:val="auto"/>
                <w:sz w:val="22"/>
              </w:rPr>
              <w:t>南海酒店（希尔顿酒店）</w:t>
            </w:r>
          </w:p>
        </w:tc>
        <w:tc>
          <w:tcPr>
            <w:tcW w:w="2835" w:type="dxa"/>
            <w:noWrap/>
            <w:vAlign w:val="center"/>
          </w:tcPr>
          <w:p>
            <w:pPr>
              <w:pStyle w:val="8"/>
              <w:ind w:firstLine="0" w:firstLineChars="0"/>
              <w:jc w:val="left"/>
              <w:rPr>
                <w:color w:val="auto"/>
                <w:sz w:val="22"/>
              </w:rPr>
            </w:pPr>
            <w:r>
              <w:rPr>
                <w:rFonts w:hint="eastAsia"/>
                <w:color w:val="auto"/>
                <w:sz w:val="22"/>
              </w:rPr>
              <w:t>公共建筑（旅馆）</w:t>
            </w:r>
          </w:p>
        </w:tc>
        <w:tc>
          <w:tcPr>
            <w:tcW w:w="3131" w:type="dxa"/>
            <w:vAlign w:val="center"/>
          </w:tcPr>
          <w:p>
            <w:pPr>
              <w:pStyle w:val="8"/>
              <w:ind w:firstLine="0" w:firstLineChars="0"/>
              <w:jc w:val="left"/>
              <w:rPr>
                <w:color w:val="auto"/>
                <w:sz w:val="22"/>
              </w:rPr>
            </w:pPr>
            <w:r>
              <w:rPr>
                <w:rFonts w:hint="eastAsia"/>
                <w:color w:val="auto"/>
                <w:sz w:val="22"/>
              </w:rPr>
              <w:t>公共建筑（旅馆）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271" w:type="dxa"/>
            <w:vMerge w:val="continue"/>
            <w:vAlign w:val="center"/>
          </w:tcPr>
          <w:p>
            <w:pPr>
              <w:pStyle w:val="8"/>
              <w:ind w:firstLine="440"/>
              <w:jc w:val="center"/>
              <w:rPr>
                <w:color w:val="auto"/>
                <w:sz w:val="22"/>
              </w:rPr>
            </w:pPr>
          </w:p>
        </w:tc>
        <w:tc>
          <w:tcPr>
            <w:tcW w:w="2693" w:type="dxa"/>
            <w:vAlign w:val="center"/>
          </w:tcPr>
          <w:p>
            <w:pPr>
              <w:pStyle w:val="8"/>
              <w:ind w:firstLine="0" w:firstLineChars="0"/>
              <w:jc w:val="left"/>
              <w:rPr>
                <w:color w:val="auto"/>
                <w:sz w:val="22"/>
              </w:rPr>
            </w:pPr>
            <w:r>
              <w:rPr>
                <w:rFonts w:hint="eastAsia"/>
                <w:color w:val="auto"/>
                <w:sz w:val="22"/>
              </w:rPr>
              <w:t>三洋厂房（南海意库）</w:t>
            </w:r>
          </w:p>
        </w:tc>
        <w:tc>
          <w:tcPr>
            <w:tcW w:w="2835" w:type="dxa"/>
            <w:noWrap/>
            <w:vAlign w:val="center"/>
          </w:tcPr>
          <w:p>
            <w:pPr>
              <w:pStyle w:val="8"/>
              <w:ind w:firstLine="0" w:firstLineChars="0"/>
              <w:jc w:val="left"/>
              <w:rPr>
                <w:color w:val="auto"/>
                <w:sz w:val="22"/>
              </w:rPr>
            </w:pPr>
            <w:r>
              <w:rPr>
                <w:rFonts w:hint="eastAsia"/>
                <w:color w:val="auto"/>
                <w:sz w:val="22"/>
              </w:rPr>
              <w:t>工农业建筑</w:t>
            </w:r>
          </w:p>
        </w:tc>
        <w:tc>
          <w:tcPr>
            <w:tcW w:w="3131" w:type="dxa"/>
            <w:vAlign w:val="center"/>
          </w:tcPr>
          <w:p>
            <w:pPr>
              <w:pStyle w:val="8"/>
              <w:ind w:firstLine="0" w:firstLineChars="0"/>
              <w:jc w:val="left"/>
              <w:rPr>
                <w:color w:val="auto"/>
                <w:sz w:val="22"/>
              </w:rPr>
            </w:pPr>
            <w:r>
              <w:rPr>
                <w:rFonts w:hint="eastAsia"/>
                <w:color w:val="auto"/>
                <w:sz w:val="22"/>
              </w:rPr>
              <w:t>公共建筑（商业）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271" w:type="dxa"/>
            <w:vMerge w:val="continue"/>
            <w:vAlign w:val="center"/>
          </w:tcPr>
          <w:p>
            <w:pPr>
              <w:pStyle w:val="8"/>
              <w:ind w:firstLine="440"/>
              <w:jc w:val="center"/>
              <w:rPr>
                <w:color w:val="auto"/>
                <w:sz w:val="22"/>
              </w:rPr>
            </w:pPr>
          </w:p>
        </w:tc>
        <w:tc>
          <w:tcPr>
            <w:tcW w:w="2693" w:type="dxa"/>
            <w:vAlign w:val="center"/>
          </w:tcPr>
          <w:p>
            <w:pPr>
              <w:pStyle w:val="8"/>
              <w:ind w:firstLine="0" w:firstLineChars="0"/>
              <w:jc w:val="left"/>
              <w:rPr>
                <w:color w:val="auto"/>
                <w:sz w:val="22"/>
              </w:rPr>
            </w:pPr>
            <w:r>
              <w:rPr>
                <w:rFonts w:hint="eastAsia"/>
                <w:color w:val="auto"/>
                <w:sz w:val="22"/>
              </w:rPr>
              <w:t>深圳大学（汇元楼、汇典楼与汇紫楼）</w:t>
            </w:r>
          </w:p>
        </w:tc>
        <w:tc>
          <w:tcPr>
            <w:tcW w:w="2835" w:type="dxa"/>
            <w:noWrap/>
            <w:vAlign w:val="center"/>
          </w:tcPr>
          <w:p>
            <w:pPr>
              <w:pStyle w:val="8"/>
              <w:ind w:firstLine="0" w:firstLineChars="0"/>
              <w:jc w:val="left"/>
              <w:rPr>
                <w:color w:val="auto"/>
                <w:sz w:val="22"/>
              </w:rPr>
            </w:pPr>
            <w:r>
              <w:rPr>
                <w:rFonts w:hint="eastAsia"/>
                <w:color w:val="auto"/>
                <w:sz w:val="22"/>
              </w:rPr>
              <w:t>公共建筑（文教）</w:t>
            </w:r>
          </w:p>
        </w:tc>
        <w:tc>
          <w:tcPr>
            <w:tcW w:w="3131" w:type="dxa"/>
            <w:vAlign w:val="center"/>
          </w:tcPr>
          <w:p>
            <w:pPr>
              <w:pStyle w:val="8"/>
              <w:ind w:firstLine="0" w:firstLineChars="0"/>
              <w:jc w:val="left"/>
              <w:rPr>
                <w:color w:val="auto"/>
                <w:sz w:val="22"/>
              </w:rPr>
            </w:pPr>
            <w:r>
              <w:rPr>
                <w:rFonts w:hint="eastAsia"/>
                <w:color w:val="auto"/>
                <w:sz w:val="22"/>
              </w:rPr>
              <w:t>公共建筑（文教）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vAlign w:val="center"/>
          </w:tcPr>
          <w:p>
            <w:pPr>
              <w:pStyle w:val="8"/>
              <w:ind w:firstLine="0" w:firstLineChars="0"/>
              <w:jc w:val="left"/>
              <w:rPr>
                <w:color w:val="auto"/>
                <w:sz w:val="22"/>
              </w:rPr>
            </w:pPr>
            <w:r>
              <w:rPr>
                <w:rFonts w:hint="eastAsia"/>
                <w:color w:val="auto"/>
                <w:sz w:val="22"/>
              </w:rPr>
              <w:t>微波山时间广场</w:t>
            </w:r>
          </w:p>
        </w:tc>
        <w:tc>
          <w:tcPr>
            <w:tcW w:w="2835" w:type="dxa"/>
            <w:noWrap/>
            <w:vAlign w:val="center"/>
          </w:tcPr>
          <w:p>
            <w:pPr>
              <w:pStyle w:val="8"/>
              <w:ind w:firstLine="0" w:firstLineChars="0"/>
              <w:jc w:val="left"/>
              <w:rPr>
                <w:color w:val="auto"/>
                <w:sz w:val="22"/>
              </w:rPr>
            </w:pPr>
            <w:r>
              <w:rPr>
                <w:rFonts w:hint="eastAsia"/>
                <w:color w:val="auto"/>
                <w:sz w:val="22"/>
              </w:rPr>
              <w:t>广场公园</w:t>
            </w:r>
          </w:p>
        </w:tc>
        <w:tc>
          <w:tcPr>
            <w:tcW w:w="3131" w:type="dxa"/>
            <w:vAlign w:val="center"/>
          </w:tcPr>
          <w:p>
            <w:pPr>
              <w:pStyle w:val="8"/>
              <w:ind w:firstLine="0" w:firstLineChars="0"/>
              <w:jc w:val="left"/>
              <w:rPr>
                <w:color w:val="auto"/>
                <w:sz w:val="22"/>
              </w:rPr>
            </w:pPr>
            <w:r>
              <w:rPr>
                <w:rFonts w:hint="eastAsia"/>
                <w:color w:val="auto"/>
                <w:sz w:val="22"/>
              </w:rPr>
              <w:t>广场公园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noWrap/>
            <w:vAlign w:val="center"/>
          </w:tcPr>
          <w:p>
            <w:pPr>
              <w:pStyle w:val="8"/>
              <w:ind w:firstLine="0" w:firstLineChars="0"/>
              <w:jc w:val="left"/>
              <w:rPr>
                <w:color w:val="auto"/>
                <w:sz w:val="22"/>
              </w:rPr>
            </w:pPr>
            <w:r>
              <w:rPr>
                <w:rFonts w:hint="eastAsia"/>
                <w:color w:val="auto"/>
                <w:sz w:val="22"/>
              </w:rPr>
              <w:t>袁庚像</w:t>
            </w:r>
          </w:p>
        </w:tc>
        <w:tc>
          <w:tcPr>
            <w:tcW w:w="2835" w:type="dxa"/>
            <w:noWrap/>
            <w:vAlign w:val="center"/>
          </w:tcPr>
          <w:p>
            <w:pPr>
              <w:pStyle w:val="8"/>
              <w:ind w:firstLine="0" w:firstLineChars="0"/>
              <w:jc w:val="left"/>
              <w:rPr>
                <w:color w:val="auto"/>
                <w:sz w:val="22"/>
              </w:rPr>
            </w:pPr>
            <w:r>
              <w:rPr>
                <w:rFonts w:hint="eastAsia"/>
                <w:color w:val="auto"/>
              </w:rPr>
              <w:t>标识小品</w:t>
            </w:r>
          </w:p>
        </w:tc>
        <w:tc>
          <w:tcPr>
            <w:tcW w:w="3131" w:type="dxa"/>
            <w:vAlign w:val="center"/>
          </w:tcPr>
          <w:p>
            <w:pPr>
              <w:pStyle w:val="8"/>
              <w:ind w:firstLine="0" w:firstLineChars="0"/>
              <w:jc w:val="left"/>
              <w:rPr>
                <w:color w:val="auto"/>
                <w:sz w:val="22"/>
              </w:rPr>
            </w:pPr>
            <w:r>
              <w:rPr>
                <w:rFonts w:hint="eastAsia"/>
                <w:color w:val="auto"/>
              </w:rPr>
              <w:t>标识小品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271" w:type="dxa"/>
            <w:vMerge w:val="continue"/>
            <w:vAlign w:val="center"/>
          </w:tcPr>
          <w:p>
            <w:pPr>
              <w:pStyle w:val="8"/>
              <w:ind w:firstLine="440"/>
              <w:jc w:val="center"/>
              <w:rPr>
                <w:color w:val="auto"/>
                <w:sz w:val="22"/>
              </w:rPr>
            </w:pPr>
          </w:p>
        </w:tc>
        <w:tc>
          <w:tcPr>
            <w:tcW w:w="2693" w:type="dxa"/>
            <w:vAlign w:val="center"/>
          </w:tcPr>
          <w:p>
            <w:pPr>
              <w:pStyle w:val="8"/>
              <w:ind w:firstLine="0" w:firstLineChars="0"/>
              <w:jc w:val="left"/>
              <w:rPr>
                <w:color w:val="auto"/>
                <w:sz w:val="22"/>
              </w:rPr>
            </w:pPr>
            <w:r>
              <w:rPr>
                <w:rFonts w:hint="eastAsia"/>
                <w:color w:val="auto"/>
                <w:sz w:val="22"/>
              </w:rPr>
              <w:t>锦绣中华民俗村（华侨城）</w:t>
            </w:r>
          </w:p>
        </w:tc>
        <w:tc>
          <w:tcPr>
            <w:tcW w:w="2835" w:type="dxa"/>
            <w:noWrap/>
            <w:vAlign w:val="center"/>
          </w:tcPr>
          <w:p>
            <w:pPr>
              <w:pStyle w:val="8"/>
              <w:ind w:firstLine="0" w:firstLineChars="0"/>
              <w:jc w:val="left"/>
              <w:rPr>
                <w:color w:val="auto"/>
                <w:sz w:val="22"/>
              </w:rPr>
            </w:pPr>
            <w:r>
              <w:rPr>
                <w:rFonts w:hint="eastAsia"/>
                <w:color w:val="auto"/>
                <w:sz w:val="22"/>
              </w:rPr>
              <w:t>公共建筑（观览）</w:t>
            </w:r>
          </w:p>
        </w:tc>
        <w:tc>
          <w:tcPr>
            <w:tcW w:w="3131" w:type="dxa"/>
            <w:vAlign w:val="center"/>
          </w:tcPr>
          <w:p>
            <w:pPr>
              <w:pStyle w:val="8"/>
              <w:ind w:firstLine="0" w:firstLineChars="0"/>
              <w:jc w:val="left"/>
              <w:rPr>
                <w:color w:val="auto"/>
                <w:sz w:val="22"/>
              </w:rPr>
            </w:pPr>
            <w:r>
              <w:rPr>
                <w:rFonts w:hint="eastAsia"/>
                <w:color w:val="auto"/>
                <w:sz w:val="22"/>
              </w:rPr>
              <w:t>公共建筑（观览）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noWrap/>
            <w:vAlign w:val="center"/>
          </w:tcPr>
          <w:p>
            <w:pPr>
              <w:pStyle w:val="8"/>
              <w:ind w:firstLine="0" w:firstLineChars="0"/>
              <w:jc w:val="left"/>
              <w:rPr>
                <w:color w:val="auto"/>
                <w:sz w:val="22"/>
              </w:rPr>
            </w:pPr>
            <w:r>
              <w:rPr>
                <w:rFonts w:hint="eastAsia"/>
                <w:color w:val="auto"/>
                <w:sz w:val="22"/>
              </w:rPr>
              <w:t>世界之窗</w:t>
            </w:r>
          </w:p>
        </w:tc>
        <w:tc>
          <w:tcPr>
            <w:tcW w:w="2835" w:type="dxa"/>
            <w:noWrap/>
            <w:vAlign w:val="center"/>
          </w:tcPr>
          <w:p>
            <w:pPr>
              <w:pStyle w:val="8"/>
              <w:ind w:firstLine="0" w:firstLineChars="0"/>
              <w:jc w:val="left"/>
              <w:rPr>
                <w:color w:val="auto"/>
                <w:sz w:val="22"/>
              </w:rPr>
            </w:pPr>
            <w:r>
              <w:rPr>
                <w:rFonts w:hint="eastAsia"/>
                <w:color w:val="auto"/>
                <w:sz w:val="22"/>
              </w:rPr>
              <w:t>公共建筑（观览）</w:t>
            </w:r>
          </w:p>
        </w:tc>
        <w:tc>
          <w:tcPr>
            <w:tcW w:w="3131" w:type="dxa"/>
            <w:vAlign w:val="center"/>
          </w:tcPr>
          <w:p>
            <w:pPr>
              <w:pStyle w:val="8"/>
              <w:ind w:firstLine="0" w:firstLineChars="0"/>
              <w:jc w:val="left"/>
              <w:rPr>
                <w:color w:val="auto"/>
                <w:sz w:val="22"/>
              </w:rPr>
            </w:pPr>
            <w:r>
              <w:rPr>
                <w:rFonts w:hint="eastAsia"/>
                <w:color w:val="auto"/>
                <w:sz w:val="22"/>
              </w:rPr>
              <w:t>公共建筑（观览）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noWrap/>
            <w:vAlign w:val="center"/>
          </w:tcPr>
          <w:p>
            <w:pPr>
              <w:pStyle w:val="8"/>
              <w:ind w:firstLine="0" w:firstLineChars="0"/>
              <w:jc w:val="left"/>
              <w:rPr>
                <w:color w:val="auto"/>
                <w:sz w:val="22"/>
              </w:rPr>
            </w:pPr>
            <w:r>
              <w:rPr>
                <w:rFonts w:hint="eastAsia"/>
                <w:color w:val="auto"/>
                <w:sz w:val="22"/>
              </w:rPr>
              <w:t>前海石公园</w:t>
            </w:r>
          </w:p>
        </w:tc>
        <w:tc>
          <w:tcPr>
            <w:tcW w:w="2835" w:type="dxa"/>
            <w:noWrap/>
            <w:vAlign w:val="center"/>
          </w:tcPr>
          <w:p>
            <w:pPr>
              <w:pStyle w:val="8"/>
              <w:ind w:firstLine="0" w:firstLineChars="0"/>
              <w:jc w:val="left"/>
              <w:rPr>
                <w:color w:val="auto"/>
                <w:sz w:val="22"/>
              </w:rPr>
            </w:pPr>
            <w:r>
              <w:rPr>
                <w:rFonts w:hint="eastAsia"/>
                <w:color w:val="auto"/>
                <w:sz w:val="22"/>
              </w:rPr>
              <w:t>广场公园</w:t>
            </w:r>
          </w:p>
        </w:tc>
        <w:tc>
          <w:tcPr>
            <w:tcW w:w="3131" w:type="dxa"/>
            <w:vAlign w:val="center"/>
          </w:tcPr>
          <w:p>
            <w:pPr>
              <w:pStyle w:val="8"/>
              <w:ind w:firstLine="0" w:firstLineChars="0"/>
              <w:jc w:val="left"/>
              <w:rPr>
                <w:color w:val="auto"/>
                <w:sz w:val="22"/>
              </w:rPr>
            </w:pPr>
            <w:r>
              <w:rPr>
                <w:rFonts w:hint="eastAsia"/>
                <w:color w:val="auto"/>
                <w:sz w:val="22"/>
              </w:rPr>
              <w:t>广场公园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271" w:type="dxa"/>
            <w:vMerge w:val="continue"/>
            <w:vAlign w:val="center"/>
          </w:tcPr>
          <w:p>
            <w:pPr>
              <w:pStyle w:val="8"/>
              <w:ind w:firstLine="440"/>
              <w:jc w:val="center"/>
              <w:rPr>
                <w:color w:val="auto"/>
                <w:sz w:val="22"/>
              </w:rPr>
            </w:pPr>
          </w:p>
        </w:tc>
        <w:tc>
          <w:tcPr>
            <w:tcW w:w="2693" w:type="dxa"/>
            <w:vAlign w:val="center"/>
          </w:tcPr>
          <w:p>
            <w:pPr>
              <w:pStyle w:val="8"/>
              <w:ind w:firstLine="0" w:firstLineChars="0"/>
              <w:jc w:val="left"/>
              <w:rPr>
                <w:color w:val="auto"/>
                <w:sz w:val="22"/>
              </w:rPr>
            </w:pPr>
            <w:r>
              <w:rPr>
                <w:rFonts w:hint="eastAsia"/>
                <w:color w:val="auto"/>
                <w:sz w:val="22"/>
              </w:rPr>
              <w:t>深圳市南头中学（校史馆）</w:t>
            </w:r>
          </w:p>
        </w:tc>
        <w:tc>
          <w:tcPr>
            <w:tcW w:w="2835" w:type="dxa"/>
            <w:noWrap/>
            <w:vAlign w:val="center"/>
          </w:tcPr>
          <w:p>
            <w:pPr>
              <w:pStyle w:val="8"/>
              <w:ind w:firstLine="0" w:firstLineChars="0"/>
              <w:jc w:val="left"/>
              <w:rPr>
                <w:color w:val="auto"/>
                <w:sz w:val="22"/>
              </w:rPr>
            </w:pPr>
            <w:r>
              <w:rPr>
                <w:rFonts w:hint="eastAsia"/>
                <w:color w:val="auto"/>
                <w:sz w:val="22"/>
              </w:rPr>
              <w:t>公共建筑（文教）</w:t>
            </w:r>
          </w:p>
        </w:tc>
        <w:tc>
          <w:tcPr>
            <w:tcW w:w="3131" w:type="dxa"/>
            <w:vAlign w:val="center"/>
          </w:tcPr>
          <w:p>
            <w:pPr>
              <w:pStyle w:val="8"/>
              <w:ind w:firstLine="0" w:firstLineChars="0"/>
              <w:jc w:val="left"/>
              <w:rPr>
                <w:color w:val="auto"/>
                <w:sz w:val="22"/>
              </w:rPr>
            </w:pPr>
            <w:r>
              <w:rPr>
                <w:rFonts w:hint="eastAsia"/>
                <w:color w:val="auto"/>
                <w:sz w:val="22"/>
              </w:rPr>
              <w:t>公共建筑（文教）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vAlign w:val="center"/>
          </w:tcPr>
          <w:p>
            <w:pPr>
              <w:pStyle w:val="8"/>
              <w:ind w:firstLine="0" w:firstLineChars="0"/>
              <w:jc w:val="left"/>
              <w:rPr>
                <w:color w:val="auto"/>
                <w:sz w:val="22"/>
              </w:rPr>
            </w:pPr>
            <w:r>
              <w:rPr>
                <w:rFonts w:hint="eastAsia"/>
                <w:color w:val="auto"/>
                <w:sz w:val="22"/>
              </w:rPr>
              <w:t>二线关同乐检查站</w:t>
            </w:r>
          </w:p>
        </w:tc>
        <w:tc>
          <w:tcPr>
            <w:tcW w:w="2835" w:type="dxa"/>
            <w:noWrap/>
            <w:vAlign w:val="center"/>
          </w:tcPr>
          <w:p>
            <w:pPr>
              <w:pStyle w:val="8"/>
              <w:ind w:firstLine="0" w:firstLineChars="0"/>
              <w:jc w:val="left"/>
              <w:rPr>
                <w:color w:val="auto"/>
                <w:sz w:val="22"/>
              </w:rPr>
            </w:pPr>
            <w:r>
              <w:rPr>
                <w:rFonts w:hint="eastAsia"/>
                <w:color w:val="auto"/>
                <w:sz w:val="22"/>
              </w:rPr>
              <w:t>闲置</w:t>
            </w:r>
          </w:p>
        </w:tc>
        <w:tc>
          <w:tcPr>
            <w:tcW w:w="3131" w:type="dxa"/>
            <w:vAlign w:val="center"/>
          </w:tcPr>
          <w:p>
            <w:pPr>
              <w:pStyle w:val="8"/>
              <w:ind w:firstLine="0" w:firstLineChars="0"/>
              <w:jc w:val="left"/>
              <w:rPr>
                <w:color w:val="auto"/>
                <w:sz w:val="22"/>
              </w:rPr>
            </w:pPr>
            <w:r>
              <w:rPr>
                <w:rFonts w:hint="eastAsia"/>
                <w:color w:val="auto"/>
                <w:sz w:val="22"/>
              </w:rPr>
              <w:t>公共建筑（交通）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noWrap/>
            <w:vAlign w:val="center"/>
          </w:tcPr>
          <w:p>
            <w:pPr>
              <w:pStyle w:val="8"/>
              <w:ind w:firstLine="0" w:firstLineChars="0"/>
              <w:jc w:val="left"/>
              <w:rPr>
                <w:color w:val="auto"/>
                <w:sz w:val="22"/>
              </w:rPr>
            </w:pPr>
            <w:r>
              <w:rPr>
                <w:rFonts w:hint="eastAsia"/>
                <w:color w:val="auto"/>
                <w:sz w:val="22"/>
              </w:rPr>
              <w:t>深圳大学城</w:t>
            </w:r>
          </w:p>
        </w:tc>
        <w:tc>
          <w:tcPr>
            <w:tcW w:w="2835" w:type="dxa"/>
            <w:noWrap/>
            <w:vAlign w:val="center"/>
          </w:tcPr>
          <w:p>
            <w:pPr>
              <w:pStyle w:val="8"/>
              <w:ind w:firstLine="0" w:firstLineChars="0"/>
              <w:jc w:val="left"/>
              <w:rPr>
                <w:color w:val="auto"/>
                <w:sz w:val="22"/>
              </w:rPr>
            </w:pPr>
            <w:r>
              <w:rPr>
                <w:rFonts w:hint="eastAsia"/>
                <w:color w:val="auto"/>
                <w:sz w:val="22"/>
              </w:rPr>
              <w:t>公共建筑（文教）</w:t>
            </w:r>
          </w:p>
        </w:tc>
        <w:tc>
          <w:tcPr>
            <w:tcW w:w="3131" w:type="dxa"/>
            <w:vAlign w:val="center"/>
          </w:tcPr>
          <w:p>
            <w:pPr>
              <w:pStyle w:val="8"/>
              <w:ind w:firstLine="0" w:firstLineChars="0"/>
              <w:jc w:val="left"/>
              <w:rPr>
                <w:color w:val="auto"/>
                <w:sz w:val="22"/>
              </w:rPr>
            </w:pPr>
            <w:r>
              <w:rPr>
                <w:rFonts w:hint="eastAsia"/>
                <w:color w:val="auto"/>
                <w:sz w:val="22"/>
              </w:rPr>
              <w:t>公共建筑（文教）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restart"/>
            <w:noWrap/>
            <w:vAlign w:val="center"/>
          </w:tcPr>
          <w:p>
            <w:pPr>
              <w:pStyle w:val="8"/>
              <w:ind w:firstLine="0" w:firstLineChars="0"/>
              <w:jc w:val="center"/>
              <w:rPr>
                <w:color w:val="auto"/>
                <w:sz w:val="22"/>
              </w:rPr>
            </w:pPr>
            <w:r>
              <w:rPr>
                <w:rFonts w:hint="eastAsia"/>
                <w:color w:val="auto"/>
                <w:sz w:val="22"/>
              </w:rPr>
              <w:t>罗湖区</w:t>
            </w:r>
          </w:p>
        </w:tc>
        <w:tc>
          <w:tcPr>
            <w:tcW w:w="2693" w:type="dxa"/>
            <w:noWrap/>
            <w:vAlign w:val="center"/>
          </w:tcPr>
          <w:p>
            <w:pPr>
              <w:pStyle w:val="8"/>
              <w:ind w:firstLine="0" w:firstLineChars="0"/>
              <w:jc w:val="left"/>
              <w:rPr>
                <w:color w:val="auto"/>
                <w:sz w:val="22"/>
              </w:rPr>
            </w:pPr>
            <w:r>
              <w:rPr>
                <w:rFonts w:hint="eastAsia"/>
                <w:color w:val="auto"/>
                <w:sz w:val="22"/>
              </w:rPr>
              <w:t>地王大厦</w:t>
            </w:r>
          </w:p>
        </w:tc>
        <w:tc>
          <w:tcPr>
            <w:tcW w:w="2835" w:type="dxa"/>
            <w:noWrap/>
            <w:vAlign w:val="center"/>
          </w:tcPr>
          <w:p>
            <w:pPr>
              <w:pStyle w:val="8"/>
              <w:ind w:firstLine="0" w:firstLineChars="0"/>
              <w:jc w:val="left"/>
              <w:rPr>
                <w:color w:val="auto"/>
                <w:sz w:val="22"/>
              </w:rPr>
            </w:pPr>
            <w:r>
              <w:rPr>
                <w:rFonts w:hint="eastAsia"/>
                <w:color w:val="auto"/>
                <w:sz w:val="22"/>
              </w:rPr>
              <w:t>公共建筑（行政办公）</w:t>
            </w:r>
          </w:p>
        </w:tc>
        <w:tc>
          <w:tcPr>
            <w:tcW w:w="3131" w:type="dxa"/>
            <w:vAlign w:val="center"/>
          </w:tcPr>
          <w:p>
            <w:pPr>
              <w:pStyle w:val="8"/>
              <w:ind w:firstLine="0" w:firstLineChars="0"/>
              <w:jc w:val="left"/>
              <w:rPr>
                <w:color w:val="auto"/>
                <w:sz w:val="22"/>
              </w:rPr>
            </w:pPr>
            <w:r>
              <w:rPr>
                <w:rFonts w:hint="eastAsia"/>
                <w:color w:val="auto"/>
                <w:sz w:val="22"/>
              </w:rPr>
              <w:t>公共建筑（行政办公）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271" w:type="dxa"/>
            <w:vMerge w:val="continue"/>
            <w:vAlign w:val="center"/>
          </w:tcPr>
          <w:p>
            <w:pPr>
              <w:pStyle w:val="8"/>
              <w:ind w:firstLine="440"/>
              <w:jc w:val="center"/>
              <w:rPr>
                <w:color w:val="auto"/>
                <w:sz w:val="22"/>
              </w:rPr>
            </w:pPr>
          </w:p>
        </w:tc>
        <w:tc>
          <w:tcPr>
            <w:tcW w:w="2693" w:type="dxa"/>
            <w:vAlign w:val="center"/>
          </w:tcPr>
          <w:p>
            <w:pPr>
              <w:pStyle w:val="8"/>
              <w:ind w:firstLine="0" w:firstLineChars="0"/>
              <w:jc w:val="left"/>
              <w:rPr>
                <w:color w:val="auto"/>
                <w:sz w:val="22"/>
              </w:rPr>
            </w:pPr>
            <w:r>
              <w:rPr>
                <w:rFonts w:hint="eastAsia"/>
                <w:color w:val="auto"/>
                <w:sz w:val="22"/>
              </w:rPr>
              <w:t>深圳迎宾馆（桂园、兰园别墅）</w:t>
            </w:r>
          </w:p>
        </w:tc>
        <w:tc>
          <w:tcPr>
            <w:tcW w:w="2835" w:type="dxa"/>
            <w:noWrap/>
            <w:vAlign w:val="center"/>
          </w:tcPr>
          <w:p>
            <w:pPr>
              <w:pStyle w:val="8"/>
              <w:ind w:firstLine="0" w:firstLineChars="0"/>
              <w:jc w:val="left"/>
              <w:rPr>
                <w:color w:val="auto"/>
                <w:sz w:val="22"/>
              </w:rPr>
            </w:pPr>
            <w:r>
              <w:rPr>
                <w:rFonts w:hint="eastAsia"/>
                <w:color w:val="auto"/>
                <w:sz w:val="22"/>
              </w:rPr>
              <w:t>公共建筑（旅馆）</w:t>
            </w:r>
          </w:p>
        </w:tc>
        <w:tc>
          <w:tcPr>
            <w:tcW w:w="3131" w:type="dxa"/>
            <w:vAlign w:val="center"/>
          </w:tcPr>
          <w:p>
            <w:pPr>
              <w:pStyle w:val="8"/>
              <w:ind w:firstLine="0" w:firstLineChars="0"/>
              <w:jc w:val="left"/>
              <w:rPr>
                <w:color w:val="auto"/>
                <w:sz w:val="22"/>
              </w:rPr>
            </w:pPr>
            <w:r>
              <w:rPr>
                <w:rFonts w:hint="eastAsia"/>
                <w:color w:val="auto"/>
                <w:sz w:val="22"/>
              </w:rPr>
              <w:t>公共建筑（旅馆）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vAlign w:val="center"/>
          </w:tcPr>
          <w:p>
            <w:pPr>
              <w:pStyle w:val="8"/>
              <w:ind w:firstLine="0" w:firstLineChars="0"/>
              <w:jc w:val="left"/>
              <w:rPr>
                <w:color w:val="auto"/>
                <w:sz w:val="22"/>
              </w:rPr>
            </w:pPr>
            <w:r>
              <w:rPr>
                <w:rFonts w:hint="eastAsia"/>
                <w:color w:val="auto"/>
                <w:sz w:val="22"/>
              </w:rPr>
              <w:t>深圳证券交易所（老楼）</w:t>
            </w:r>
          </w:p>
        </w:tc>
        <w:tc>
          <w:tcPr>
            <w:tcW w:w="2835" w:type="dxa"/>
            <w:noWrap/>
            <w:vAlign w:val="center"/>
          </w:tcPr>
          <w:p>
            <w:pPr>
              <w:pStyle w:val="8"/>
              <w:ind w:firstLine="0" w:firstLineChars="0"/>
              <w:jc w:val="left"/>
              <w:rPr>
                <w:color w:val="auto"/>
                <w:sz w:val="22"/>
              </w:rPr>
            </w:pPr>
            <w:r>
              <w:rPr>
                <w:rFonts w:hint="eastAsia"/>
                <w:color w:val="auto"/>
                <w:sz w:val="22"/>
              </w:rPr>
              <w:t>公共建筑（行政办公）</w:t>
            </w:r>
          </w:p>
        </w:tc>
        <w:tc>
          <w:tcPr>
            <w:tcW w:w="3131" w:type="dxa"/>
            <w:vAlign w:val="center"/>
          </w:tcPr>
          <w:p>
            <w:pPr>
              <w:pStyle w:val="8"/>
              <w:ind w:firstLine="0" w:firstLineChars="0"/>
              <w:jc w:val="left"/>
              <w:rPr>
                <w:color w:val="auto"/>
                <w:sz w:val="22"/>
              </w:rPr>
            </w:pPr>
            <w:r>
              <w:rPr>
                <w:rFonts w:hint="eastAsia"/>
                <w:color w:val="auto"/>
                <w:sz w:val="22"/>
              </w:rPr>
              <w:t>公共建筑（行政办公）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noWrap/>
            <w:vAlign w:val="center"/>
          </w:tcPr>
          <w:p>
            <w:pPr>
              <w:pStyle w:val="8"/>
              <w:ind w:firstLine="0" w:firstLineChars="0"/>
              <w:jc w:val="left"/>
              <w:rPr>
                <w:color w:val="auto"/>
                <w:sz w:val="22"/>
              </w:rPr>
            </w:pPr>
            <w:r>
              <w:rPr>
                <w:rFonts w:hint="eastAsia"/>
                <w:color w:val="auto"/>
                <w:sz w:val="22"/>
              </w:rPr>
              <w:t>竹园宾馆</w:t>
            </w:r>
          </w:p>
        </w:tc>
        <w:tc>
          <w:tcPr>
            <w:tcW w:w="2835" w:type="dxa"/>
            <w:noWrap/>
            <w:vAlign w:val="center"/>
          </w:tcPr>
          <w:p>
            <w:pPr>
              <w:pStyle w:val="8"/>
              <w:ind w:firstLine="0" w:firstLineChars="0"/>
              <w:jc w:val="left"/>
              <w:rPr>
                <w:color w:val="auto"/>
                <w:sz w:val="22"/>
              </w:rPr>
            </w:pPr>
            <w:r>
              <w:rPr>
                <w:rFonts w:hint="eastAsia"/>
                <w:color w:val="auto"/>
                <w:sz w:val="22"/>
              </w:rPr>
              <w:t>公共建筑（旅馆）</w:t>
            </w:r>
          </w:p>
        </w:tc>
        <w:tc>
          <w:tcPr>
            <w:tcW w:w="3131" w:type="dxa"/>
            <w:vAlign w:val="center"/>
          </w:tcPr>
          <w:p>
            <w:pPr>
              <w:pStyle w:val="8"/>
              <w:ind w:firstLine="0" w:firstLineChars="0"/>
              <w:jc w:val="left"/>
              <w:rPr>
                <w:color w:val="auto"/>
                <w:sz w:val="22"/>
              </w:rPr>
            </w:pPr>
            <w:r>
              <w:rPr>
                <w:rFonts w:hint="eastAsia"/>
                <w:color w:val="auto"/>
                <w:sz w:val="22"/>
              </w:rPr>
              <w:t>公共建筑（旅馆）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vAlign w:val="center"/>
          </w:tcPr>
          <w:p>
            <w:pPr>
              <w:pStyle w:val="8"/>
              <w:ind w:firstLine="0" w:firstLineChars="0"/>
              <w:jc w:val="left"/>
              <w:rPr>
                <w:color w:val="auto"/>
                <w:sz w:val="22"/>
              </w:rPr>
            </w:pPr>
            <w:r>
              <w:rPr>
                <w:rFonts w:hint="eastAsia"/>
                <w:color w:val="auto"/>
                <w:sz w:val="22"/>
              </w:rPr>
              <w:t>深圳国贸大厦</w:t>
            </w:r>
          </w:p>
        </w:tc>
        <w:tc>
          <w:tcPr>
            <w:tcW w:w="2835" w:type="dxa"/>
            <w:noWrap/>
            <w:vAlign w:val="center"/>
          </w:tcPr>
          <w:p>
            <w:pPr>
              <w:pStyle w:val="8"/>
              <w:ind w:firstLine="0" w:firstLineChars="0"/>
              <w:jc w:val="left"/>
              <w:rPr>
                <w:color w:val="auto"/>
                <w:sz w:val="22"/>
              </w:rPr>
            </w:pPr>
            <w:r>
              <w:rPr>
                <w:rFonts w:hint="eastAsia"/>
                <w:color w:val="auto"/>
                <w:sz w:val="22"/>
              </w:rPr>
              <w:t>公共建筑（行政办公、观览、商业）</w:t>
            </w:r>
          </w:p>
        </w:tc>
        <w:tc>
          <w:tcPr>
            <w:tcW w:w="3131" w:type="dxa"/>
            <w:vAlign w:val="center"/>
          </w:tcPr>
          <w:p>
            <w:pPr>
              <w:pStyle w:val="8"/>
              <w:ind w:firstLine="0" w:firstLineChars="0"/>
              <w:jc w:val="left"/>
              <w:rPr>
                <w:color w:val="auto"/>
                <w:sz w:val="22"/>
              </w:rPr>
            </w:pPr>
            <w:r>
              <w:rPr>
                <w:rFonts w:hint="eastAsia"/>
                <w:color w:val="auto"/>
                <w:sz w:val="22"/>
              </w:rPr>
              <w:t>公共建筑（行政办公、观览、商业）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noWrap/>
            <w:vAlign w:val="center"/>
          </w:tcPr>
          <w:p>
            <w:pPr>
              <w:pStyle w:val="8"/>
              <w:ind w:firstLine="0" w:firstLineChars="0"/>
              <w:jc w:val="left"/>
              <w:rPr>
                <w:color w:val="auto"/>
                <w:sz w:val="22"/>
              </w:rPr>
            </w:pPr>
            <w:r>
              <w:rPr>
                <w:rFonts w:hint="eastAsia"/>
                <w:color w:val="auto"/>
                <w:sz w:val="22"/>
              </w:rPr>
              <w:t>深圳渔民村</w:t>
            </w:r>
          </w:p>
        </w:tc>
        <w:tc>
          <w:tcPr>
            <w:tcW w:w="2835" w:type="dxa"/>
            <w:noWrap/>
            <w:vAlign w:val="center"/>
          </w:tcPr>
          <w:p>
            <w:pPr>
              <w:pStyle w:val="8"/>
              <w:ind w:firstLine="0" w:firstLineChars="0"/>
              <w:jc w:val="left"/>
              <w:rPr>
                <w:color w:val="auto"/>
                <w:sz w:val="22"/>
              </w:rPr>
            </w:pPr>
            <w:r>
              <w:rPr>
                <w:rFonts w:hint="eastAsia"/>
                <w:color w:val="auto"/>
                <w:sz w:val="22"/>
              </w:rPr>
              <w:t>居住建筑</w:t>
            </w:r>
          </w:p>
        </w:tc>
        <w:tc>
          <w:tcPr>
            <w:tcW w:w="3131" w:type="dxa"/>
            <w:vAlign w:val="center"/>
          </w:tcPr>
          <w:p>
            <w:pPr>
              <w:pStyle w:val="8"/>
              <w:ind w:firstLine="0" w:firstLineChars="0"/>
              <w:jc w:val="left"/>
              <w:rPr>
                <w:color w:val="auto"/>
                <w:sz w:val="22"/>
              </w:rPr>
            </w:pPr>
            <w:r>
              <w:rPr>
                <w:rFonts w:hint="eastAsia"/>
                <w:color w:val="auto"/>
                <w:sz w:val="22"/>
              </w:rPr>
              <w:t>居住建筑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noWrap/>
            <w:vAlign w:val="center"/>
          </w:tcPr>
          <w:p>
            <w:pPr>
              <w:pStyle w:val="8"/>
              <w:ind w:firstLine="0" w:firstLineChars="0"/>
              <w:jc w:val="left"/>
              <w:rPr>
                <w:color w:val="auto"/>
                <w:sz w:val="22"/>
              </w:rPr>
            </w:pPr>
            <w:r>
              <w:rPr>
                <w:rFonts w:hint="eastAsia"/>
                <w:color w:val="auto"/>
                <w:sz w:val="22"/>
              </w:rPr>
              <w:t>深圳火车站</w:t>
            </w:r>
          </w:p>
        </w:tc>
        <w:tc>
          <w:tcPr>
            <w:tcW w:w="2835" w:type="dxa"/>
            <w:noWrap/>
            <w:vAlign w:val="center"/>
          </w:tcPr>
          <w:p>
            <w:pPr>
              <w:pStyle w:val="8"/>
              <w:ind w:firstLine="0" w:firstLineChars="0"/>
              <w:jc w:val="left"/>
              <w:rPr>
                <w:color w:val="auto"/>
                <w:sz w:val="22"/>
              </w:rPr>
            </w:pPr>
            <w:r>
              <w:rPr>
                <w:rFonts w:hint="eastAsia"/>
                <w:color w:val="auto"/>
                <w:sz w:val="22"/>
              </w:rPr>
              <w:t>公共建筑（交通）</w:t>
            </w:r>
          </w:p>
        </w:tc>
        <w:tc>
          <w:tcPr>
            <w:tcW w:w="3131" w:type="dxa"/>
            <w:vAlign w:val="center"/>
          </w:tcPr>
          <w:p>
            <w:pPr>
              <w:pStyle w:val="8"/>
              <w:ind w:firstLine="0" w:firstLineChars="0"/>
              <w:jc w:val="left"/>
              <w:rPr>
                <w:color w:val="auto"/>
                <w:sz w:val="22"/>
              </w:rPr>
            </w:pPr>
            <w:r>
              <w:rPr>
                <w:rFonts w:hint="eastAsia"/>
                <w:color w:val="auto"/>
                <w:sz w:val="22"/>
              </w:rPr>
              <w:t>公共建筑（交通）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vAlign w:val="center"/>
          </w:tcPr>
          <w:p>
            <w:pPr>
              <w:pStyle w:val="8"/>
              <w:ind w:firstLine="0" w:firstLineChars="0"/>
              <w:jc w:val="left"/>
              <w:rPr>
                <w:color w:val="auto"/>
                <w:sz w:val="22"/>
              </w:rPr>
            </w:pPr>
            <w:r>
              <w:rPr>
                <w:rFonts w:hint="eastAsia"/>
                <w:color w:val="auto"/>
                <w:sz w:val="22"/>
              </w:rPr>
              <w:t>深圳罗湖口岸</w:t>
            </w:r>
          </w:p>
        </w:tc>
        <w:tc>
          <w:tcPr>
            <w:tcW w:w="2835" w:type="dxa"/>
            <w:noWrap/>
            <w:vAlign w:val="center"/>
          </w:tcPr>
          <w:p>
            <w:pPr>
              <w:pStyle w:val="8"/>
              <w:ind w:firstLine="0" w:firstLineChars="0"/>
              <w:jc w:val="left"/>
              <w:rPr>
                <w:color w:val="auto"/>
                <w:sz w:val="22"/>
              </w:rPr>
            </w:pPr>
            <w:r>
              <w:rPr>
                <w:rFonts w:hint="eastAsia"/>
                <w:color w:val="auto"/>
                <w:sz w:val="22"/>
              </w:rPr>
              <w:t>公共建筑（交通）</w:t>
            </w:r>
          </w:p>
        </w:tc>
        <w:tc>
          <w:tcPr>
            <w:tcW w:w="3131" w:type="dxa"/>
            <w:vAlign w:val="center"/>
          </w:tcPr>
          <w:p>
            <w:pPr>
              <w:pStyle w:val="8"/>
              <w:ind w:firstLine="0" w:firstLineChars="0"/>
              <w:jc w:val="left"/>
              <w:rPr>
                <w:color w:val="auto"/>
                <w:sz w:val="22"/>
              </w:rPr>
            </w:pPr>
            <w:r>
              <w:rPr>
                <w:rFonts w:hint="eastAsia"/>
                <w:color w:val="auto"/>
                <w:sz w:val="22"/>
              </w:rPr>
              <w:t>公共建筑（交通）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271" w:type="dxa"/>
            <w:vMerge w:val="restart"/>
            <w:noWrap/>
            <w:vAlign w:val="center"/>
          </w:tcPr>
          <w:p>
            <w:pPr>
              <w:pStyle w:val="8"/>
              <w:ind w:firstLine="0" w:firstLineChars="0"/>
              <w:jc w:val="center"/>
              <w:rPr>
                <w:color w:val="auto"/>
                <w:sz w:val="22"/>
              </w:rPr>
            </w:pPr>
            <w:r>
              <w:rPr>
                <w:rFonts w:hint="eastAsia"/>
                <w:color w:val="auto"/>
                <w:sz w:val="22"/>
              </w:rPr>
              <w:t>福田区</w:t>
            </w:r>
          </w:p>
        </w:tc>
        <w:tc>
          <w:tcPr>
            <w:tcW w:w="2693" w:type="dxa"/>
            <w:vAlign w:val="center"/>
          </w:tcPr>
          <w:p>
            <w:pPr>
              <w:pStyle w:val="8"/>
              <w:ind w:firstLine="0" w:firstLineChars="0"/>
              <w:jc w:val="left"/>
              <w:rPr>
                <w:color w:val="auto"/>
                <w:sz w:val="22"/>
              </w:rPr>
            </w:pPr>
            <w:r>
              <w:rPr>
                <w:rFonts w:hint="eastAsia"/>
                <w:color w:val="auto"/>
                <w:sz w:val="22"/>
              </w:rPr>
              <w:t>莲花山公园（邓小平</w:t>
            </w:r>
            <w:r>
              <w:rPr>
                <w:rFonts w:hint="eastAsia"/>
                <w:color w:val="auto"/>
                <w:sz w:val="22"/>
                <w:lang w:eastAsia="zh-CN"/>
              </w:rPr>
              <w:t>铜像</w:t>
            </w:r>
            <w:r>
              <w:rPr>
                <w:rFonts w:hint="eastAsia"/>
                <w:color w:val="auto"/>
                <w:sz w:val="22"/>
              </w:rPr>
              <w:t>）</w:t>
            </w:r>
          </w:p>
        </w:tc>
        <w:tc>
          <w:tcPr>
            <w:tcW w:w="2835" w:type="dxa"/>
            <w:noWrap/>
            <w:vAlign w:val="center"/>
          </w:tcPr>
          <w:p>
            <w:pPr>
              <w:pStyle w:val="8"/>
              <w:ind w:firstLine="0" w:firstLineChars="0"/>
              <w:jc w:val="left"/>
              <w:rPr>
                <w:color w:val="auto"/>
                <w:sz w:val="22"/>
              </w:rPr>
            </w:pPr>
            <w:r>
              <w:rPr>
                <w:rFonts w:hint="eastAsia"/>
                <w:color w:val="auto"/>
              </w:rPr>
              <w:t>标识小品</w:t>
            </w:r>
          </w:p>
        </w:tc>
        <w:tc>
          <w:tcPr>
            <w:tcW w:w="3131" w:type="dxa"/>
            <w:vAlign w:val="center"/>
          </w:tcPr>
          <w:p>
            <w:pPr>
              <w:pStyle w:val="8"/>
              <w:ind w:firstLine="0" w:firstLineChars="0"/>
              <w:jc w:val="left"/>
              <w:rPr>
                <w:color w:val="auto"/>
                <w:sz w:val="22"/>
              </w:rPr>
            </w:pPr>
            <w:r>
              <w:rPr>
                <w:rFonts w:hint="eastAsia"/>
                <w:color w:val="auto"/>
              </w:rPr>
              <w:t>标识小品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noWrap/>
            <w:vAlign w:val="center"/>
          </w:tcPr>
          <w:p>
            <w:pPr>
              <w:pStyle w:val="8"/>
              <w:ind w:firstLine="0" w:firstLineChars="0"/>
              <w:jc w:val="left"/>
              <w:rPr>
                <w:color w:val="auto"/>
                <w:sz w:val="22"/>
              </w:rPr>
            </w:pPr>
            <w:r>
              <w:rPr>
                <w:rFonts w:hint="eastAsia"/>
                <w:color w:val="auto"/>
                <w:sz w:val="22"/>
              </w:rPr>
              <w:t>电子大厦</w:t>
            </w:r>
          </w:p>
        </w:tc>
        <w:tc>
          <w:tcPr>
            <w:tcW w:w="2835" w:type="dxa"/>
            <w:noWrap/>
            <w:vAlign w:val="center"/>
          </w:tcPr>
          <w:p>
            <w:pPr>
              <w:pStyle w:val="8"/>
              <w:ind w:firstLine="0" w:firstLineChars="0"/>
              <w:jc w:val="left"/>
              <w:rPr>
                <w:color w:val="auto"/>
                <w:sz w:val="22"/>
              </w:rPr>
            </w:pPr>
            <w:r>
              <w:rPr>
                <w:rFonts w:hint="eastAsia"/>
                <w:color w:val="auto"/>
                <w:sz w:val="22"/>
              </w:rPr>
              <w:t>公共建筑（行政办公）</w:t>
            </w:r>
          </w:p>
        </w:tc>
        <w:tc>
          <w:tcPr>
            <w:tcW w:w="3131" w:type="dxa"/>
            <w:vAlign w:val="center"/>
          </w:tcPr>
          <w:p>
            <w:pPr>
              <w:pStyle w:val="8"/>
              <w:ind w:firstLine="0" w:firstLineChars="0"/>
              <w:jc w:val="left"/>
              <w:rPr>
                <w:color w:val="auto"/>
                <w:sz w:val="22"/>
              </w:rPr>
            </w:pPr>
            <w:r>
              <w:rPr>
                <w:rFonts w:hint="eastAsia"/>
                <w:color w:val="auto"/>
                <w:sz w:val="22"/>
              </w:rPr>
              <w:t>公共建筑（行政办公）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noWrap/>
            <w:vAlign w:val="center"/>
          </w:tcPr>
          <w:p>
            <w:pPr>
              <w:pStyle w:val="8"/>
              <w:ind w:firstLine="0" w:firstLineChars="0"/>
              <w:jc w:val="left"/>
              <w:rPr>
                <w:color w:val="auto"/>
                <w:sz w:val="22"/>
              </w:rPr>
            </w:pPr>
            <w:r>
              <w:rPr>
                <w:rFonts w:hint="eastAsia"/>
                <w:color w:val="auto"/>
                <w:sz w:val="22"/>
              </w:rPr>
              <w:t>上海宾馆</w:t>
            </w:r>
          </w:p>
        </w:tc>
        <w:tc>
          <w:tcPr>
            <w:tcW w:w="2835" w:type="dxa"/>
            <w:noWrap/>
            <w:vAlign w:val="center"/>
          </w:tcPr>
          <w:p>
            <w:pPr>
              <w:pStyle w:val="8"/>
              <w:ind w:firstLine="0" w:firstLineChars="0"/>
              <w:jc w:val="left"/>
              <w:rPr>
                <w:color w:val="auto"/>
                <w:sz w:val="22"/>
              </w:rPr>
            </w:pPr>
            <w:r>
              <w:rPr>
                <w:rFonts w:hint="eastAsia"/>
                <w:color w:val="auto"/>
                <w:sz w:val="22"/>
              </w:rPr>
              <w:t>公共建筑（旅馆）</w:t>
            </w:r>
          </w:p>
        </w:tc>
        <w:tc>
          <w:tcPr>
            <w:tcW w:w="3131" w:type="dxa"/>
            <w:vAlign w:val="center"/>
          </w:tcPr>
          <w:p>
            <w:pPr>
              <w:pStyle w:val="8"/>
              <w:ind w:firstLine="0" w:firstLineChars="0"/>
              <w:jc w:val="left"/>
              <w:rPr>
                <w:color w:val="auto"/>
                <w:sz w:val="22"/>
              </w:rPr>
            </w:pPr>
            <w:r>
              <w:rPr>
                <w:rFonts w:hint="eastAsia"/>
                <w:color w:val="auto"/>
                <w:sz w:val="22"/>
              </w:rPr>
              <w:t>公共建筑（旅馆）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vAlign w:val="center"/>
          </w:tcPr>
          <w:p>
            <w:pPr>
              <w:pStyle w:val="8"/>
              <w:ind w:firstLine="0" w:firstLineChars="0"/>
              <w:jc w:val="left"/>
              <w:rPr>
                <w:color w:val="auto"/>
                <w:sz w:val="22"/>
              </w:rPr>
            </w:pPr>
            <w:r>
              <w:rPr>
                <w:rFonts w:hint="eastAsia"/>
                <w:color w:val="auto"/>
                <w:sz w:val="22"/>
              </w:rPr>
              <w:t>深圳科学馆旧馆</w:t>
            </w:r>
          </w:p>
        </w:tc>
        <w:tc>
          <w:tcPr>
            <w:tcW w:w="2835" w:type="dxa"/>
            <w:noWrap/>
            <w:vAlign w:val="center"/>
          </w:tcPr>
          <w:p>
            <w:pPr>
              <w:pStyle w:val="8"/>
              <w:ind w:firstLine="0" w:firstLineChars="0"/>
              <w:jc w:val="left"/>
              <w:rPr>
                <w:color w:val="auto"/>
                <w:sz w:val="22"/>
              </w:rPr>
            </w:pPr>
            <w:r>
              <w:rPr>
                <w:rFonts w:hint="eastAsia"/>
                <w:color w:val="auto"/>
                <w:sz w:val="22"/>
              </w:rPr>
              <w:t>公共建筑（观览）</w:t>
            </w:r>
          </w:p>
        </w:tc>
        <w:tc>
          <w:tcPr>
            <w:tcW w:w="3131" w:type="dxa"/>
            <w:vAlign w:val="center"/>
          </w:tcPr>
          <w:p>
            <w:pPr>
              <w:pStyle w:val="8"/>
              <w:ind w:firstLine="0" w:firstLineChars="0"/>
              <w:jc w:val="left"/>
              <w:rPr>
                <w:color w:val="auto"/>
                <w:sz w:val="22"/>
              </w:rPr>
            </w:pPr>
            <w:r>
              <w:rPr>
                <w:rFonts w:hint="eastAsia"/>
                <w:color w:val="auto"/>
                <w:sz w:val="22"/>
              </w:rPr>
              <w:t>公共建筑（观览）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noWrap/>
            <w:vAlign w:val="center"/>
          </w:tcPr>
          <w:p>
            <w:pPr>
              <w:pStyle w:val="8"/>
              <w:ind w:firstLine="0" w:firstLineChars="0"/>
              <w:jc w:val="left"/>
              <w:rPr>
                <w:color w:val="auto"/>
                <w:sz w:val="22"/>
              </w:rPr>
            </w:pPr>
            <w:r>
              <w:rPr>
                <w:rFonts w:hint="eastAsia"/>
                <w:color w:val="auto"/>
                <w:sz w:val="22"/>
              </w:rPr>
              <w:t>深圳新闻大厦</w:t>
            </w:r>
          </w:p>
        </w:tc>
        <w:tc>
          <w:tcPr>
            <w:tcW w:w="2835" w:type="dxa"/>
            <w:noWrap/>
            <w:vAlign w:val="center"/>
          </w:tcPr>
          <w:p>
            <w:pPr>
              <w:pStyle w:val="8"/>
              <w:ind w:firstLine="0" w:firstLineChars="0"/>
              <w:jc w:val="left"/>
              <w:rPr>
                <w:color w:val="auto"/>
                <w:sz w:val="22"/>
              </w:rPr>
            </w:pPr>
            <w:r>
              <w:rPr>
                <w:rFonts w:hint="eastAsia"/>
                <w:color w:val="auto"/>
                <w:sz w:val="22"/>
              </w:rPr>
              <w:t>公共建筑（行政办公）</w:t>
            </w:r>
          </w:p>
        </w:tc>
        <w:tc>
          <w:tcPr>
            <w:tcW w:w="3131" w:type="dxa"/>
            <w:vAlign w:val="center"/>
          </w:tcPr>
          <w:p>
            <w:pPr>
              <w:pStyle w:val="8"/>
              <w:ind w:firstLine="0" w:firstLineChars="0"/>
              <w:jc w:val="left"/>
              <w:rPr>
                <w:color w:val="auto"/>
                <w:sz w:val="22"/>
              </w:rPr>
            </w:pPr>
            <w:r>
              <w:rPr>
                <w:rFonts w:hint="eastAsia"/>
                <w:color w:val="auto"/>
                <w:sz w:val="22"/>
              </w:rPr>
              <w:t>公共建筑（行政办公）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noWrap/>
            <w:vAlign w:val="center"/>
          </w:tcPr>
          <w:p>
            <w:pPr>
              <w:pStyle w:val="8"/>
              <w:ind w:firstLine="0" w:firstLineChars="0"/>
              <w:jc w:val="left"/>
              <w:rPr>
                <w:color w:val="auto"/>
                <w:sz w:val="22"/>
              </w:rPr>
            </w:pPr>
            <w:r>
              <w:rPr>
                <w:rFonts w:hint="eastAsia"/>
                <w:color w:val="auto"/>
                <w:sz w:val="22"/>
              </w:rPr>
              <w:t>深圳图书馆旧馆</w:t>
            </w:r>
          </w:p>
        </w:tc>
        <w:tc>
          <w:tcPr>
            <w:tcW w:w="2835" w:type="dxa"/>
            <w:noWrap/>
            <w:vAlign w:val="center"/>
          </w:tcPr>
          <w:p>
            <w:pPr>
              <w:pStyle w:val="8"/>
              <w:ind w:firstLine="0" w:firstLineChars="0"/>
              <w:jc w:val="left"/>
              <w:rPr>
                <w:color w:val="auto"/>
                <w:sz w:val="22"/>
              </w:rPr>
            </w:pPr>
            <w:r>
              <w:rPr>
                <w:rFonts w:hint="eastAsia"/>
                <w:color w:val="auto"/>
                <w:sz w:val="22"/>
              </w:rPr>
              <w:t>公共建筑（文教）</w:t>
            </w:r>
          </w:p>
        </w:tc>
        <w:tc>
          <w:tcPr>
            <w:tcW w:w="3131" w:type="dxa"/>
            <w:vAlign w:val="center"/>
          </w:tcPr>
          <w:p>
            <w:pPr>
              <w:pStyle w:val="8"/>
              <w:ind w:firstLine="0" w:firstLineChars="0"/>
              <w:jc w:val="left"/>
              <w:rPr>
                <w:color w:val="auto"/>
                <w:sz w:val="22"/>
              </w:rPr>
            </w:pPr>
            <w:r>
              <w:rPr>
                <w:rFonts w:hint="eastAsia"/>
                <w:color w:val="auto"/>
                <w:sz w:val="22"/>
              </w:rPr>
              <w:t>公共建筑（文教）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noWrap/>
            <w:vAlign w:val="center"/>
          </w:tcPr>
          <w:p>
            <w:pPr>
              <w:pStyle w:val="8"/>
              <w:ind w:firstLine="0" w:firstLineChars="0"/>
              <w:jc w:val="left"/>
              <w:rPr>
                <w:color w:val="auto"/>
                <w:sz w:val="22"/>
              </w:rPr>
            </w:pPr>
            <w:r>
              <w:rPr>
                <w:rFonts w:hint="eastAsia"/>
                <w:color w:val="auto"/>
                <w:sz w:val="22"/>
              </w:rPr>
              <w:t>孺子牛雕像</w:t>
            </w:r>
          </w:p>
        </w:tc>
        <w:tc>
          <w:tcPr>
            <w:tcW w:w="2835" w:type="dxa"/>
            <w:noWrap/>
            <w:vAlign w:val="center"/>
          </w:tcPr>
          <w:p>
            <w:pPr>
              <w:pStyle w:val="8"/>
              <w:ind w:firstLine="0" w:firstLineChars="0"/>
              <w:jc w:val="left"/>
              <w:rPr>
                <w:color w:val="auto"/>
                <w:sz w:val="22"/>
              </w:rPr>
            </w:pPr>
            <w:r>
              <w:rPr>
                <w:rFonts w:hint="eastAsia"/>
                <w:color w:val="auto"/>
              </w:rPr>
              <w:t>标识小品</w:t>
            </w:r>
          </w:p>
        </w:tc>
        <w:tc>
          <w:tcPr>
            <w:tcW w:w="3131" w:type="dxa"/>
            <w:vAlign w:val="center"/>
          </w:tcPr>
          <w:p>
            <w:pPr>
              <w:pStyle w:val="8"/>
              <w:ind w:firstLine="0" w:firstLineChars="0"/>
              <w:jc w:val="left"/>
              <w:rPr>
                <w:color w:val="auto"/>
                <w:sz w:val="22"/>
              </w:rPr>
            </w:pPr>
            <w:r>
              <w:rPr>
                <w:rFonts w:hint="eastAsia"/>
                <w:color w:val="auto"/>
              </w:rPr>
              <w:t>标识小品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vAlign w:val="center"/>
          </w:tcPr>
          <w:p>
            <w:pPr>
              <w:pStyle w:val="8"/>
              <w:ind w:firstLine="0" w:firstLineChars="0"/>
              <w:jc w:val="left"/>
              <w:rPr>
                <w:color w:val="auto"/>
                <w:sz w:val="22"/>
              </w:rPr>
            </w:pPr>
            <w:r>
              <w:rPr>
                <w:rFonts w:hint="eastAsia"/>
                <w:color w:val="auto"/>
                <w:sz w:val="22"/>
              </w:rPr>
              <w:t>深圳博物馆旧馆</w:t>
            </w:r>
          </w:p>
        </w:tc>
        <w:tc>
          <w:tcPr>
            <w:tcW w:w="2835" w:type="dxa"/>
            <w:noWrap/>
            <w:vAlign w:val="center"/>
          </w:tcPr>
          <w:p>
            <w:pPr>
              <w:pStyle w:val="8"/>
              <w:ind w:firstLine="0" w:firstLineChars="0"/>
              <w:jc w:val="left"/>
              <w:rPr>
                <w:color w:val="auto"/>
                <w:sz w:val="22"/>
              </w:rPr>
            </w:pPr>
            <w:r>
              <w:rPr>
                <w:rFonts w:hint="eastAsia"/>
                <w:color w:val="auto"/>
                <w:sz w:val="22"/>
              </w:rPr>
              <w:t>公共建筑（观览）</w:t>
            </w:r>
          </w:p>
        </w:tc>
        <w:tc>
          <w:tcPr>
            <w:tcW w:w="3131" w:type="dxa"/>
            <w:vAlign w:val="center"/>
          </w:tcPr>
          <w:p>
            <w:pPr>
              <w:pStyle w:val="8"/>
              <w:ind w:firstLine="0" w:firstLineChars="0"/>
              <w:jc w:val="left"/>
              <w:rPr>
                <w:color w:val="auto"/>
                <w:sz w:val="22"/>
              </w:rPr>
            </w:pPr>
            <w:r>
              <w:rPr>
                <w:rFonts w:hint="eastAsia"/>
                <w:color w:val="auto"/>
                <w:sz w:val="22"/>
              </w:rPr>
              <w:t>公共建筑（观览）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271" w:type="dxa"/>
            <w:vMerge w:val="restart"/>
            <w:noWrap/>
            <w:vAlign w:val="center"/>
          </w:tcPr>
          <w:p>
            <w:pPr>
              <w:pStyle w:val="8"/>
              <w:ind w:firstLine="0" w:firstLineChars="0"/>
              <w:jc w:val="center"/>
              <w:rPr>
                <w:color w:val="auto"/>
                <w:sz w:val="22"/>
              </w:rPr>
            </w:pPr>
            <w:r>
              <w:rPr>
                <w:rFonts w:hint="eastAsia"/>
                <w:color w:val="auto"/>
                <w:sz w:val="22"/>
              </w:rPr>
              <w:t>大鹏新区</w:t>
            </w:r>
          </w:p>
        </w:tc>
        <w:tc>
          <w:tcPr>
            <w:tcW w:w="2693" w:type="dxa"/>
            <w:vAlign w:val="center"/>
          </w:tcPr>
          <w:p>
            <w:pPr>
              <w:pStyle w:val="8"/>
              <w:ind w:firstLine="0" w:firstLineChars="0"/>
              <w:jc w:val="left"/>
              <w:rPr>
                <w:color w:val="auto"/>
                <w:sz w:val="22"/>
              </w:rPr>
            </w:pPr>
            <w:r>
              <w:rPr>
                <w:rFonts w:hint="eastAsia"/>
                <w:color w:val="auto"/>
                <w:sz w:val="22"/>
              </w:rPr>
              <w:t>艺象</w:t>
            </w:r>
            <w:r>
              <w:rPr>
                <w:color w:val="auto"/>
                <w:sz w:val="22"/>
              </w:rPr>
              <w:t xml:space="preserve">ID TOWN </w:t>
            </w:r>
            <w:r>
              <w:rPr>
                <w:rFonts w:hint="eastAsia"/>
                <w:color w:val="auto"/>
                <w:sz w:val="22"/>
              </w:rPr>
              <w:t>（原鸿华印染厂）</w:t>
            </w:r>
          </w:p>
        </w:tc>
        <w:tc>
          <w:tcPr>
            <w:tcW w:w="2835" w:type="dxa"/>
            <w:noWrap/>
            <w:vAlign w:val="center"/>
          </w:tcPr>
          <w:p>
            <w:pPr>
              <w:pStyle w:val="8"/>
              <w:ind w:firstLine="0" w:firstLineChars="0"/>
              <w:jc w:val="left"/>
              <w:rPr>
                <w:color w:val="auto"/>
                <w:sz w:val="22"/>
              </w:rPr>
            </w:pPr>
            <w:r>
              <w:rPr>
                <w:rFonts w:hint="eastAsia"/>
                <w:color w:val="auto"/>
                <w:sz w:val="22"/>
              </w:rPr>
              <w:t>公共建筑（观览）</w:t>
            </w:r>
          </w:p>
        </w:tc>
        <w:tc>
          <w:tcPr>
            <w:tcW w:w="3131" w:type="dxa"/>
            <w:vAlign w:val="center"/>
          </w:tcPr>
          <w:p>
            <w:pPr>
              <w:pStyle w:val="8"/>
              <w:ind w:firstLine="0" w:firstLineChars="0"/>
              <w:jc w:val="left"/>
              <w:rPr>
                <w:color w:val="auto"/>
                <w:sz w:val="22"/>
              </w:rPr>
            </w:pPr>
            <w:r>
              <w:rPr>
                <w:rFonts w:hint="eastAsia"/>
                <w:color w:val="auto"/>
                <w:sz w:val="22"/>
              </w:rPr>
              <w:t>工农业建筑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noWrap/>
            <w:vAlign w:val="center"/>
          </w:tcPr>
          <w:p>
            <w:pPr>
              <w:pStyle w:val="8"/>
              <w:ind w:firstLine="0" w:firstLineChars="0"/>
              <w:jc w:val="left"/>
              <w:rPr>
                <w:color w:val="auto"/>
                <w:sz w:val="22"/>
              </w:rPr>
            </w:pPr>
            <w:r>
              <w:rPr>
                <w:rFonts w:hint="eastAsia"/>
                <w:color w:val="auto"/>
                <w:sz w:val="22"/>
              </w:rPr>
              <w:t>袁庚祖居</w:t>
            </w:r>
          </w:p>
        </w:tc>
        <w:tc>
          <w:tcPr>
            <w:tcW w:w="2835" w:type="dxa"/>
            <w:noWrap/>
            <w:vAlign w:val="center"/>
          </w:tcPr>
          <w:p>
            <w:pPr>
              <w:pStyle w:val="8"/>
              <w:ind w:firstLine="0" w:firstLineChars="0"/>
              <w:jc w:val="left"/>
              <w:rPr>
                <w:color w:val="auto"/>
                <w:sz w:val="22"/>
              </w:rPr>
            </w:pPr>
            <w:r>
              <w:rPr>
                <w:rFonts w:hint="eastAsia"/>
                <w:color w:val="auto"/>
                <w:sz w:val="22"/>
              </w:rPr>
              <w:t>公共建筑（观览）</w:t>
            </w:r>
          </w:p>
        </w:tc>
        <w:tc>
          <w:tcPr>
            <w:tcW w:w="3131" w:type="dxa"/>
            <w:vAlign w:val="center"/>
          </w:tcPr>
          <w:p>
            <w:pPr>
              <w:pStyle w:val="8"/>
              <w:ind w:firstLine="0" w:firstLineChars="0"/>
              <w:jc w:val="left"/>
              <w:rPr>
                <w:color w:val="auto"/>
                <w:sz w:val="22"/>
              </w:rPr>
            </w:pPr>
            <w:r>
              <w:rPr>
                <w:rFonts w:hint="eastAsia"/>
                <w:color w:val="auto"/>
                <w:sz w:val="22"/>
              </w:rPr>
              <w:t>居住建筑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vAlign w:val="center"/>
          </w:tcPr>
          <w:p>
            <w:pPr>
              <w:pStyle w:val="8"/>
              <w:ind w:firstLine="0" w:firstLineChars="0"/>
              <w:jc w:val="left"/>
              <w:rPr>
                <w:color w:val="auto"/>
                <w:sz w:val="22"/>
              </w:rPr>
            </w:pPr>
            <w:r>
              <w:rPr>
                <w:rFonts w:hint="eastAsia"/>
                <w:color w:val="auto"/>
                <w:sz w:val="22"/>
              </w:rPr>
              <w:t>大亚湾核电站</w:t>
            </w:r>
          </w:p>
        </w:tc>
        <w:tc>
          <w:tcPr>
            <w:tcW w:w="2835" w:type="dxa"/>
            <w:noWrap/>
            <w:vAlign w:val="center"/>
          </w:tcPr>
          <w:p>
            <w:pPr>
              <w:pStyle w:val="8"/>
              <w:ind w:firstLine="0" w:firstLineChars="0"/>
              <w:jc w:val="left"/>
              <w:rPr>
                <w:color w:val="auto"/>
                <w:sz w:val="22"/>
              </w:rPr>
            </w:pPr>
            <w:r>
              <w:rPr>
                <w:rFonts w:hint="eastAsia"/>
                <w:color w:val="auto"/>
                <w:sz w:val="22"/>
              </w:rPr>
              <w:t>工农业建筑</w:t>
            </w:r>
          </w:p>
        </w:tc>
        <w:tc>
          <w:tcPr>
            <w:tcW w:w="3131" w:type="dxa"/>
            <w:vAlign w:val="center"/>
          </w:tcPr>
          <w:p>
            <w:pPr>
              <w:pStyle w:val="8"/>
              <w:ind w:firstLine="0" w:firstLineChars="0"/>
              <w:jc w:val="left"/>
              <w:rPr>
                <w:color w:val="auto"/>
                <w:sz w:val="22"/>
              </w:rPr>
            </w:pPr>
            <w:r>
              <w:rPr>
                <w:rFonts w:hint="eastAsia"/>
                <w:color w:val="auto"/>
                <w:sz w:val="22"/>
              </w:rPr>
              <w:t>工农业建筑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noWrap/>
            <w:vAlign w:val="center"/>
          </w:tcPr>
          <w:p>
            <w:pPr>
              <w:pStyle w:val="8"/>
              <w:ind w:firstLine="0" w:firstLineChars="0"/>
              <w:jc w:val="left"/>
              <w:rPr>
                <w:color w:val="auto"/>
                <w:sz w:val="22"/>
              </w:rPr>
            </w:pPr>
            <w:r>
              <w:rPr>
                <w:rFonts w:hint="eastAsia"/>
                <w:color w:val="auto"/>
                <w:sz w:val="22"/>
              </w:rPr>
              <w:t>鹤薮小学</w:t>
            </w:r>
          </w:p>
        </w:tc>
        <w:tc>
          <w:tcPr>
            <w:tcW w:w="2835" w:type="dxa"/>
            <w:noWrap/>
            <w:vAlign w:val="center"/>
          </w:tcPr>
          <w:p>
            <w:pPr>
              <w:pStyle w:val="8"/>
              <w:ind w:firstLine="0" w:firstLineChars="0"/>
              <w:jc w:val="left"/>
              <w:rPr>
                <w:color w:val="auto"/>
                <w:sz w:val="22"/>
              </w:rPr>
            </w:pPr>
            <w:r>
              <w:rPr>
                <w:rFonts w:hint="eastAsia"/>
                <w:color w:val="auto"/>
                <w:sz w:val="22"/>
              </w:rPr>
              <w:t>闲置</w:t>
            </w:r>
          </w:p>
        </w:tc>
        <w:tc>
          <w:tcPr>
            <w:tcW w:w="3131" w:type="dxa"/>
            <w:vAlign w:val="center"/>
          </w:tcPr>
          <w:p>
            <w:pPr>
              <w:pStyle w:val="8"/>
              <w:ind w:firstLine="0" w:firstLineChars="0"/>
              <w:jc w:val="left"/>
              <w:rPr>
                <w:color w:val="auto"/>
                <w:sz w:val="22"/>
              </w:rPr>
            </w:pPr>
            <w:r>
              <w:rPr>
                <w:rFonts w:hint="eastAsia"/>
                <w:color w:val="auto"/>
                <w:sz w:val="22"/>
              </w:rPr>
              <w:t>公共建筑（文教）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restart"/>
            <w:noWrap/>
            <w:vAlign w:val="center"/>
          </w:tcPr>
          <w:p>
            <w:pPr>
              <w:pStyle w:val="8"/>
              <w:ind w:firstLine="0" w:firstLineChars="0"/>
              <w:jc w:val="center"/>
              <w:rPr>
                <w:color w:val="auto"/>
                <w:sz w:val="22"/>
              </w:rPr>
            </w:pPr>
            <w:r>
              <w:rPr>
                <w:rFonts w:hint="eastAsia"/>
                <w:color w:val="auto"/>
                <w:sz w:val="22"/>
              </w:rPr>
              <w:t>盐田区</w:t>
            </w:r>
          </w:p>
        </w:tc>
        <w:tc>
          <w:tcPr>
            <w:tcW w:w="2693" w:type="dxa"/>
            <w:vAlign w:val="center"/>
          </w:tcPr>
          <w:p>
            <w:pPr>
              <w:pStyle w:val="8"/>
              <w:ind w:firstLine="0" w:firstLineChars="0"/>
              <w:jc w:val="left"/>
              <w:rPr>
                <w:color w:val="auto"/>
                <w:sz w:val="22"/>
              </w:rPr>
            </w:pPr>
            <w:r>
              <w:rPr>
                <w:rFonts w:hint="eastAsia"/>
                <w:color w:val="auto"/>
                <w:sz w:val="22"/>
              </w:rPr>
              <w:t>中英街历史博物馆</w:t>
            </w:r>
          </w:p>
        </w:tc>
        <w:tc>
          <w:tcPr>
            <w:tcW w:w="2835" w:type="dxa"/>
            <w:noWrap/>
            <w:vAlign w:val="center"/>
          </w:tcPr>
          <w:p>
            <w:pPr>
              <w:pStyle w:val="8"/>
              <w:ind w:firstLine="0" w:firstLineChars="0"/>
              <w:jc w:val="left"/>
              <w:rPr>
                <w:color w:val="auto"/>
                <w:sz w:val="22"/>
              </w:rPr>
            </w:pPr>
            <w:r>
              <w:rPr>
                <w:rFonts w:hint="eastAsia"/>
                <w:color w:val="auto"/>
                <w:sz w:val="22"/>
              </w:rPr>
              <w:t>公共建筑（观览）</w:t>
            </w:r>
          </w:p>
        </w:tc>
        <w:tc>
          <w:tcPr>
            <w:tcW w:w="3131" w:type="dxa"/>
            <w:vAlign w:val="center"/>
          </w:tcPr>
          <w:p>
            <w:pPr>
              <w:pStyle w:val="8"/>
              <w:ind w:firstLine="0" w:firstLineChars="0"/>
              <w:jc w:val="left"/>
              <w:rPr>
                <w:color w:val="auto"/>
                <w:sz w:val="22"/>
              </w:rPr>
            </w:pPr>
            <w:r>
              <w:rPr>
                <w:rFonts w:hint="eastAsia"/>
                <w:color w:val="auto"/>
                <w:sz w:val="22"/>
              </w:rPr>
              <w:t>公共建筑（观览）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vAlign w:val="center"/>
          </w:tcPr>
          <w:p>
            <w:pPr>
              <w:pStyle w:val="8"/>
              <w:ind w:firstLine="0" w:firstLineChars="0"/>
              <w:jc w:val="left"/>
              <w:rPr>
                <w:color w:val="auto"/>
                <w:sz w:val="22"/>
              </w:rPr>
            </w:pPr>
            <w:r>
              <w:rPr>
                <w:rFonts w:hint="eastAsia"/>
                <w:color w:val="auto"/>
                <w:sz w:val="22"/>
              </w:rPr>
              <w:t>盐田港国际集装箱码头</w:t>
            </w:r>
          </w:p>
        </w:tc>
        <w:tc>
          <w:tcPr>
            <w:tcW w:w="2835" w:type="dxa"/>
            <w:noWrap/>
            <w:vAlign w:val="center"/>
          </w:tcPr>
          <w:p>
            <w:pPr>
              <w:pStyle w:val="8"/>
              <w:ind w:firstLine="0" w:firstLineChars="0"/>
              <w:jc w:val="left"/>
              <w:rPr>
                <w:color w:val="auto"/>
                <w:sz w:val="22"/>
              </w:rPr>
            </w:pPr>
            <w:r>
              <w:rPr>
                <w:rFonts w:hint="eastAsia"/>
                <w:color w:val="auto"/>
                <w:sz w:val="22"/>
              </w:rPr>
              <w:t>工农业建筑</w:t>
            </w:r>
          </w:p>
        </w:tc>
        <w:tc>
          <w:tcPr>
            <w:tcW w:w="3131" w:type="dxa"/>
            <w:vAlign w:val="center"/>
          </w:tcPr>
          <w:p>
            <w:pPr>
              <w:pStyle w:val="8"/>
              <w:ind w:firstLine="0" w:firstLineChars="0"/>
              <w:jc w:val="left"/>
              <w:rPr>
                <w:color w:val="auto"/>
                <w:sz w:val="22"/>
              </w:rPr>
            </w:pPr>
            <w:r>
              <w:rPr>
                <w:rFonts w:hint="eastAsia"/>
                <w:color w:val="auto"/>
                <w:sz w:val="22"/>
              </w:rPr>
              <w:t>工农业建筑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pPr>
              <w:pStyle w:val="8"/>
              <w:ind w:firstLine="440"/>
              <w:jc w:val="center"/>
              <w:rPr>
                <w:color w:val="auto"/>
                <w:sz w:val="22"/>
              </w:rPr>
            </w:pPr>
          </w:p>
        </w:tc>
        <w:tc>
          <w:tcPr>
            <w:tcW w:w="2693" w:type="dxa"/>
            <w:noWrap/>
            <w:vAlign w:val="center"/>
          </w:tcPr>
          <w:p>
            <w:pPr>
              <w:pStyle w:val="8"/>
              <w:ind w:firstLine="0" w:firstLineChars="0"/>
              <w:jc w:val="left"/>
              <w:rPr>
                <w:color w:val="auto"/>
                <w:sz w:val="22"/>
              </w:rPr>
            </w:pPr>
            <w:r>
              <w:rPr>
                <w:rFonts w:hint="eastAsia"/>
                <w:color w:val="auto"/>
                <w:sz w:val="22"/>
              </w:rPr>
              <w:t>沙头角保税区</w:t>
            </w:r>
          </w:p>
        </w:tc>
        <w:tc>
          <w:tcPr>
            <w:tcW w:w="2835" w:type="dxa"/>
            <w:noWrap/>
            <w:vAlign w:val="center"/>
          </w:tcPr>
          <w:p>
            <w:pPr>
              <w:pStyle w:val="8"/>
              <w:ind w:firstLine="0" w:firstLineChars="0"/>
              <w:jc w:val="left"/>
              <w:rPr>
                <w:color w:val="auto"/>
                <w:sz w:val="22"/>
              </w:rPr>
            </w:pPr>
            <w:r>
              <w:rPr>
                <w:rFonts w:hint="eastAsia"/>
                <w:color w:val="auto"/>
                <w:sz w:val="22"/>
              </w:rPr>
              <w:t>闲置，计划腾退</w:t>
            </w:r>
          </w:p>
        </w:tc>
        <w:tc>
          <w:tcPr>
            <w:tcW w:w="3131" w:type="dxa"/>
            <w:vAlign w:val="center"/>
          </w:tcPr>
          <w:p>
            <w:pPr>
              <w:pStyle w:val="8"/>
              <w:ind w:firstLine="0" w:firstLineChars="0"/>
              <w:jc w:val="left"/>
              <w:rPr>
                <w:color w:val="auto"/>
                <w:sz w:val="22"/>
              </w:rPr>
            </w:pPr>
            <w:r>
              <w:rPr>
                <w:rFonts w:hint="eastAsia"/>
                <w:color w:val="auto"/>
                <w:sz w:val="22"/>
              </w:rPr>
              <w:t>公共建筑（行政办公、商业）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271" w:type="dxa"/>
            <w:vMerge w:val="restart"/>
            <w:noWrap/>
            <w:vAlign w:val="center"/>
          </w:tcPr>
          <w:p>
            <w:pPr>
              <w:pStyle w:val="8"/>
              <w:ind w:firstLine="0" w:firstLineChars="0"/>
              <w:jc w:val="center"/>
              <w:rPr>
                <w:color w:val="auto"/>
                <w:sz w:val="22"/>
              </w:rPr>
            </w:pPr>
            <w:r>
              <w:rPr>
                <w:rFonts w:hint="eastAsia"/>
                <w:color w:val="auto"/>
                <w:sz w:val="22"/>
              </w:rPr>
              <w:t>龙岗区</w:t>
            </w:r>
          </w:p>
        </w:tc>
        <w:tc>
          <w:tcPr>
            <w:tcW w:w="2693" w:type="dxa"/>
            <w:vAlign w:val="center"/>
          </w:tcPr>
          <w:p>
            <w:pPr>
              <w:pStyle w:val="8"/>
              <w:ind w:firstLine="0" w:firstLineChars="0"/>
              <w:jc w:val="left"/>
              <w:rPr>
                <w:color w:val="auto"/>
                <w:sz w:val="22"/>
              </w:rPr>
            </w:pPr>
            <w:r>
              <w:rPr>
                <w:rFonts w:hint="eastAsia"/>
                <w:color w:val="auto"/>
                <w:sz w:val="22"/>
              </w:rPr>
              <w:t>大芬油画村（胜发店铺、第一个油画工坊）</w:t>
            </w:r>
          </w:p>
        </w:tc>
        <w:tc>
          <w:tcPr>
            <w:tcW w:w="2835" w:type="dxa"/>
            <w:noWrap/>
            <w:vAlign w:val="center"/>
          </w:tcPr>
          <w:p>
            <w:pPr>
              <w:pStyle w:val="8"/>
              <w:ind w:firstLine="0" w:firstLineChars="0"/>
              <w:jc w:val="left"/>
              <w:rPr>
                <w:color w:val="auto"/>
                <w:sz w:val="22"/>
              </w:rPr>
            </w:pPr>
            <w:r>
              <w:rPr>
                <w:rFonts w:hint="eastAsia"/>
                <w:color w:val="auto"/>
                <w:sz w:val="22"/>
              </w:rPr>
              <w:t>公共建筑（商业）</w:t>
            </w:r>
          </w:p>
        </w:tc>
        <w:tc>
          <w:tcPr>
            <w:tcW w:w="3131" w:type="dxa"/>
            <w:vAlign w:val="center"/>
          </w:tcPr>
          <w:p>
            <w:pPr>
              <w:pStyle w:val="8"/>
              <w:ind w:firstLine="0" w:firstLineChars="0"/>
              <w:jc w:val="left"/>
              <w:rPr>
                <w:color w:val="auto"/>
                <w:sz w:val="22"/>
              </w:rPr>
            </w:pPr>
            <w:r>
              <w:rPr>
                <w:rFonts w:hint="eastAsia"/>
                <w:color w:val="auto"/>
                <w:sz w:val="22"/>
              </w:rPr>
              <w:t>公共建筑（商业）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271" w:type="dxa"/>
            <w:vMerge w:val="continue"/>
            <w:vAlign w:val="center"/>
          </w:tcPr>
          <w:p>
            <w:pPr>
              <w:pStyle w:val="8"/>
              <w:ind w:firstLine="440"/>
              <w:jc w:val="center"/>
              <w:rPr>
                <w:color w:val="auto"/>
                <w:sz w:val="22"/>
              </w:rPr>
            </w:pPr>
          </w:p>
        </w:tc>
        <w:tc>
          <w:tcPr>
            <w:tcW w:w="2693" w:type="dxa"/>
            <w:vAlign w:val="center"/>
          </w:tcPr>
          <w:p>
            <w:pPr>
              <w:pStyle w:val="8"/>
              <w:ind w:firstLine="0" w:firstLineChars="0"/>
              <w:jc w:val="left"/>
              <w:rPr>
                <w:color w:val="auto"/>
                <w:sz w:val="22"/>
              </w:rPr>
            </w:pPr>
            <w:r>
              <w:rPr>
                <w:rFonts w:hint="eastAsia"/>
                <w:color w:val="auto"/>
                <w:sz w:val="22"/>
              </w:rPr>
              <w:t>南岭村（村委办公楼——会议室，社区党群服务中心）</w:t>
            </w:r>
          </w:p>
        </w:tc>
        <w:tc>
          <w:tcPr>
            <w:tcW w:w="2835" w:type="dxa"/>
            <w:noWrap/>
            <w:vAlign w:val="center"/>
          </w:tcPr>
          <w:p>
            <w:pPr>
              <w:pStyle w:val="8"/>
              <w:ind w:firstLine="0" w:firstLineChars="0"/>
              <w:jc w:val="left"/>
              <w:rPr>
                <w:color w:val="auto"/>
                <w:sz w:val="22"/>
              </w:rPr>
            </w:pPr>
            <w:r>
              <w:rPr>
                <w:rFonts w:hint="eastAsia"/>
                <w:color w:val="auto"/>
                <w:sz w:val="22"/>
              </w:rPr>
              <w:t>公共建筑（行政办公）</w:t>
            </w:r>
          </w:p>
        </w:tc>
        <w:tc>
          <w:tcPr>
            <w:tcW w:w="3131" w:type="dxa"/>
            <w:vAlign w:val="center"/>
          </w:tcPr>
          <w:p>
            <w:pPr>
              <w:pStyle w:val="8"/>
              <w:ind w:firstLine="0" w:firstLineChars="0"/>
              <w:jc w:val="left"/>
              <w:rPr>
                <w:color w:val="auto"/>
                <w:sz w:val="22"/>
              </w:rPr>
            </w:pPr>
            <w:r>
              <w:rPr>
                <w:rFonts w:hint="eastAsia"/>
                <w:color w:val="auto"/>
                <w:sz w:val="22"/>
              </w:rPr>
              <w:t>公共建筑（行政办公）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noWrap/>
            <w:vAlign w:val="center"/>
          </w:tcPr>
          <w:p>
            <w:pPr>
              <w:pStyle w:val="8"/>
              <w:ind w:firstLine="0" w:firstLineChars="0"/>
              <w:jc w:val="center"/>
              <w:rPr>
                <w:color w:val="auto"/>
                <w:sz w:val="22"/>
              </w:rPr>
            </w:pPr>
            <w:r>
              <w:rPr>
                <w:rFonts w:hint="eastAsia"/>
                <w:color w:val="auto"/>
                <w:sz w:val="22"/>
              </w:rPr>
              <w:t>宝安区</w:t>
            </w:r>
          </w:p>
        </w:tc>
        <w:tc>
          <w:tcPr>
            <w:tcW w:w="2693" w:type="dxa"/>
            <w:vAlign w:val="center"/>
          </w:tcPr>
          <w:p>
            <w:pPr>
              <w:pStyle w:val="8"/>
              <w:ind w:firstLine="0" w:firstLineChars="0"/>
              <w:jc w:val="left"/>
              <w:rPr>
                <w:color w:val="auto"/>
                <w:sz w:val="22"/>
              </w:rPr>
            </w:pPr>
            <w:r>
              <w:rPr>
                <w:rFonts w:hint="eastAsia"/>
                <w:color w:val="auto"/>
                <w:sz w:val="22"/>
              </w:rPr>
              <w:t>深圳劳务工博物馆</w:t>
            </w:r>
          </w:p>
        </w:tc>
        <w:tc>
          <w:tcPr>
            <w:tcW w:w="2835" w:type="dxa"/>
            <w:noWrap/>
            <w:vAlign w:val="center"/>
          </w:tcPr>
          <w:p>
            <w:pPr>
              <w:pStyle w:val="8"/>
              <w:ind w:firstLine="0" w:firstLineChars="0"/>
              <w:jc w:val="left"/>
              <w:rPr>
                <w:color w:val="auto"/>
                <w:sz w:val="22"/>
              </w:rPr>
            </w:pPr>
            <w:r>
              <w:rPr>
                <w:rFonts w:hint="eastAsia"/>
                <w:color w:val="auto"/>
                <w:sz w:val="22"/>
              </w:rPr>
              <w:t>公共建筑（观览）</w:t>
            </w:r>
          </w:p>
        </w:tc>
        <w:tc>
          <w:tcPr>
            <w:tcW w:w="3131" w:type="dxa"/>
            <w:vAlign w:val="center"/>
          </w:tcPr>
          <w:p>
            <w:pPr>
              <w:pStyle w:val="8"/>
              <w:ind w:firstLine="0" w:firstLineChars="0"/>
              <w:jc w:val="left"/>
              <w:rPr>
                <w:color w:val="auto"/>
                <w:sz w:val="22"/>
              </w:rPr>
            </w:pPr>
            <w:r>
              <w:rPr>
                <w:rFonts w:hint="eastAsia"/>
                <w:color w:val="auto"/>
                <w:sz w:val="22"/>
              </w:rPr>
              <w:t>公共建筑（观览）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noWrap/>
            <w:vAlign w:val="center"/>
          </w:tcPr>
          <w:p>
            <w:pPr>
              <w:pStyle w:val="8"/>
              <w:ind w:firstLine="0" w:firstLineChars="0"/>
              <w:jc w:val="center"/>
              <w:rPr>
                <w:color w:val="auto"/>
                <w:sz w:val="22"/>
              </w:rPr>
            </w:pPr>
            <w:r>
              <w:rPr>
                <w:rFonts w:hint="eastAsia"/>
                <w:color w:val="auto"/>
                <w:sz w:val="22"/>
                <w:lang w:eastAsia="zh-Hans"/>
              </w:rPr>
              <w:t>光明</w:t>
            </w:r>
            <w:r>
              <w:rPr>
                <w:rFonts w:hint="eastAsia"/>
                <w:color w:val="auto"/>
                <w:sz w:val="22"/>
              </w:rPr>
              <w:t>区</w:t>
            </w:r>
          </w:p>
        </w:tc>
        <w:tc>
          <w:tcPr>
            <w:tcW w:w="2693" w:type="dxa"/>
            <w:vAlign w:val="center"/>
          </w:tcPr>
          <w:p>
            <w:pPr>
              <w:pStyle w:val="8"/>
              <w:ind w:firstLine="0" w:firstLineChars="0"/>
              <w:jc w:val="left"/>
              <w:rPr>
                <w:color w:val="auto"/>
                <w:sz w:val="22"/>
              </w:rPr>
            </w:pPr>
            <w:r>
              <w:rPr>
                <w:rFonts w:hint="eastAsia"/>
                <w:color w:val="auto"/>
                <w:sz w:val="22"/>
              </w:rPr>
              <w:t>光明街道糖厂</w:t>
            </w:r>
          </w:p>
        </w:tc>
        <w:tc>
          <w:tcPr>
            <w:tcW w:w="2835" w:type="dxa"/>
            <w:noWrap/>
            <w:vAlign w:val="center"/>
          </w:tcPr>
          <w:p>
            <w:pPr>
              <w:pStyle w:val="8"/>
              <w:ind w:firstLine="0" w:firstLineChars="0"/>
              <w:jc w:val="left"/>
              <w:rPr>
                <w:color w:val="auto"/>
                <w:sz w:val="22"/>
              </w:rPr>
            </w:pPr>
            <w:r>
              <w:rPr>
                <w:rFonts w:hint="eastAsia"/>
                <w:color w:val="auto"/>
                <w:sz w:val="22"/>
              </w:rPr>
              <w:t>闲置</w:t>
            </w:r>
          </w:p>
        </w:tc>
        <w:tc>
          <w:tcPr>
            <w:tcW w:w="3131" w:type="dxa"/>
            <w:vAlign w:val="center"/>
          </w:tcPr>
          <w:p>
            <w:pPr>
              <w:pStyle w:val="8"/>
              <w:ind w:firstLine="0" w:firstLineChars="0"/>
              <w:jc w:val="left"/>
              <w:rPr>
                <w:color w:val="auto"/>
                <w:sz w:val="22"/>
              </w:rPr>
            </w:pPr>
            <w:r>
              <w:rPr>
                <w:rFonts w:hint="eastAsia"/>
                <w:color w:val="auto"/>
                <w:sz w:val="22"/>
              </w:rPr>
              <w:t>工农业建筑</w:t>
            </w:r>
          </w:p>
        </w:tc>
      </w:tr>
    </w:tbl>
    <w:p>
      <w:pPr>
        <w:pStyle w:val="8"/>
        <w:rPr>
          <w:color w:val="auto"/>
        </w:rPr>
      </w:pPr>
    </w:p>
    <w:p>
      <w:pPr>
        <w:pStyle w:val="4"/>
        <w:rPr>
          <w:color w:val="auto"/>
        </w:rPr>
      </w:pPr>
      <w:r>
        <w:rPr>
          <w:rFonts w:hint="eastAsia"/>
          <w:color w:val="auto"/>
        </w:rPr>
        <w:t>2</w:t>
      </w:r>
      <w:r>
        <w:rPr>
          <w:color w:val="auto"/>
        </w:rPr>
        <w:t>.3.3</w:t>
      </w:r>
      <w:r>
        <w:rPr>
          <w:rFonts w:hint="eastAsia"/>
          <w:color w:val="auto"/>
        </w:rPr>
        <w:t xml:space="preserve"> 重要史迹保护级别及公布情况</w:t>
      </w:r>
    </w:p>
    <w:p>
      <w:pPr>
        <w:pStyle w:val="8"/>
        <w:rPr>
          <w:color w:val="auto"/>
        </w:rPr>
        <w:sectPr>
          <w:footerReference r:id="rId7" w:type="default"/>
          <w:pgSz w:w="23811" w:h="16838" w:orient="landscape"/>
          <w:pgMar w:top="1800" w:right="1440" w:bottom="1800" w:left="1440" w:header="851" w:footer="992" w:gutter="0"/>
          <w:pgNumType w:start="1"/>
          <w:cols w:space="1051" w:num="2"/>
          <w:docGrid w:type="lines" w:linePitch="312" w:charSpace="0"/>
        </w:sectPr>
      </w:pPr>
      <w:r>
        <w:rPr>
          <w:rFonts w:hint="eastAsia"/>
          <w:color w:val="auto"/>
        </w:rPr>
        <w:t>42处重要史迹中，深圳</w:t>
      </w:r>
      <w:r>
        <w:rPr>
          <w:rFonts w:hint="eastAsia"/>
          <w:color w:val="auto"/>
          <w:lang w:val="en-US" w:eastAsia="zh-CN"/>
        </w:rPr>
        <w:t>省级、</w:t>
      </w:r>
      <w:r>
        <w:rPr>
          <w:rFonts w:hint="eastAsia"/>
          <w:color w:val="auto"/>
        </w:rPr>
        <w:t>市</w:t>
      </w:r>
      <w:r>
        <w:rPr>
          <w:rFonts w:hint="eastAsia"/>
          <w:color w:val="auto"/>
          <w:lang w:eastAsia="zh-CN"/>
        </w:rPr>
        <w:t>区级、</w:t>
      </w:r>
      <w:r>
        <w:rPr>
          <w:rFonts w:hint="eastAsia"/>
          <w:color w:val="auto"/>
          <w:lang w:val="en-US" w:eastAsia="zh-CN"/>
        </w:rPr>
        <w:t>未定级</w:t>
      </w:r>
      <w:r>
        <w:rPr>
          <w:rFonts w:hint="eastAsia"/>
          <w:color w:val="auto"/>
        </w:rPr>
        <w:t>文物保护单位共</w:t>
      </w:r>
      <w:r>
        <w:rPr>
          <w:color w:val="auto"/>
        </w:rPr>
        <w:t>5</w:t>
      </w:r>
      <w:r>
        <w:rPr>
          <w:rFonts w:hint="eastAsia"/>
          <w:color w:val="auto"/>
        </w:rPr>
        <w:t>处，分别是</w:t>
      </w:r>
      <w:r>
        <w:rPr>
          <w:rFonts w:hint="eastAsia"/>
          <w:color w:val="auto"/>
          <w:lang w:val="en-US" w:eastAsia="zh-CN"/>
        </w:rPr>
        <w:t>省级两处：</w:t>
      </w:r>
      <w:r>
        <w:rPr>
          <w:rFonts w:hint="eastAsia"/>
          <w:color w:val="auto"/>
        </w:rPr>
        <w:t>孺子牛雕像、莲花山公园邓小平</w:t>
      </w:r>
      <w:r>
        <w:rPr>
          <w:rFonts w:hint="eastAsia"/>
          <w:color w:val="auto"/>
          <w:lang w:eastAsia="zh-CN"/>
        </w:rPr>
        <w:t>铜像，</w:t>
      </w:r>
      <w:r>
        <w:rPr>
          <w:rFonts w:hint="eastAsia"/>
          <w:color w:val="auto"/>
        </w:rPr>
        <w:t>市级</w:t>
      </w:r>
      <w:r>
        <w:rPr>
          <w:rFonts w:hint="eastAsia"/>
          <w:color w:val="auto"/>
          <w:lang w:val="en-US" w:eastAsia="zh-CN"/>
        </w:rPr>
        <w:t>两处</w:t>
      </w:r>
      <w:r>
        <w:rPr>
          <w:rFonts w:hint="eastAsia"/>
          <w:color w:val="auto"/>
        </w:rPr>
        <w:t>：“时间就是金钱，效率就是生命”标语牌、前海石；未定级</w:t>
      </w:r>
      <w:r>
        <w:rPr>
          <w:rFonts w:hint="eastAsia"/>
          <w:color w:val="auto"/>
          <w:lang w:val="en-US" w:eastAsia="zh-CN"/>
        </w:rPr>
        <w:t>一处</w:t>
      </w:r>
      <w:r>
        <w:rPr>
          <w:rFonts w:hint="eastAsia"/>
          <w:color w:val="auto"/>
        </w:rPr>
        <w:t>：袁庚祖居。深圳第一批及第二批历史建筑</w:t>
      </w:r>
      <w:r>
        <w:rPr>
          <w:rFonts w:hint="eastAsia"/>
          <w:color w:val="auto"/>
          <w:lang w:val="en-US" w:eastAsia="zh-CN"/>
        </w:rPr>
        <w:t>18</w:t>
      </w:r>
      <w:r>
        <w:rPr>
          <w:rFonts w:hint="eastAsia"/>
          <w:color w:val="auto"/>
        </w:rPr>
        <w:t>处。其余尚未核定为保护单位。详见附录二。</w:t>
      </w:r>
    </w:p>
    <w:p>
      <w:pPr>
        <w:pStyle w:val="2"/>
        <w:rPr>
          <w:color w:val="auto"/>
        </w:rPr>
      </w:pPr>
      <w:bookmarkStart w:id="90" w:name="_Toc6214"/>
      <w:bookmarkStart w:id="91" w:name="_Toc24041"/>
      <w:bookmarkStart w:id="92" w:name="_Toc12054"/>
      <w:bookmarkStart w:id="93" w:name="_Toc1246444950"/>
      <w:bookmarkStart w:id="94" w:name="_Toc19180"/>
      <w:bookmarkStart w:id="95" w:name="_Toc23149"/>
      <w:bookmarkStart w:id="96" w:name="_Toc114072187"/>
      <w:bookmarkStart w:id="97" w:name="_Toc5379"/>
      <w:r>
        <w:rPr>
          <w:rFonts w:hint="eastAsia"/>
          <w:color w:val="auto"/>
        </w:rPr>
        <w:t>第三章</w:t>
      </w:r>
      <w:r>
        <w:rPr>
          <w:color w:val="auto"/>
        </w:rPr>
        <w:t xml:space="preserve"> </w:t>
      </w:r>
      <w:r>
        <w:rPr>
          <w:rFonts w:hint="eastAsia"/>
          <w:color w:val="auto"/>
        </w:rPr>
        <w:t>专项评估</w:t>
      </w:r>
      <w:bookmarkEnd w:id="90"/>
      <w:bookmarkEnd w:id="91"/>
      <w:bookmarkEnd w:id="92"/>
      <w:bookmarkEnd w:id="93"/>
      <w:bookmarkEnd w:id="94"/>
      <w:bookmarkEnd w:id="95"/>
      <w:bookmarkEnd w:id="96"/>
      <w:bookmarkEnd w:id="97"/>
    </w:p>
    <w:p>
      <w:pPr>
        <w:pStyle w:val="3"/>
        <w:rPr>
          <w:color w:val="auto"/>
        </w:rPr>
      </w:pPr>
      <w:bookmarkStart w:id="98" w:name="_Toc114072188"/>
      <w:bookmarkStart w:id="99" w:name="_Toc4795"/>
      <w:bookmarkStart w:id="100" w:name="_Toc25174"/>
      <w:bookmarkStart w:id="101" w:name="_Toc1843"/>
      <w:bookmarkStart w:id="102" w:name="_Toc297298165"/>
      <w:bookmarkStart w:id="103" w:name="_Toc18940"/>
      <w:bookmarkStart w:id="104" w:name="_Toc26122"/>
      <w:bookmarkStart w:id="105" w:name="_Toc22259"/>
      <w:r>
        <w:rPr>
          <w:color w:val="auto"/>
        </w:rPr>
        <w:t>3.1</w:t>
      </w:r>
      <w:r>
        <w:rPr>
          <w:rFonts w:hint="eastAsia"/>
          <w:color w:val="auto"/>
        </w:rPr>
        <w:t>重要史迹价值评估</w:t>
      </w:r>
      <w:bookmarkEnd w:id="98"/>
      <w:bookmarkEnd w:id="99"/>
      <w:bookmarkEnd w:id="100"/>
      <w:bookmarkEnd w:id="101"/>
      <w:bookmarkEnd w:id="102"/>
      <w:bookmarkEnd w:id="103"/>
      <w:bookmarkEnd w:id="104"/>
      <w:bookmarkEnd w:id="105"/>
    </w:p>
    <w:p>
      <w:pPr>
        <w:pStyle w:val="4"/>
        <w:rPr>
          <w:color w:val="auto"/>
        </w:rPr>
      </w:pPr>
      <w:r>
        <w:rPr>
          <w:color w:val="auto"/>
        </w:rPr>
        <w:t xml:space="preserve">3.1.1 </w:t>
      </w:r>
      <w:r>
        <w:rPr>
          <w:rFonts w:hint="eastAsia"/>
          <w:color w:val="auto"/>
        </w:rPr>
        <w:t>重要史迹的历史文化价值综述</w:t>
      </w:r>
    </w:p>
    <w:p>
      <w:pPr>
        <w:pStyle w:val="8"/>
        <w:rPr>
          <w:color w:val="auto"/>
        </w:rPr>
      </w:pPr>
      <w:r>
        <w:rPr>
          <w:color w:val="auto"/>
        </w:rPr>
        <w:t>重要史迹是深圳改革开放文化的物质载体主线，是深圳城市发展的突出特质。</w:t>
      </w:r>
    </w:p>
    <w:p>
      <w:pPr>
        <w:pStyle w:val="8"/>
        <w:rPr>
          <w:color w:val="auto"/>
        </w:rPr>
      </w:pPr>
      <w:r>
        <w:rPr>
          <w:color w:val="auto"/>
        </w:rPr>
        <w:t xml:space="preserve">重要史迹与改革开放时期历史事件、历史人物密切相关，具有划时代的重要意义。 </w:t>
      </w:r>
    </w:p>
    <w:p>
      <w:pPr>
        <w:pStyle w:val="8"/>
        <w:rPr>
          <w:color w:val="auto"/>
        </w:rPr>
      </w:pPr>
      <w:r>
        <w:rPr>
          <w:color w:val="auto"/>
        </w:rPr>
        <w:t>重要史迹的施工工艺和工程技术体现了改革开放时期创新、高效精神，在全国行业发展史上具有代表性、开创性、引领性，具有典型时代特点及地标性。</w:t>
      </w:r>
    </w:p>
    <w:p>
      <w:pPr>
        <w:pStyle w:val="4"/>
        <w:rPr>
          <w:color w:val="auto"/>
        </w:rPr>
      </w:pPr>
      <w:r>
        <w:rPr>
          <w:color w:val="auto"/>
        </w:rPr>
        <w:t>3.1.2</w:t>
      </w:r>
      <w:r>
        <w:rPr>
          <w:rFonts w:hint="eastAsia"/>
          <w:color w:val="auto"/>
        </w:rPr>
        <w:t>重要史迹价值体系</w:t>
      </w:r>
    </w:p>
    <w:p>
      <w:pPr>
        <w:pStyle w:val="8"/>
        <w:rPr>
          <w:color w:val="auto"/>
        </w:rPr>
      </w:pPr>
      <w:r>
        <w:rPr>
          <w:rFonts w:hint="eastAsia"/>
          <w:color w:val="auto"/>
        </w:rPr>
        <w:t>（</w:t>
      </w:r>
      <w:r>
        <w:rPr>
          <w:color w:val="auto"/>
        </w:rPr>
        <w:t>1）社会价值</w:t>
      </w:r>
    </w:p>
    <w:p>
      <w:pPr>
        <w:pStyle w:val="8"/>
        <w:rPr>
          <w:color w:val="auto"/>
        </w:rPr>
      </w:pPr>
      <w:r>
        <w:rPr>
          <w:rFonts w:hint="eastAsia"/>
          <w:color w:val="auto"/>
        </w:rPr>
        <w:t>深圳改革开放重要史迹记录着改革开放时期，尤其初期，深圳及全国各地人民对深圳发展所做出的重大贡献，凝聚着全国人民走进改革开放新时代的共同记忆；深圳改革开放重要史迹是保存城市记忆、弘扬特区精神的物质载体；改革开放衍生出的“时间就是金钱，效率就是生命”、“空谈误国</w:t>
      </w:r>
      <w:r>
        <w:rPr>
          <w:color w:val="auto"/>
        </w:rPr>
        <w:t xml:space="preserve"> 实干兴</w:t>
      </w:r>
      <w:r>
        <w:rPr>
          <w:rFonts w:hint="eastAsia"/>
          <w:color w:val="auto"/>
        </w:rPr>
        <w:t>邦”</w:t>
      </w:r>
      <w:r>
        <w:rPr>
          <w:color w:val="auto"/>
        </w:rPr>
        <w:t>等口号不仅体现了改革开放时期某一地区或某一行业人群的集体认同感，更体现了新的社会价值观及时代主题，是创新、创业精神内涵的浓缩和体现</w:t>
      </w:r>
      <w:r>
        <w:rPr>
          <w:rFonts w:hint="eastAsia"/>
          <w:color w:val="auto"/>
        </w:rPr>
        <w:t>，</w:t>
      </w:r>
      <w:r>
        <w:rPr>
          <w:color w:val="auto"/>
        </w:rPr>
        <w:t>是振奋人民精神、增强民族意识的精神支柱，被多频度、多层次的广为传播至今。</w:t>
      </w:r>
    </w:p>
    <w:p>
      <w:pPr>
        <w:pStyle w:val="8"/>
        <w:rPr>
          <w:color w:val="auto"/>
        </w:rPr>
      </w:pPr>
      <w:r>
        <w:rPr>
          <w:rFonts w:hint="eastAsia"/>
          <w:color w:val="auto"/>
        </w:rPr>
        <w:t>（</w:t>
      </w:r>
      <w:r>
        <w:rPr>
          <w:color w:val="auto"/>
        </w:rPr>
        <w:t>2）历史价值</w:t>
      </w:r>
    </w:p>
    <w:p>
      <w:pPr>
        <w:pStyle w:val="8"/>
        <w:rPr>
          <w:color w:val="auto"/>
        </w:rPr>
      </w:pPr>
      <w:r>
        <w:rPr>
          <w:rFonts w:hint="eastAsia"/>
          <w:color w:val="auto"/>
        </w:rPr>
        <w:t>深圳改革开放重要史迹是国家改革开放政策下孕育的深圳各类企业创业历史及成长经历的重要实证，不仅见证了深圳的改革开放发展历程，也是深圳建设者们生产、生活场景的再现，饱含了他们的家园意识及归属感。</w:t>
      </w:r>
    </w:p>
    <w:p>
      <w:pPr>
        <w:pStyle w:val="8"/>
        <w:rPr>
          <w:color w:val="auto"/>
        </w:rPr>
      </w:pPr>
      <w:r>
        <w:rPr>
          <w:rFonts w:hint="eastAsia"/>
          <w:color w:val="auto"/>
        </w:rPr>
        <w:t>（</w:t>
      </w:r>
      <w:r>
        <w:rPr>
          <w:color w:val="auto"/>
        </w:rPr>
        <w:t>3</w:t>
      </w:r>
      <w:r>
        <w:rPr>
          <w:rFonts w:hint="eastAsia"/>
          <w:color w:val="auto"/>
        </w:rPr>
        <w:t>）文化价值</w:t>
      </w:r>
    </w:p>
    <w:p>
      <w:pPr>
        <w:pStyle w:val="8"/>
        <w:rPr>
          <w:color w:val="auto"/>
        </w:rPr>
      </w:pPr>
      <w:r>
        <w:rPr>
          <w:rFonts w:hint="eastAsia"/>
          <w:color w:val="auto"/>
        </w:rPr>
        <w:t>深圳改革开放重要史迹是文化教育的重要场所，展现了改革开放的工业元素、文化教育创新、“生产文化”、“城市精神”等，是全体中国人民改革开放的重要的物质形态的历史文化记忆。能充分表现开拓创新的深圳精神。如深圳莲花山公园的邓小平</w:t>
      </w:r>
      <w:r>
        <w:rPr>
          <w:rFonts w:hint="eastAsia"/>
          <w:color w:val="auto"/>
          <w:lang w:eastAsia="zh-CN"/>
        </w:rPr>
        <w:t>铜像</w:t>
      </w:r>
      <w:r>
        <w:rPr>
          <w:rFonts w:hint="eastAsia"/>
          <w:color w:val="auto"/>
        </w:rPr>
        <w:t>，象征着深圳要在改革开放中要始终大步向前，展现邓小平通知对深圳的期待和信心。深圳国贸大厦是改革开放早期“深圳速度”的体现，要充分延续“深圳速度”的精神，在改革开放中，深圳要大步走在最前列。</w:t>
      </w:r>
    </w:p>
    <w:p>
      <w:pPr>
        <w:pStyle w:val="8"/>
        <w:rPr>
          <w:color w:val="auto"/>
        </w:rPr>
      </w:pPr>
      <w:r>
        <w:rPr>
          <w:color w:val="auto"/>
        </w:rPr>
        <w:t>（4）科学价值</w:t>
      </w:r>
    </w:p>
    <w:p>
      <w:pPr>
        <w:pStyle w:val="8"/>
        <w:rPr>
          <w:color w:val="auto"/>
        </w:rPr>
      </w:pPr>
      <w:r>
        <w:rPr>
          <w:rFonts w:hint="eastAsia"/>
          <w:color w:val="auto"/>
        </w:rPr>
        <w:t>深圳改革开放重要史迹中部分建筑及工业厂房等引进当时先进的生产技术和设备，如国贸大厦创下了三天一层楼的“深圳速度”等。提高建设及生产效率，创造了多项奇迹，是先进科学技术的代表，对全国经济建设起到了积极推动作用，是国家相关产业发展的重要见证。</w:t>
      </w:r>
    </w:p>
    <w:p>
      <w:pPr>
        <w:pStyle w:val="8"/>
        <w:rPr>
          <w:color w:val="auto"/>
        </w:rPr>
      </w:pPr>
      <w:r>
        <w:rPr>
          <w:rFonts w:hint="eastAsia"/>
          <w:color w:val="auto"/>
        </w:rPr>
        <w:t>（</w:t>
      </w:r>
      <w:r>
        <w:rPr>
          <w:color w:val="auto"/>
        </w:rPr>
        <w:t>5）艺术价值</w:t>
      </w:r>
    </w:p>
    <w:p>
      <w:pPr>
        <w:pStyle w:val="8"/>
        <w:rPr>
          <w:color w:val="auto"/>
        </w:rPr>
      </w:pPr>
      <w:r>
        <w:rPr>
          <w:rFonts w:hint="eastAsia"/>
          <w:color w:val="auto"/>
        </w:rPr>
        <w:t>部分改革开放史迹能真实再现原景观的风格特点，表现出的艺术价值主要通过空间造型、装饰、塑像、壁画和不同时代的题材、独特工艺等手段体现。这些美的景象能够满足游客的审美需求。如广东浮法玻璃厂和艺象I</w:t>
      </w:r>
      <w:r>
        <w:rPr>
          <w:color w:val="auto"/>
        </w:rPr>
        <w:t>D TOWN</w:t>
      </w:r>
      <w:r>
        <w:rPr>
          <w:rFonts w:hint="eastAsia"/>
          <w:color w:val="auto"/>
        </w:rPr>
        <w:t>， 将工业气质和现代元素相结合，以“最少的触碰”为指引，对厂房进行最少的改造，具有一定的艺术价值。</w:t>
      </w:r>
    </w:p>
    <w:p>
      <w:pPr>
        <w:pStyle w:val="3"/>
        <w:rPr>
          <w:color w:val="auto"/>
        </w:rPr>
      </w:pPr>
      <w:bookmarkStart w:id="106" w:name="_Toc24424"/>
      <w:bookmarkStart w:id="107" w:name="_Toc31189"/>
      <w:bookmarkStart w:id="108" w:name="_Toc114072189"/>
      <w:bookmarkStart w:id="109" w:name="_Toc1643296233"/>
      <w:bookmarkStart w:id="110" w:name="_Toc12374"/>
      <w:bookmarkStart w:id="111" w:name="_Toc20815"/>
      <w:bookmarkStart w:id="112" w:name="_Toc22451"/>
      <w:bookmarkStart w:id="113" w:name="_Toc12165"/>
      <w:r>
        <w:rPr>
          <w:color w:val="auto"/>
        </w:rPr>
        <w:t>3.2</w:t>
      </w:r>
      <w:r>
        <w:rPr>
          <w:rFonts w:hint="eastAsia"/>
          <w:color w:val="auto"/>
        </w:rPr>
        <w:t>重要史迹本体专项评估</w:t>
      </w:r>
      <w:bookmarkEnd w:id="106"/>
      <w:bookmarkEnd w:id="107"/>
      <w:bookmarkEnd w:id="108"/>
      <w:bookmarkEnd w:id="109"/>
      <w:bookmarkEnd w:id="110"/>
      <w:bookmarkEnd w:id="111"/>
      <w:bookmarkEnd w:id="112"/>
      <w:bookmarkEnd w:id="113"/>
    </w:p>
    <w:p>
      <w:pPr>
        <w:pStyle w:val="4"/>
        <w:rPr>
          <w:color w:val="auto"/>
        </w:rPr>
      </w:pPr>
      <w:r>
        <w:rPr>
          <w:color w:val="auto"/>
        </w:rPr>
        <w:t>3.2.1</w:t>
      </w:r>
      <w:r>
        <w:rPr>
          <w:rFonts w:hint="eastAsia"/>
          <w:color w:val="auto"/>
        </w:rPr>
        <w:t>重要史迹保存现状</w:t>
      </w:r>
    </w:p>
    <w:p>
      <w:pPr>
        <w:pStyle w:val="8"/>
        <w:rPr>
          <w:color w:val="auto"/>
        </w:rPr>
      </w:pPr>
      <w:r>
        <w:rPr>
          <w:rFonts w:hint="eastAsia"/>
          <w:color w:val="auto"/>
        </w:rPr>
        <w:t>（1）本体保存状况</w:t>
      </w:r>
    </w:p>
    <w:p>
      <w:pPr>
        <w:pStyle w:val="8"/>
        <w:rPr>
          <w:color w:val="auto"/>
        </w:rPr>
      </w:pPr>
      <w:r>
        <w:rPr>
          <w:rFonts w:hint="eastAsia"/>
          <w:color w:val="auto"/>
        </w:rPr>
        <w:t>根据调查结果，将重要史迹的保存状况分为极好、好、一般和较差四种。其中17处保存状况极好，约占</w:t>
      </w:r>
      <w:r>
        <w:rPr>
          <w:color w:val="auto"/>
        </w:rPr>
        <w:t>40</w:t>
      </w:r>
      <w:r>
        <w:rPr>
          <w:rFonts w:hint="eastAsia"/>
          <w:color w:val="auto"/>
        </w:rPr>
        <w:t>%，多为大厦、博物馆等；14处保存状况较好，约占33%；</w:t>
      </w:r>
      <w:r>
        <w:rPr>
          <w:color w:val="auto"/>
        </w:rPr>
        <w:t>9</w:t>
      </w:r>
      <w:r>
        <w:rPr>
          <w:rFonts w:hint="eastAsia"/>
          <w:color w:val="auto"/>
        </w:rPr>
        <w:t>处保存状况一般，约占</w:t>
      </w:r>
      <w:r>
        <w:rPr>
          <w:color w:val="auto"/>
        </w:rPr>
        <w:t>21%</w:t>
      </w:r>
      <w:r>
        <w:rPr>
          <w:rFonts w:hint="eastAsia"/>
          <w:color w:val="auto"/>
        </w:rPr>
        <w:t>；保存情况较差的有2处，分别为南山区的大成面粉厂和光明街道糖</w:t>
      </w:r>
      <w:r>
        <w:rPr>
          <w:color w:val="auto"/>
        </w:rPr>
        <w:t>厂。</w:t>
      </w:r>
    </w:p>
    <w:p>
      <w:pPr>
        <w:pStyle w:val="8"/>
        <w:rPr>
          <w:color w:val="auto"/>
        </w:rPr>
      </w:pPr>
      <w:r>
        <w:rPr>
          <w:rFonts w:hint="eastAsia"/>
          <w:color w:val="auto"/>
        </w:rPr>
        <w:t>大部分保存较好的重要史迹在近年来都有日常维护或更新，地理位置较好，建筑处于正常使用状态。保存一般甚至较差的地理位置都相对偏僻，或是建筑已经丧失原有功能，亟待改造。其中保存一般的史迹点大多没有进行日常的维护或更新，或者周边正在进行相关建设。保存较差的史迹点很多仍处于后续规划建设中，且地理位置较偏僻，交通条件较差。</w:t>
      </w:r>
    </w:p>
    <w:p>
      <w:pPr>
        <w:pStyle w:val="8"/>
        <w:rPr>
          <w:color w:val="auto"/>
        </w:rPr>
      </w:pPr>
      <w:r>
        <w:rPr>
          <w:rFonts w:hint="eastAsia"/>
          <w:color w:val="auto"/>
        </w:rPr>
        <w:t>（2）使用现状</w:t>
      </w:r>
    </w:p>
    <w:p>
      <w:pPr>
        <w:pStyle w:val="8"/>
        <w:rPr>
          <w:color w:val="auto"/>
        </w:rPr>
      </w:pPr>
      <w:r>
        <w:rPr>
          <w:rFonts w:hint="eastAsia"/>
          <w:color w:val="auto"/>
        </w:rPr>
        <w:t>重要史迹的使用现状可分为在用、闲置和即将拆除三种。其中处于在用状态的重要史迹居多，共</w:t>
      </w:r>
      <w:r>
        <w:rPr>
          <w:color w:val="auto"/>
        </w:rPr>
        <w:t>38</w:t>
      </w:r>
      <w:r>
        <w:rPr>
          <w:rFonts w:hint="eastAsia"/>
          <w:color w:val="auto"/>
        </w:rPr>
        <w:t>处，约占90%；闲置的重要史迹3处，约占7%，分别为大成面粉厂、鹤薮小学、光明街道糖厂。</w:t>
      </w:r>
      <w:r>
        <w:rPr>
          <w:color w:val="auto"/>
        </w:rPr>
        <w:t>另有1处重要史迹即将拆除，为二线关同乐检查站。</w:t>
      </w:r>
    </w:p>
    <w:p>
      <w:pPr>
        <w:pStyle w:val="8"/>
        <w:rPr>
          <w:color w:val="auto"/>
        </w:rPr>
      </w:pPr>
      <w:r>
        <w:rPr>
          <w:rFonts w:hint="eastAsia"/>
          <w:color w:val="auto"/>
        </w:rPr>
        <w:t>绝大部分的重要史迹都维持着良好的在用状态，部分大型工程如深圳大学城则在很长一段时间内处于在用且在建的状态；极小部分重要史迹如今处于闲置甚至面临即将拆除的状态，大多是原有功能与改革开放以后的生活逐渐不相匹配，或是有新建筑替代了原有重要史迹的功能，如光明街道糖厂、鹤薮小学、大成面粉厂、二线关同乐检查站已失去其原本的作用，现在正处于后续的规划中。</w:t>
      </w:r>
    </w:p>
    <w:p>
      <w:pPr>
        <w:pStyle w:val="8"/>
        <w:rPr>
          <w:color w:val="auto"/>
        </w:rPr>
      </w:pPr>
      <w:r>
        <w:rPr>
          <w:rFonts w:hint="eastAsia"/>
          <w:color w:val="auto"/>
        </w:rPr>
        <w:t>（</w:t>
      </w:r>
      <w:r>
        <w:rPr>
          <w:color w:val="auto"/>
        </w:rPr>
        <w:t>3</w:t>
      </w:r>
      <w:r>
        <w:rPr>
          <w:rFonts w:hint="eastAsia"/>
          <w:color w:val="auto"/>
        </w:rPr>
        <w:t>）基础设施</w:t>
      </w:r>
    </w:p>
    <w:p>
      <w:pPr>
        <w:pStyle w:val="8"/>
        <w:rPr>
          <w:color w:val="auto"/>
        </w:rPr>
      </w:pPr>
      <w:r>
        <w:rPr>
          <w:rFonts w:hint="eastAsia"/>
          <w:color w:val="auto"/>
        </w:rPr>
        <w:t>根据现状调查，对重要史迹的现状基础设施进行评估，分为极好、较好、一般、较差四级。其中，基础设施极好的重要史迹共计20处，约占</w:t>
      </w:r>
      <w:r>
        <w:rPr>
          <w:color w:val="auto"/>
        </w:rPr>
        <w:t>48</w:t>
      </w:r>
      <w:r>
        <w:rPr>
          <w:rFonts w:hint="eastAsia"/>
          <w:color w:val="auto"/>
        </w:rPr>
        <w:t>%，大多位于罗湖与福田区交汇处，且多为写字楼、雕塑等，其基础设施得到定期维护保养，条件较好；基础设施较好的重要史迹共计12处，约占28%，其基础设施基本良好，但由于使用年限较长，存在一定程度老化等问题；基础设施一般的共</w:t>
      </w:r>
      <w:r>
        <w:rPr>
          <w:color w:val="auto"/>
        </w:rPr>
        <w:t>8</w:t>
      </w:r>
      <w:r>
        <w:rPr>
          <w:rFonts w:hint="eastAsia"/>
          <w:color w:val="auto"/>
        </w:rPr>
        <w:t>处，约占</w:t>
      </w:r>
      <w:r>
        <w:rPr>
          <w:color w:val="auto"/>
        </w:rPr>
        <w:t>19%，</w:t>
      </w:r>
      <w:r>
        <w:rPr>
          <w:rFonts w:hint="eastAsia"/>
          <w:color w:val="auto"/>
        </w:rPr>
        <w:t>无法满足展览参观功能，如盐田港国际集装箱码头，本身的规划中并没有预留较多的观览空间，且货物运输这类的工业活动并不具备较大的观赏性</w:t>
      </w:r>
      <w:r>
        <w:rPr>
          <w:color w:val="auto"/>
        </w:rPr>
        <w:t>；基础设施较差的共2处，约占5%，分别为光明糖厂和大成面粉厂，</w:t>
      </w:r>
      <w:r>
        <w:rPr>
          <w:rFonts w:hint="eastAsia"/>
          <w:color w:val="auto"/>
        </w:rPr>
        <w:t>由于原有的使用功能基本废弃，后续需要在现有建筑遗存的基础上进行功能改造设计，</w:t>
      </w:r>
      <w:r>
        <w:rPr>
          <w:color w:val="auto"/>
        </w:rPr>
        <w:t>其基础设施</w:t>
      </w:r>
      <w:r>
        <w:rPr>
          <w:rFonts w:hint="eastAsia"/>
          <w:color w:val="auto"/>
        </w:rPr>
        <w:t>需根据后续规划</w:t>
      </w:r>
      <w:r>
        <w:rPr>
          <w:color w:val="auto"/>
        </w:rPr>
        <w:t>进行大面积改造后方可投入使用。</w:t>
      </w:r>
    </w:p>
    <w:p>
      <w:pPr>
        <w:pStyle w:val="8"/>
        <w:rPr>
          <w:color w:val="auto"/>
        </w:rPr>
      </w:pPr>
      <w:r>
        <w:rPr>
          <w:rFonts w:hint="eastAsia"/>
          <w:color w:val="auto"/>
        </w:rPr>
        <w:t>总体而言，正在使用中的重要史迹的基础设施情况相对较好，一般能满足日常功能。现已废弃的重要史迹的基础设施则存在垃圾堆积、环境杂乱、设施报废等系列问题，亟需进行整改。</w:t>
      </w:r>
    </w:p>
    <w:p>
      <w:pPr>
        <w:pStyle w:val="8"/>
        <w:rPr>
          <w:color w:val="auto"/>
        </w:rPr>
      </w:pPr>
      <w:r>
        <w:rPr>
          <w:rFonts w:hint="eastAsia"/>
          <w:color w:val="auto"/>
        </w:rPr>
        <w:t>（</w:t>
      </w:r>
      <w:r>
        <w:rPr>
          <w:color w:val="auto"/>
        </w:rPr>
        <w:t>4</w:t>
      </w:r>
      <w:r>
        <w:rPr>
          <w:rFonts w:hint="eastAsia"/>
          <w:color w:val="auto"/>
        </w:rPr>
        <w:t>）重要史迹质量</w:t>
      </w:r>
    </w:p>
    <w:p>
      <w:pPr>
        <w:pStyle w:val="8"/>
        <w:rPr>
          <w:color w:val="auto"/>
        </w:rPr>
      </w:pPr>
      <w:r>
        <w:rPr>
          <w:rFonts w:hint="eastAsia"/>
          <w:color w:val="auto"/>
        </w:rPr>
        <w:t>根据对</w:t>
      </w:r>
      <w:r>
        <w:rPr>
          <w:color w:val="auto"/>
        </w:rPr>
        <w:t>42</w:t>
      </w:r>
      <w:r>
        <w:rPr>
          <w:rFonts w:hint="eastAsia"/>
          <w:color w:val="auto"/>
        </w:rPr>
        <w:t>处重要史迹的评估，</w:t>
      </w:r>
      <w:r>
        <w:rPr>
          <w:color w:val="auto"/>
        </w:rPr>
        <w:t>26</w:t>
      </w:r>
      <w:r>
        <w:rPr>
          <w:rFonts w:hint="eastAsia"/>
          <w:color w:val="auto"/>
        </w:rPr>
        <w:t>处重要史迹质量极好，如袁庚像等，大多为近年新建或翻新；</w:t>
      </w:r>
      <w:r>
        <w:rPr>
          <w:color w:val="auto"/>
        </w:rPr>
        <w:t>13</w:t>
      </w:r>
      <w:r>
        <w:rPr>
          <w:rFonts w:hint="eastAsia"/>
          <w:color w:val="auto"/>
        </w:rPr>
        <w:t>处重要史迹质量一般，大多为大厦、博物馆等，建成至今约</w:t>
      </w:r>
      <w:r>
        <w:rPr>
          <w:color w:val="auto"/>
        </w:rPr>
        <w:t>40</w:t>
      </w:r>
      <w:r>
        <w:rPr>
          <w:rFonts w:hint="eastAsia"/>
          <w:color w:val="auto"/>
        </w:rPr>
        <w:t>年，日常保养维护较好，无明显质量问题；3处</w:t>
      </w:r>
      <w:r>
        <w:rPr>
          <w:color w:val="auto"/>
        </w:rPr>
        <w:t>重要史迹质量较差，</w:t>
      </w:r>
      <w:r>
        <w:rPr>
          <w:rFonts w:hint="eastAsia"/>
          <w:color w:val="auto"/>
        </w:rPr>
        <w:t>包括大成面粉厂、二线关同乐检查站、光明街道糖厂。其中大成面粉厂，亟需专业团队对其进行后续使用规划和日常维护；光明街道糖厂，无任何保护保养措施，有坍塌风险</w:t>
      </w:r>
      <w:r>
        <w:rPr>
          <w:color w:val="auto"/>
        </w:rPr>
        <w:t>。</w:t>
      </w:r>
    </w:p>
    <w:p>
      <w:pPr>
        <w:pStyle w:val="4"/>
        <w:rPr>
          <w:color w:val="auto"/>
        </w:rPr>
      </w:pPr>
      <w:r>
        <w:rPr>
          <w:color w:val="auto"/>
        </w:rPr>
        <w:t>3.2.2</w:t>
      </w:r>
      <w:r>
        <w:rPr>
          <w:rFonts w:hint="eastAsia"/>
          <w:color w:val="auto"/>
        </w:rPr>
        <w:t>重要史迹展示利用</w:t>
      </w:r>
    </w:p>
    <w:p>
      <w:pPr>
        <w:pStyle w:val="8"/>
        <w:rPr>
          <w:color w:val="auto"/>
        </w:rPr>
      </w:pPr>
      <w:r>
        <w:rPr>
          <w:rFonts w:hint="eastAsia"/>
          <w:color w:val="auto"/>
        </w:rPr>
        <w:t>重要史迹与深圳市改革开放历史有着密切的联系，见证了改革开放历程中重要历史事件、重要人物活动，是改革开放精神的重要体现和物质载体。</w:t>
      </w:r>
    </w:p>
    <w:p>
      <w:pPr>
        <w:pStyle w:val="33"/>
        <w:rPr>
          <w:color w:val="auto"/>
        </w:rPr>
      </w:pPr>
      <w:r>
        <w:rPr>
          <w:rFonts w:hint="eastAsia"/>
          <w:color w:val="auto"/>
        </w:rPr>
        <w:t>表3</w:t>
      </w:r>
      <w:r>
        <w:rPr>
          <w:color w:val="auto"/>
        </w:rPr>
        <w:t xml:space="preserve">-1 </w:t>
      </w:r>
      <w:r>
        <w:rPr>
          <w:rFonts w:hint="eastAsia"/>
          <w:color w:val="auto"/>
        </w:rPr>
        <w:t>重要史迹与改革开放大事件的关联性统计表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9"/>
        <w:gridCol w:w="1993"/>
        <w:gridCol w:w="650"/>
        <w:gridCol w:w="1487"/>
        <w:gridCol w:w="4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531" w:type="pct"/>
            <w:shd w:val="clear" w:color="auto" w:fill="E7E6E6" w:themeFill="background2"/>
            <w:vAlign w:val="center"/>
          </w:tcPr>
          <w:p>
            <w:pPr>
              <w:widowControl/>
              <w:jc w:val="center"/>
              <w:textAlignment w:val="center"/>
              <w:rPr>
                <w:rFonts w:ascii="宋体" w:hAnsi="宋体" w:eastAsia="宋体" w:cs="宋体"/>
                <w:b/>
                <w:bCs/>
                <w:color w:val="auto"/>
                <w:szCs w:val="21"/>
              </w:rPr>
            </w:pPr>
            <w:r>
              <w:rPr>
                <w:rFonts w:hint="eastAsia" w:ascii="宋体" w:hAnsi="宋体" w:eastAsia="宋体" w:cs="宋体"/>
                <w:b/>
                <w:bCs/>
                <w:color w:val="auto"/>
                <w:kern w:val="0"/>
                <w:szCs w:val="21"/>
                <w:lang w:bidi="ar"/>
              </w:rPr>
              <w:t>区位</w:t>
            </w:r>
          </w:p>
        </w:tc>
        <w:tc>
          <w:tcPr>
            <w:tcW w:w="981" w:type="pct"/>
            <w:shd w:val="clear" w:color="auto" w:fill="E7E6E6" w:themeFill="background2"/>
            <w:noWrap/>
            <w:vAlign w:val="center"/>
          </w:tcPr>
          <w:p>
            <w:pPr>
              <w:widowControl/>
              <w:jc w:val="center"/>
              <w:textAlignment w:val="center"/>
              <w:rPr>
                <w:rFonts w:ascii="宋体" w:hAnsi="宋体" w:eastAsia="宋体" w:cs="宋体"/>
                <w:b/>
                <w:bCs/>
                <w:color w:val="auto"/>
                <w:szCs w:val="21"/>
              </w:rPr>
            </w:pPr>
            <w:r>
              <w:rPr>
                <w:rFonts w:hint="eastAsia" w:ascii="宋体" w:hAnsi="宋体" w:eastAsia="宋体" w:cs="宋体"/>
                <w:b/>
                <w:bCs/>
                <w:color w:val="auto"/>
                <w:kern w:val="0"/>
                <w:szCs w:val="21"/>
                <w:lang w:bidi="ar"/>
              </w:rPr>
              <w:t>名称</w:t>
            </w:r>
          </w:p>
        </w:tc>
        <w:tc>
          <w:tcPr>
            <w:tcW w:w="320" w:type="pct"/>
            <w:shd w:val="clear" w:color="auto" w:fill="E7E6E6" w:themeFill="background2"/>
            <w:vAlign w:val="center"/>
          </w:tcPr>
          <w:p>
            <w:pPr>
              <w:widowControl/>
              <w:jc w:val="center"/>
              <w:textAlignment w:val="center"/>
              <w:rPr>
                <w:rFonts w:ascii="宋体" w:hAnsi="宋体" w:eastAsia="宋体" w:cs="宋体"/>
                <w:b/>
                <w:bCs/>
                <w:color w:val="auto"/>
                <w:szCs w:val="21"/>
              </w:rPr>
            </w:pPr>
            <w:r>
              <w:rPr>
                <w:rFonts w:hint="eastAsia" w:ascii="宋体" w:hAnsi="宋体" w:eastAsia="宋体" w:cs="宋体"/>
                <w:b/>
                <w:bCs/>
                <w:color w:val="auto"/>
                <w:kern w:val="0"/>
                <w:szCs w:val="21"/>
                <w:lang w:bidi="ar"/>
              </w:rPr>
              <w:t>年份</w:t>
            </w:r>
          </w:p>
        </w:tc>
        <w:tc>
          <w:tcPr>
            <w:tcW w:w="732" w:type="pct"/>
            <w:shd w:val="clear" w:color="auto" w:fill="E7E6E6" w:themeFill="background2"/>
            <w:vAlign w:val="center"/>
          </w:tcPr>
          <w:p>
            <w:pPr>
              <w:widowControl/>
              <w:jc w:val="center"/>
              <w:textAlignment w:val="center"/>
              <w:rPr>
                <w:rFonts w:ascii="宋体" w:hAnsi="宋体" w:eastAsia="宋体" w:cs="宋体"/>
                <w:b/>
                <w:bCs/>
                <w:color w:val="auto"/>
                <w:szCs w:val="21"/>
              </w:rPr>
            </w:pPr>
            <w:r>
              <w:rPr>
                <w:rFonts w:hint="eastAsia" w:ascii="宋体" w:hAnsi="宋体" w:eastAsia="宋体" w:cs="宋体"/>
                <w:b/>
                <w:bCs/>
                <w:color w:val="auto"/>
                <w:kern w:val="0"/>
                <w:szCs w:val="21"/>
                <w:lang w:bidi="ar"/>
              </w:rPr>
              <w:t>匹配改革开放阶段</w:t>
            </w:r>
          </w:p>
        </w:tc>
        <w:tc>
          <w:tcPr>
            <w:tcW w:w="2435" w:type="pct"/>
            <w:shd w:val="clear" w:color="auto" w:fill="E7E6E6" w:themeFill="background2"/>
            <w:vAlign w:val="center"/>
          </w:tcPr>
          <w:p>
            <w:pPr>
              <w:widowControl/>
              <w:jc w:val="center"/>
              <w:textAlignment w:val="center"/>
              <w:rPr>
                <w:rFonts w:ascii="宋体" w:hAnsi="宋体" w:eastAsia="宋体" w:cs="宋体"/>
                <w:b/>
                <w:bCs/>
                <w:color w:val="auto"/>
                <w:szCs w:val="21"/>
              </w:rPr>
            </w:pPr>
            <w:r>
              <w:rPr>
                <w:rFonts w:hint="eastAsia" w:ascii="宋体" w:hAnsi="宋体" w:eastAsia="宋体" w:cs="宋体"/>
                <w:b/>
                <w:bCs/>
                <w:color w:val="auto"/>
                <w:kern w:val="0"/>
                <w:szCs w:val="21"/>
                <w:lang w:bidi="ar"/>
              </w:rPr>
              <w:t>匹配改革开放大事件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531" w:type="pct"/>
            <w:vMerge w:val="restar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南山区</w:t>
            </w:r>
          </w:p>
        </w:tc>
        <w:tc>
          <w:tcPr>
            <w:tcW w:w="981"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大成面粉厂</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1980</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第一阶段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对外开放，创办蛇口工业区，引进外资。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广东浮法玻璃厂（价值工厂）</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1985</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第一阶段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蛇口的工业从劳动密集型向资本和技术密集型转变。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“空谈误国，实干兴邦”标语牌</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1992</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第二阶段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邓小平视察南方，发表了重要的“南方谈话”。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明华轮</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1962</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1980年以前</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邓小平同志视察蛇口工业区提笔写下了“海上世界”。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南海酒店（希尔顿酒店）</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1983</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第一阶段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对外开放，创办蛇口工业区，引进外资，促进南海油田开发，留住投资者。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三洋厂房（南海意库）</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1982</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第一阶段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对外开放，创办蛇口工业区，引进外资，近百家劳动密集型企业入驻。包含众多港资和外资。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深圳大学（汇元楼、汇典楼与汇紫楼）</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1983</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第一阶段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改革开放的基础建设中的学校建设，是深圳速度的代表之一。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微波山时间广场</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1979</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1980年以前</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对外开放，创办蛇口工业区，蛇口响起填海建港的开山炮。1981 年底，“时间就是金钱，效率就是生命”标语牌在蛇口工业区树立。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袁庚像</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2017</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第四阶段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为纪念开创了“蛇口模式”的袁庚诞辰一百周年而制作。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锦绣中华民俗村（华侨城）</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1987</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第二阶段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改革创建本土企业。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世界之窗</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1994</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第三阶段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环球广场的建立是改革开放历史的见证，印证了中国改革开放政策的战略先机。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前海石公园</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2012</w:t>
            </w:r>
          </w:p>
        </w:tc>
        <w:tc>
          <w:tcPr>
            <w:tcW w:w="732" w:type="pct"/>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kern w:val="0"/>
                <w:szCs w:val="21"/>
                <w:lang w:bidi="ar"/>
              </w:rPr>
              <w:t>第四阶段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见证了前海从一片滩涂到一座现代化新城的蜕变，承载前海精神。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深圳市南头中学（校史馆）</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1801</w:t>
            </w:r>
          </w:p>
        </w:tc>
        <w:tc>
          <w:tcPr>
            <w:tcW w:w="732" w:type="pct"/>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1980年以前</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见证了中国近现代教育的转型，同时也有着明显的改革开放的历史印记。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二线关同乐检查站</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1982</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第一阶段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深圳特区建设的见证。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深圳大学城</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2002</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第三阶段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深圳改革开放的教育建设。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restar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罗湖区</w:t>
            </w:r>
          </w:p>
        </w:tc>
        <w:tc>
          <w:tcPr>
            <w:tcW w:w="981"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地王大厦</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1997</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第三阶段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见证了深圳的改革开放，是“深圳速度”和质量的高度体现，体现了深圳与国际接轨的发展阶段。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深圳迎宾馆（桂园、兰园别墅）</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1988</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第二阶段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见证了邓小平“南方谈话”。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深圳证券交易所（老楼）</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1989</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第二阶段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见证了改革开放对于证券交易市场的建设与完善，对深圳的发展和中国资本市场的改革开放影响深远，具有里程碑意义。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竹园宾馆</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1981</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第一阶段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改革开放的首次劳动合同制、工资改革试点。首次中外合资的酒店。第一批三星酒店。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vMerge w:val="restar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罗湖区</w:t>
            </w: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深圳国贸大厦</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1985</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第一阶段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深圳速度的体现、体现了时代精神、邓小平在此发表了重要讲话“南方谈话”。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深圳渔民村</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1953</w:t>
            </w:r>
          </w:p>
        </w:tc>
        <w:tc>
          <w:tcPr>
            <w:tcW w:w="732" w:type="pct"/>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1980年以前</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改革开放贡献土地给特区、发展集体经济成为第一个万元村、旧村改造的典范，农村城市化进程、集体经济、组建股份公司、新农村建设的代表。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深圳火车站</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1951</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1980年以前</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是改革开放第一批建设的交通枢纽，引进港资，是开放时期连接香港的重要枢纽。先进铁路运营技术的试验场地。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深圳罗湖口岸</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1984</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第一阶段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是改革开放的重要窗口，它连接深圳和香港，是 2002 年以前中国人流量最大的陆路出入境口岸，是连接“外部世界”的“国门”。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31" w:type="pct"/>
            <w:vMerge w:val="restar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福田区</w:t>
            </w: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莲花山公园（邓小平铜像）</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2000</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第三阶段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寄托了对改革开放总设计师邓小平同志的敬仰与怀念之情。是改革开放创新精神凝聚和体现的纪念性场所。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电子大厦</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1983</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第一阶段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深圳特区的标志性建筑，体现了深圳速度，是特区第一座高层建筑。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上海宾馆</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1985</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第一阶段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代表深圳改革开放的开始，是深圳特区发展起来的第一批历史建筑。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深圳科学馆旧馆</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1987</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第二阶段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改革开放的“一次创业时期”文化设施建设成果之一。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深圳新闻大厦</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1983</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第一阶段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改革开放的“一次创业时期”文化设施建设成果之一。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深圳图书馆旧馆</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1985</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第一阶段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改革开放的“一次创业时期”文化设施建设成果之一。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孺子牛雕像</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1984</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第一阶段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最能代表深圳开拓者精神的雕塑。对于弘扬特区改革、开拓进取和创新精神具有重要的意义。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深圳博物馆旧馆</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1988</w:t>
            </w:r>
          </w:p>
        </w:tc>
        <w:tc>
          <w:tcPr>
            <w:tcW w:w="732" w:type="pct"/>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第二阶段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改革开放的“一次创业时期”文化设施建设成果之一。深圳改革开放展览馆是广东庆祝中国改革开放40周年的重点项目。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restar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大鹏新区</w:t>
            </w: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艺象ID TOWN（原鸿华印染厂）</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1989</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第二阶段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改革开放初期深圳印染产业的繁荣、国有港资和民间资金共同参股的成果。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袁庚祖居</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清代晚期</w:t>
            </w:r>
          </w:p>
        </w:tc>
        <w:tc>
          <w:tcPr>
            <w:tcW w:w="732" w:type="pct"/>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1980年以前</w:t>
            </w:r>
          </w:p>
        </w:tc>
        <w:tc>
          <w:tcPr>
            <w:tcW w:w="2435" w:type="pct"/>
            <w:shd w:val="clear" w:color="auto" w:fill="auto"/>
            <w:noWrap/>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中国改革开放事业的重要探索者袁庚先生的祖居。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大亚湾核电站</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1987</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第二阶段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是中国大陆第一座大型商用核电站，也是大陆首座使用国外技术和资金建设的核电站。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鹤薮小学</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1951</w:t>
            </w:r>
          </w:p>
        </w:tc>
        <w:tc>
          <w:tcPr>
            <w:tcW w:w="732" w:type="pct"/>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1980年以前</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见证了改革开放以来鹤薮村的运营管理变迁。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31" w:type="pct"/>
            <w:vMerge w:val="restar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盐田区</w:t>
            </w: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中英街历史博物馆</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1999</w:t>
            </w:r>
          </w:p>
        </w:tc>
        <w:tc>
          <w:tcPr>
            <w:tcW w:w="732" w:type="pct"/>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第三阶段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较全面的记录和反映了中英街的百年沧桑、见证了改革开放发展史。内有界碑是英国发动鸦片战争和列强瓜分中国的历史物证。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盐田港国际集装箱码头</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1987</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第二阶段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1992年，盐田港作为国家一类口岸正式对外开放。深圳建立特区以来最大的合资项目。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沙头角保税区</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1991</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第二阶段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是中国最早成立的一个保税区,也是全国成立最早、面积最小、单位产值最高的保税区。1987年深圳市政府发出《关于设立“深圳市沙头角保税工业区”的通知》。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531" w:type="pct"/>
            <w:vMerge w:val="restar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龙岗区</w:t>
            </w: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大芬油画村（胜发店铺、第一个油画工坊）</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1989</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第二阶段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是改革开放中国文化产业发展的见证。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南岭村（村委办公楼——会议室，社区党群服务中心）</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1980</w:t>
            </w:r>
          </w:p>
        </w:tc>
        <w:tc>
          <w:tcPr>
            <w:tcW w:w="732" w:type="pct"/>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第一阶段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改革开放深圳村落改革的变化，多位国家领导人的来访，体现了改革开放以来，国家对于发展和建设的重视与决心。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宝安区</w:t>
            </w: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深圳劳务工博物馆</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2008</w:t>
            </w:r>
          </w:p>
        </w:tc>
        <w:tc>
          <w:tcPr>
            <w:tcW w:w="732"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第四阶段</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为上屋怡高电业厂旧址，展现深圳市第一家“三来一补”外资企业创业历史及成长经历，见证改革开放发展历程。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31"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光明区</w:t>
            </w:r>
          </w:p>
        </w:tc>
        <w:tc>
          <w:tcPr>
            <w:tcW w:w="981"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光明街道糖厂</w:t>
            </w:r>
          </w:p>
        </w:tc>
        <w:tc>
          <w:tcPr>
            <w:tcW w:w="320"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1972</w:t>
            </w:r>
          </w:p>
        </w:tc>
        <w:tc>
          <w:tcPr>
            <w:tcW w:w="732" w:type="pct"/>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1980年以前</w:t>
            </w:r>
          </w:p>
        </w:tc>
        <w:tc>
          <w:tcPr>
            <w:tcW w:w="2435"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kern w:val="0"/>
                <w:szCs w:val="21"/>
                <w:lang w:bidi="ar"/>
              </w:rPr>
              <w:t>光明糖厂是广东省轻工业厅在改革开放前夕注资兴建的，用于解决农场就业问题与探索工业化生产，对当时有不可磨灭的示范作用。</w:t>
            </w:r>
          </w:p>
        </w:tc>
      </w:tr>
    </w:tbl>
    <w:p>
      <w:pPr>
        <w:pStyle w:val="8"/>
        <w:rPr>
          <w:color w:val="auto"/>
        </w:rPr>
      </w:pPr>
      <w:r>
        <w:rPr>
          <w:rFonts w:hint="eastAsia"/>
          <w:color w:val="auto"/>
        </w:rPr>
        <w:t>基于对重要史迹与改革开放历史的关联性分析，从重要史迹的价值阐释效果和展示利用潜力两方面进行评估。</w:t>
      </w:r>
    </w:p>
    <w:p>
      <w:pPr>
        <w:pStyle w:val="8"/>
        <w:rPr>
          <w:color w:val="auto"/>
        </w:rPr>
      </w:pPr>
      <w:r>
        <w:rPr>
          <w:rFonts w:hint="eastAsia"/>
          <w:color w:val="auto"/>
        </w:rPr>
        <w:t>（</w:t>
      </w:r>
      <w:r>
        <w:rPr>
          <w:color w:val="auto"/>
        </w:rPr>
        <w:t>1</w:t>
      </w:r>
      <w:r>
        <w:rPr>
          <w:rFonts w:hint="eastAsia"/>
          <w:color w:val="auto"/>
        </w:rPr>
        <w:t>）价值阐释效果</w:t>
      </w:r>
    </w:p>
    <w:p>
      <w:pPr>
        <w:pStyle w:val="8"/>
        <w:rPr>
          <w:color w:val="auto"/>
        </w:rPr>
      </w:pPr>
      <w:r>
        <w:rPr>
          <w:rFonts w:hint="eastAsia"/>
          <w:color w:val="auto"/>
        </w:rPr>
        <w:t>对重要史迹的改革开放主题价值阐释效果进行评估，分为极好、好、一般</w:t>
      </w:r>
      <w:r>
        <w:rPr>
          <w:color w:val="auto"/>
        </w:rPr>
        <w:t>3</w:t>
      </w:r>
      <w:r>
        <w:rPr>
          <w:rFonts w:hint="eastAsia"/>
          <w:color w:val="auto"/>
        </w:rPr>
        <w:t>个级别，其中价值阐释效果极好的重要史迹共计</w:t>
      </w:r>
      <w:r>
        <w:rPr>
          <w:color w:val="auto"/>
        </w:rPr>
        <w:t>17</w:t>
      </w:r>
      <w:r>
        <w:rPr>
          <w:rFonts w:hint="eastAsia"/>
          <w:color w:val="auto"/>
        </w:rPr>
        <w:t>处，约占4</w:t>
      </w:r>
      <w:r>
        <w:rPr>
          <w:color w:val="auto"/>
        </w:rPr>
        <w:t>0</w:t>
      </w:r>
      <w:r>
        <w:rPr>
          <w:rFonts w:hint="eastAsia"/>
          <w:color w:val="auto"/>
        </w:rPr>
        <w:t>%，价值阐释效果较好的重要史迹共计17处，约占</w:t>
      </w:r>
      <w:r>
        <w:rPr>
          <w:color w:val="auto"/>
        </w:rPr>
        <w:t>40</w:t>
      </w:r>
      <w:r>
        <w:rPr>
          <w:rFonts w:hint="eastAsia"/>
          <w:color w:val="auto"/>
        </w:rPr>
        <w:t>%，价值阐释效果一般的重要史迹共计8处，约占</w:t>
      </w:r>
      <w:r>
        <w:rPr>
          <w:color w:val="auto"/>
        </w:rPr>
        <w:t>20</w:t>
      </w:r>
      <w:r>
        <w:rPr>
          <w:rFonts w:hint="eastAsia"/>
          <w:color w:val="auto"/>
        </w:rPr>
        <w:t>%</w:t>
      </w:r>
      <w:r>
        <w:rPr>
          <w:color w:val="auto"/>
        </w:rPr>
        <w:t>。</w:t>
      </w:r>
      <w:r>
        <w:rPr>
          <w:rFonts w:hint="eastAsia"/>
          <w:color w:val="auto"/>
        </w:rPr>
        <w:t>重要史迹价值阐释效果较好的建筑大多是管理维护加好，基础设施较为完善的重要史迹，如国贸大厦、深圳博物馆、前海石公园等。这类史迹点日常观览人流极大，日常维护、展示工作到位。价值阐释效果一般的大多保护使用状况都存在问题，如艺象I</w:t>
      </w:r>
      <w:r>
        <w:rPr>
          <w:color w:val="auto"/>
        </w:rPr>
        <w:t>D TOWN</w:t>
      </w:r>
      <w:r>
        <w:rPr>
          <w:rFonts w:hint="eastAsia"/>
          <w:color w:val="auto"/>
        </w:rPr>
        <w:t>、光明糖厂，鹤薮小学等。这类史迹点没有进行展示的科学规划，展示空间和内容不足，甚至部分史迹点还未进行整体规划。因此价值阐释效果较差。</w:t>
      </w:r>
    </w:p>
    <w:p>
      <w:pPr>
        <w:pStyle w:val="8"/>
        <w:rPr>
          <w:color w:val="auto"/>
        </w:rPr>
      </w:pPr>
      <w:r>
        <w:rPr>
          <w:rFonts w:hint="eastAsia"/>
          <w:color w:val="auto"/>
        </w:rPr>
        <w:t>（</w:t>
      </w:r>
      <w:r>
        <w:rPr>
          <w:color w:val="auto"/>
        </w:rPr>
        <w:t>2</w:t>
      </w:r>
      <w:r>
        <w:rPr>
          <w:rFonts w:hint="eastAsia"/>
          <w:color w:val="auto"/>
        </w:rPr>
        <w:t>）展示利用潜力</w:t>
      </w:r>
    </w:p>
    <w:p>
      <w:pPr>
        <w:pStyle w:val="8"/>
        <w:rPr>
          <w:color w:val="auto"/>
        </w:rPr>
      </w:pPr>
      <w:r>
        <w:rPr>
          <w:rFonts w:hint="eastAsia"/>
          <w:color w:val="auto"/>
        </w:rPr>
        <w:t>总结重要史迹的展示利用潜力，可分为极好、好、一般。展示利用潜力极好的重要史迹共计28处，约占6</w:t>
      </w:r>
      <w:r>
        <w:rPr>
          <w:color w:val="auto"/>
        </w:rPr>
        <w:t>7</w:t>
      </w:r>
      <w:r>
        <w:rPr>
          <w:rFonts w:hint="eastAsia"/>
          <w:color w:val="auto"/>
        </w:rPr>
        <w:t>%，展示利用潜力较好的共计</w:t>
      </w:r>
      <w:r>
        <w:rPr>
          <w:color w:val="auto"/>
        </w:rPr>
        <w:t>12</w:t>
      </w:r>
      <w:r>
        <w:rPr>
          <w:rFonts w:hint="eastAsia"/>
          <w:color w:val="auto"/>
        </w:rPr>
        <w:t>处，约占</w:t>
      </w:r>
      <w:r>
        <w:rPr>
          <w:color w:val="auto"/>
        </w:rPr>
        <w:t>28</w:t>
      </w:r>
      <w:r>
        <w:rPr>
          <w:rFonts w:hint="eastAsia"/>
          <w:color w:val="auto"/>
        </w:rPr>
        <w:t>%，展示利用潜力一般的共计2处，约占5%。其中，展示利用潜力极好的重要史</w:t>
      </w:r>
      <w:r>
        <w:rPr>
          <w:color w:val="auto"/>
        </w:rPr>
        <w:t>迹，大多是能直接表现重要史迹的精神象征和意义的，如</w:t>
      </w:r>
      <w:r>
        <w:rPr>
          <w:color w:val="auto"/>
          <w:lang w:val="en"/>
        </w:rPr>
        <w:t>邓小平铜像</w:t>
      </w:r>
      <w:r>
        <w:rPr>
          <w:color w:val="auto"/>
        </w:rPr>
        <w:t>、孺子牛雕像等，</w:t>
      </w:r>
      <w:r>
        <w:rPr>
          <w:rFonts w:hint="eastAsia"/>
          <w:color w:val="auto"/>
        </w:rPr>
        <w:t>展示利用潜力较差</w:t>
      </w:r>
      <w:r>
        <w:rPr>
          <w:color w:val="auto"/>
        </w:rPr>
        <w:t>的重要史迹大多不容易从表面获得其情感信息，如鹤薮小学、光明糖厂等。</w:t>
      </w:r>
    </w:p>
    <w:p>
      <w:pPr>
        <w:pStyle w:val="8"/>
        <w:rPr>
          <w:color w:val="auto"/>
        </w:rPr>
      </w:pPr>
      <w:r>
        <w:rPr>
          <w:rFonts w:hint="eastAsia"/>
          <w:color w:val="auto"/>
        </w:rPr>
        <w:t>总结上述的价值阐释效果和展示利用潜力联系可分析，绝大部分重要史迹能提供较好的改革开放的信息展示平台，且大多能发掘出与改革开放较强的展示利用空间及内容。可在此基础上进行相关的展示设计。</w:t>
      </w:r>
    </w:p>
    <w:p>
      <w:pPr>
        <w:pStyle w:val="4"/>
        <w:rPr>
          <w:color w:val="auto"/>
        </w:rPr>
      </w:pPr>
      <w:r>
        <w:rPr>
          <w:color w:val="auto"/>
        </w:rPr>
        <w:t>3.2.3</w:t>
      </w:r>
      <w:r>
        <w:rPr>
          <w:rFonts w:hint="eastAsia"/>
          <w:color w:val="auto"/>
        </w:rPr>
        <w:t>重要史迹管理现状</w:t>
      </w:r>
      <w:r>
        <w:rPr>
          <w:color w:val="auto"/>
        </w:rPr>
        <w:tab/>
      </w:r>
    </w:p>
    <w:p>
      <w:pPr>
        <w:pStyle w:val="8"/>
        <w:rPr>
          <w:color w:val="auto"/>
        </w:rPr>
      </w:pPr>
      <w:r>
        <w:rPr>
          <w:rFonts w:hint="eastAsia"/>
          <w:color w:val="auto"/>
        </w:rPr>
        <w:t>重要史迹的管理情况可分为极好、好、一般三个等级。其中管理状况好的重要史迹共计</w:t>
      </w:r>
      <w:r>
        <w:rPr>
          <w:color w:val="auto"/>
        </w:rPr>
        <w:t>34</w:t>
      </w:r>
      <w:r>
        <w:rPr>
          <w:rFonts w:hint="eastAsia"/>
          <w:color w:val="auto"/>
        </w:rPr>
        <w:t>处，约占81%，管理状况极好的共计5处，约占12%，管理状况一般的共3处，约占7%，</w:t>
      </w:r>
      <w:r>
        <w:rPr>
          <w:color w:val="auto"/>
        </w:rPr>
        <w:t>分别为大成面粉厂、光明街道糖厂、二线关同乐检查站。</w:t>
      </w:r>
      <w:r>
        <w:rPr>
          <w:rFonts w:hint="eastAsia"/>
          <w:color w:val="auto"/>
        </w:rPr>
        <w:t>管理情况极好、好、一般主要体现在史迹点人流量的大小，是否进行频繁的日常维护更新、甚至史迹点日常的经营收入高低。</w:t>
      </w:r>
    </w:p>
    <w:p>
      <w:pPr>
        <w:pStyle w:val="3"/>
        <w:rPr>
          <w:color w:val="auto"/>
        </w:rPr>
      </w:pPr>
      <w:bookmarkStart w:id="114" w:name="_Toc14570"/>
      <w:bookmarkStart w:id="115" w:name="_Toc8319"/>
      <w:bookmarkStart w:id="116" w:name="_Toc114072190"/>
      <w:bookmarkStart w:id="117" w:name="_Toc3097"/>
      <w:bookmarkStart w:id="118" w:name="_Toc19258"/>
      <w:bookmarkStart w:id="119" w:name="_Toc30583"/>
      <w:bookmarkStart w:id="120" w:name="_Toc92603964"/>
      <w:bookmarkStart w:id="121" w:name="_Toc7454"/>
      <w:r>
        <w:rPr>
          <w:color w:val="auto"/>
        </w:rPr>
        <w:t>3.3</w:t>
      </w:r>
      <w:r>
        <w:rPr>
          <w:rFonts w:hint="eastAsia"/>
          <w:color w:val="auto"/>
        </w:rPr>
        <w:t>环境现状评估</w:t>
      </w:r>
      <w:bookmarkEnd w:id="114"/>
      <w:bookmarkEnd w:id="115"/>
      <w:bookmarkEnd w:id="116"/>
      <w:bookmarkEnd w:id="117"/>
      <w:bookmarkEnd w:id="118"/>
      <w:bookmarkEnd w:id="119"/>
      <w:bookmarkEnd w:id="120"/>
      <w:bookmarkEnd w:id="121"/>
    </w:p>
    <w:p>
      <w:pPr>
        <w:pStyle w:val="8"/>
        <w:rPr>
          <w:color w:val="auto"/>
        </w:rPr>
      </w:pPr>
      <w:r>
        <w:rPr>
          <w:rFonts w:hint="eastAsia"/>
          <w:color w:val="auto"/>
        </w:rPr>
        <w:t>（1）交通可达性</w:t>
      </w:r>
    </w:p>
    <w:p>
      <w:pPr>
        <w:pStyle w:val="8"/>
        <w:rPr>
          <w:color w:val="auto"/>
        </w:rPr>
      </w:pPr>
      <w:r>
        <w:rPr>
          <w:rFonts w:hint="eastAsia"/>
          <w:color w:val="auto"/>
        </w:rPr>
        <w:t>根据对重要史迹周边交通情况的评估，将其分为交通通达性极好、好、一般三类。其中，交通通达性极好的共计26处，约占</w:t>
      </w:r>
      <w:r>
        <w:rPr>
          <w:color w:val="auto"/>
        </w:rPr>
        <w:t>62</w:t>
      </w:r>
      <w:r>
        <w:rPr>
          <w:rFonts w:hint="eastAsia"/>
          <w:color w:val="auto"/>
        </w:rPr>
        <w:t>%，大多位于南山、福田、罗湖区，道路网、地铁网极为发达完善；交通通达性好的重要史迹共计</w:t>
      </w:r>
      <w:r>
        <w:rPr>
          <w:color w:val="auto"/>
        </w:rPr>
        <w:t>8</w:t>
      </w:r>
      <w:r>
        <w:rPr>
          <w:rFonts w:hint="eastAsia"/>
          <w:color w:val="auto"/>
        </w:rPr>
        <w:t>处，约占</w:t>
      </w:r>
      <w:r>
        <w:rPr>
          <w:color w:val="auto"/>
        </w:rPr>
        <w:t>19</w:t>
      </w:r>
      <w:r>
        <w:rPr>
          <w:rFonts w:hint="eastAsia"/>
          <w:color w:val="auto"/>
        </w:rPr>
        <w:t>%，</w:t>
      </w:r>
      <w:r>
        <w:rPr>
          <w:color w:val="auto"/>
        </w:rPr>
        <w:t>大多处于关内，临近关外</w:t>
      </w:r>
      <w:r>
        <w:rPr>
          <w:rFonts w:hint="eastAsia"/>
          <w:color w:val="auto"/>
        </w:rPr>
        <w:t>，相比前者，虽仍处于市区，但位于交通节点如地铁站、公交站距离较远</w:t>
      </w:r>
      <w:r>
        <w:rPr>
          <w:color w:val="auto"/>
        </w:rPr>
        <w:t>；交通通达性较差的8处，约占19%，</w:t>
      </w:r>
      <w:r>
        <w:rPr>
          <w:rFonts w:hint="eastAsia"/>
          <w:color w:val="auto"/>
        </w:rPr>
        <w:t>包括艺象I</w:t>
      </w:r>
      <w:r>
        <w:rPr>
          <w:color w:val="auto"/>
        </w:rPr>
        <w:t>D TOWN</w:t>
      </w:r>
      <w:r>
        <w:rPr>
          <w:rFonts w:hint="eastAsia"/>
          <w:color w:val="auto"/>
        </w:rPr>
        <w:t>、袁庚祖居、鹤薮小学、大亚湾核电站、深圳劳务工博物馆、光明街道糖厂、大芬油画村、南岭村村委办公楼等，</w:t>
      </w:r>
      <w:r>
        <w:rPr>
          <w:color w:val="auto"/>
        </w:rPr>
        <w:t>几乎全部位于关外，且周边山体较多，一定程度上限制了交通的可达性</w:t>
      </w:r>
      <w:r>
        <w:rPr>
          <w:rFonts w:hint="eastAsia"/>
          <w:color w:val="auto"/>
        </w:rPr>
        <w:t>，导致史迹点日观览人流较少。</w:t>
      </w:r>
    </w:p>
    <w:p>
      <w:pPr>
        <w:pStyle w:val="8"/>
        <w:rPr>
          <w:color w:val="auto"/>
        </w:rPr>
      </w:pPr>
      <w:r>
        <w:rPr>
          <w:rFonts w:hint="eastAsia"/>
          <w:color w:val="auto"/>
        </w:rPr>
        <w:t>（2）与滨水景观的联系</w:t>
      </w:r>
    </w:p>
    <w:p>
      <w:pPr>
        <w:pStyle w:val="8"/>
        <w:rPr>
          <w:color w:val="auto"/>
        </w:rPr>
      </w:pPr>
      <w:r>
        <w:rPr>
          <w:rFonts w:hint="eastAsia"/>
          <w:color w:val="auto"/>
        </w:rPr>
        <w:t>深圳地处滨海地区，约</w:t>
      </w:r>
      <w:r>
        <w:rPr>
          <w:color w:val="auto"/>
        </w:rPr>
        <w:t>40%</w:t>
      </w:r>
      <w:r>
        <w:rPr>
          <w:rFonts w:hint="eastAsia"/>
          <w:color w:val="auto"/>
        </w:rPr>
        <w:t>重要史迹处于临海位置，周边水环境极为丰富，在进行后期规划时，可结合周边水系进行相关景观设计。约</w:t>
      </w:r>
      <w:r>
        <w:rPr>
          <w:color w:val="auto"/>
        </w:rPr>
        <w:t>40%</w:t>
      </w:r>
      <w:r>
        <w:rPr>
          <w:rFonts w:hint="eastAsia"/>
          <w:color w:val="auto"/>
        </w:rPr>
        <w:t>的史迹点位于城市规划的滨水景观周边，如城市湖泊、河流等。</w:t>
      </w:r>
    </w:p>
    <w:p>
      <w:pPr>
        <w:pStyle w:val="8"/>
        <w:rPr>
          <w:color w:val="auto"/>
        </w:rPr>
      </w:pPr>
      <w:r>
        <w:rPr>
          <w:rFonts w:hint="eastAsia"/>
          <w:color w:val="auto"/>
        </w:rPr>
        <w:t>（3）周围山体绿化资源条件</w:t>
      </w:r>
    </w:p>
    <w:p>
      <w:pPr>
        <w:pStyle w:val="8"/>
        <w:rPr>
          <w:color w:val="auto"/>
        </w:rPr>
      </w:pPr>
      <w:r>
        <w:rPr>
          <w:rFonts w:hint="eastAsia"/>
          <w:color w:val="auto"/>
        </w:rPr>
        <w:t>根据对重要史迹周围山体绿化的评估，南山区、福田区、罗湖区等为滨海地势平坦地区，区内重要史迹的周围山体绿化资源相对较少；大鹏新区、盐田区山坡地资源较多，区内重要史迹多与山体景观生态资源联系紧密，如艺象</w:t>
      </w:r>
      <w:r>
        <w:rPr>
          <w:color w:val="auto"/>
        </w:rPr>
        <w:t>ID TOWN</w:t>
      </w:r>
      <w:r>
        <w:rPr>
          <w:rFonts w:hint="eastAsia"/>
          <w:color w:val="auto"/>
        </w:rPr>
        <w:t>、大成面粉厂、广东浮法玻璃厂等。</w:t>
      </w:r>
    </w:p>
    <w:p>
      <w:pPr>
        <w:pStyle w:val="8"/>
        <w:rPr>
          <w:color w:val="auto"/>
        </w:rPr>
      </w:pPr>
      <w:r>
        <w:rPr>
          <w:rFonts w:hint="eastAsia"/>
          <w:color w:val="auto"/>
        </w:rPr>
        <w:t>（4）周边社区环境</w:t>
      </w:r>
    </w:p>
    <w:p>
      <w:pPr>
        <w:pStyle w:val="8"/>
        <w:rPr>
          <w:color w:val="auto"/>
        </w:rPr>
      </w:pPr>
      <w:r>
        <w:rPr>
          <w:rFonts w:hint="eastAsia"/>
          <w:color w:val="auto"/>
        </w:rPr>
        <w:t>重要史迹的保护利用与社区环境密不可分。根据现状调查，将重要史迹与周边居民区的密集程度分为高、中、低三级。其中与居民区关系高的重要史迹共计</w:t>
      </w:r>
      <w:r>
        <w:rPr>
          <w:color w:val="auto"/>
        </w:rPr>
        <w:t>19</w:t>
      </w:r>
      <w:r>
        <w:rPr>
          <w:rFonts w:hint="eastAsia"/>
          <w:color w:val="auto"/>
        </w:rPr>
        <w:t>处，约占</w:t>
      </w:r>
      <w:r>
        <w:rPr>
          <w:color w:val="auto"/>
        </w:rPr>
        <w:t>45%</w:t>
      </w:r>
      <w:r>
        <w:rPr>
          <w:rFonts w:hint="eastAsia"/>
          <w:color w:val="auto"/>
        </w:rPr>
        <w:t>，大多位于南山、罗湖、福田等区，周边公共服务设施极为完善；与居住区联系中等的共计1</w:t>
      </w:r>
      <w:r>
        <w:rPr>
          <w:color w:val="auto"/>
        </w:rPr>
        <w:t>9</w:t>
      </w:r>
      <w:r>
        <w:rPr>
          <w:rFonts w:hint="eastAsia"/>
          <w:color w:val="auto"/>
        </w:rPr>
        <w:t>处，约占</w:t>
      </w:r>
      <w:r>
        <w:rPr>
          <w:color w:val="auto"/>
        </w:rPr>
        <w:t>45%</w:t>
      </w:r>
      <w:r>
        <w:rPr>
          <w:rFonts w:hint="eastAsia"/>
          <w:color w:val="auto"/>
        </w:rPr>
        <w:t>，这类重要史迹地处关内外交界地带，如大芬油画村等；与居住区联系较低的共4处，基本都处于关外地区，如大亚湾核电站等，周边居民较少，较难融入居民日常活动，应采取措施加以改善。</w:t>
      </w:r>
    </w:p>
    <w:p>
      <w:pPr>
        <w:pStyle w:val="8"/>
        <w:rPr>
          <w:color w:val="auto"/>
        </w:rPr>
      </w:pPr>
      <w:r>
        <w:rPr>
          <w:rFonts w:hint="eastAsia"/>
          <w:color w:val="auto"/>
        </w:rPr>
        <w:t>（5）周边资源优势度评估</w:t>
      </w:r>
    </w:p>
    <w:p>
      <w:pPr>
        <w:pStyle w:val="8"/>
        <w:rPr>
          <w:color w:val="auto"/>
        </w:rPr>
      </w:pPr>
      <w:r>
        <w:rPr>
          <w:rFonts w:hint="eastAsia"/>
          <w:color w:val="auto"/>
        </w:rPr>
        <w:t>通过对重要史迹与周边景点、文物资源区位关系的分析，整体而言，周边资源优势较高的史迹点多分布于沿海地带，其中南山、福田、罗湖三区分布较为密集。</w:t>
      </w:r>
    </w:p>
    <w:p>
      <w:pPr>
        <w:pStyle w:val="33"/>
        <w:rPr>
          <w:color w:val="auto"/>
        </w:rPr>
      </w:pPr>
      <w:r>
        <w:rPr>
          <w:rFonts w:hint="eastAsia"/>
          <w:color w:val="auto"/>
        </w:rPr>
        <w:t>表</w:t>
      </w:r>
      <w:r>
        <w:rPr>
          <w:color w:val="auto"/>
        </w:rPr>
        <w:t xml:space="preserve">3-2 </w:t>
      </w:r>
      <w:r>
        <w:rPr>
          <w:rFonts w:hint="eastAsia"/>
          <w:color w:val="auto"/>
        </w:rPr>
        <w:t>重要史迹周边及自身资源优势度评估表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3266"/>
        <w:gridCol w:w="5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531" w:type="pct"/>
            <w:shd w:val="clear" w:color="auto" w:fill="E7E6E6" w:themeFill="background2"/>
            <w:vAlign w:val="center"/>
          </w:tcPr>
          <w:p>
            <w:pPr>
              <w:widowControl/>
              <w:jc w:val="center"/>
              <w:textAlignment w:val="center"/>
              <w:rPr>
                <w:rFonts w:ascii="宋体" w:hAnsi="宋体" w:eastAsia="宋体" w:cs="宋体"/>
                <w:b/>
                <w:bCs/>
                <w:color w:val="auto"/>
                <w:szCs w:val="21"/>
              </w:rPr>
            </w:pPr>
            <w:r>
              <w:rPr>
                <w:rFonts w:hint="eastAsia" w:ascii="宋体" w:hAnsi="宋体" w:eastAsia="宋体" w:cs="宋体"/>
                <w:b/>
                <w:bCs/>
                <w:color w:val="auto"/>
                <w:kern w:val="0"/>
                <w:szCs w:val="21"/>
                <w:lang w:bidi="ar"/>
              </w:rPr>
              <w:t>区位</w:t>
            </w:r>
          </w:p>
        </w:tc>
        <w:tc>
          <w:tcPr>
            <w:tcW w:w="1607" w:type="pct"/>
            <w:shd w:val="clear" w:color="auto" w:fill="E7E6E6" w:themeFill="background2"/>
            <w:noWrap/>
            <w:vAlign w:val="center"/>
          </w:tcPr>
          <w:p>
            <w:pPr>
              <w:widowControl/>
              <w:jc w:val="center"/>
              <w:textAlignment w:val="center"/>
              <w:rPr>
                <w:rFonts w:ascii="宋体" w:hAnsi="宋体" w:eastAsia="宋体" w:cs="宋体"/>
                <w:b/>
                <w:bCs/>
                <w:color w:val="auto"/>
                <w:szCs w:val="21"/>
              </w:rPr>
            </w:pPr>
            <w:r>
              <w:rPr>
                <w:rFonts w:hint="eastAsia" w:ascii="宋体" w:hAnsi="宋体" w:eastAsia="宋体" w:cs="宋体"/>
                <w:b/>
                <w:bCs/>
                <w:color w:val="auto"/>
                <w:kern w:val="0"/>
                <w:szCs w:val="21"/>
                <w:lang w:bidi="ar"/>
              </w:rPr>
              <w:t>名称</w:t>
            </w:r>
          </w:p>
        </w:tc>
        <w:tc>
          <w:tcPr>
            <w:tcW w:w="2860" w:type="pct"/>
            <w:shd w:val="clear" w:color="auto" w:fill="E7E6E6" w:themeFill="background2"/>
            <w:vAlign w:val="center"/>
          </w:tcPr>
          <w:p>
            <w:pPr>
              <w:widowControl/>
              <w:jc w:val="center"/>
              <w:textAlignment w:val="center"/>
              <w:rPr>
                <w:rFonts w:ascii="宋体" w:hAnsi="宋体" w:eastAsia="宋体" w:cs="宋体"/>
                <w:b/>
                <w:bCs/>
                <w:color w:val="auto"/>
                <w:szCs w:val="21"/>
              </w:rPr>
            </w:pPr>
            <w:r>
              <w:rPr>
                <w:rFonts w:hint="eastAsia" w:ascii="宋体" w:hAnsi="宋体" w:eastAsia="宋体" w:cs="宋体"/>
                <w:b/>
                <w:bCs/>
                <w:color w:val="auto"/>
                <w:kern w:val="0"/>
                <w:szCs w:val="21"/>
                <w:lang w:bidi="ar"/>
              </w:rPr>
              <w:t>周边及自身资源优势度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531" w:type="pct"/>
            <w:vMerge w:val="restar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南山区</w:t>
            </w:r>
          </w:p>
        </w:tc>
        <w:tc>
          <w:tcPr>
            <w:tcW w:w="1607"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大成面粉厂</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交通条件、观景条件极好，周边较多史迹点和历史文化遗存。面粉厂厂区空间相对较为丰富，</w:t>
            </w:r>
            <w:r>
              <w:rPr>
                <w:rFonts w:ascii="宋体" w:hAnsi="宋体" w:eastAsia="宋体" w:cs="宋体"/>
                <w:color w:val="auto"/>
                <w:szCs w:val="21"/>
              </w:rPr>
              <w:t>2015年并曾作为双年展的场地，屋顶天台可观赏蛇口码头</w:t>
            </w:r>
            <w:r>
              <w:rPr>
                <w:rFonts w:hint="eastAsia" w:ascii="宋体" w:hAnsi="宋体" w:eastAsia="宋体" w:cs="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广东浮法玻璃厂（价值工厂）</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周边史迹点较多，滨海景观较好。自身改造情况极好。艺术创意园区，场地空间丰富，多种活动在此举办，场地内涂鸦等较为丰富。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“空谈误国，实干兴邦”标语牌</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周边史迹点较多，交通条件较好。伫立在南海大道与工业六路交汇处，周围没有什么可供停留的空间。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明华轮</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交通条件极好、周边基础设施、景观极好，周边史迹点较多。游轮内部集酒店、娱乐于一体，停留性很强，但是出于私密性考虑，日常参观可能受限。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南海酒店（希尔顿酒店）</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交通条件极好，周边史迹点较多。停留性很强，但是出于私密性考虑，日常参观可能受限。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三洋厂房（南海意库）</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交通条件较好，周边景点等较少。除办公、商业等配套设施外，没有较多的可停留性空间。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深圳大学（汇元楼、汇典楼与汇紫楼）</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交通条件极好，但位于学校内部，疫情期间，参观可能受阻。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微波山时间广场</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交通条件极好，周边有公园规划，后续人流量较大，展示效果极好。但其范围相对较小，周围可停留的空间相对较少，其后有观海路，可有几处观海。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袁庚像</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周边景观条件极好，位于公园和展览中心沿线，所处于艺术中心广场内，位于海上世界区域，周围相对有较多可停留性空间可供玩耍。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锦绣中华民俗村（华侨城）</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观览条件极好，自身影响力大，周边景点较多。主题公园收门票，分称不同主题，可游览性、停留性极高。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世界之窗</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观览条件极好，自身影响力大，周边景点较多。看向世界的窗口，有不同地区的微缩景观。可游览性、停留性极高。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前海石公园</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自身影响力极大，滨海景观条件极好。公园草地大海等景观资源丰富，且临近前海湾。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深圳市南头中学（校史馆）</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交通条件极好，周边有南头古城这类著名景点。但作为学校，可能会有一些局限。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二线关同乐检查站</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周边资源条件一般。保留了主体部分，因是连通深圳广州东莞的重要通道，其周围应有较多的公路，可停留空间相对较少。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深圳大学城</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周边旅游资源较少，大学城周边的空间相对较为丰富，但作为学校区域出入受到一定闲置。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restar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罗湖区</w:t>
            </w:r>
          </w:p>
        </w:tc>
        <w:tc>
          <w:tcPr>
            <w:tcW w:w="1607"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地王大厦</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交通条件极好，沿深南大道史迹点较多，周边基础设施齐全。集商业、办公等功能于一体，可停留性相对较好，但其周边密度较高，可共停留的空间较少。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深圳迎宾馆（桂园、兰园别墅）</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资源优势度一般，但位于市区，交通、基础设施、历史遗存较丰富。庭院式建筑风格，南方园林穿插其中，可停留性较强，但是其为宾馆，可能会有一定限制。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深圳证券交易所（老楼）</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资源优势度一般，但位于市区，交通、基础设施等条件较好，紧临地王大厦，周边密度较高，可共停留的空间较少，门口有一个小小的广场。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竹园宾馆</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资源优势度一般。周边史迹点、景点、历史遗存等较少。作为宾馆，可能会有一定的局限性，且可达性和基础设施情况一般。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vMerge w:val="restar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罗湖区</w:t>
            </w: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深圳国贸大厦</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资源优势度极好，周边交通、基础设施健全，史迹点较多，景点较多。外部环境密度很高，没有什么可以停留的空间。但周边设施情况极好。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深圳渔民村</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资源优势度较好，周边史迹点较多。小区内可能有较多的停留空间，但小区性质限制，可停留性不高，且疫情期间，出入可能会受限。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深圳火车站</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交通条件极好，周边景点、基础设施、史迹点较多。车站主要为交通功能，可停留性不强。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深圳罗湖口岸</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交通条件极好，周边景点、基础设施、史迹点较多。交通功能相对较大，周围商业设施也较多。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31" w:type="pct"/>
            <w:vMerge w:val="restar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福田区</w:t>
            </w: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莲花山公园（</w:t>
            </w:r>
            <w:r>
              <w:rPr>
                <w:rFonts w:hint="eastAsia" w:ascii="宋体" w:hAnsi="宋体" w:eastAsia="宋体" w:cs="宋体"/>
                <w:color w:val="auto"/>
                <w:kern w:val="0"/>
                <w:szCs w:val="21"/>
                <w:lang w:eastAsia="zh-CN" w:bidi="ar"/>
              </w:rPr>
              <w:t>邓小平铜像</w:t>
            </w:r>
            <w:r>
              <w:rPr>
                <w:rFonts w:hint="eastAsia" w:ascii="宋体" w:hAnsi="宋体" w:eastAsia="宋体" w:cs="宋体"/>
                <w:color w:val="auto"/>
                <w:kern w:val="0"/>
                <w:szCs w:val="21"/>
                <w:lang w:bidi="ar"/>
              </w:rPr>
              <w:t>）</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交通条件极好，周边景观条件极好，生态型公园，风景优美，可停留性强。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电子大厦</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交通条件极好，基础设施好，周边景观较少，高密度区域，可供停留性的空间相对较少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上海宾馆</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交通条件极好，周边史迹点较多，可停留景观较多。私密性较强，宾馆可停留空间不大，门口是停车场，但临近深圳中心公园。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深圳科学馆旧馆</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交通条件极好，周边史迹点极多，景观丰富，其本身是公共建筑，开放性强，展示内容主题丰富，有较强的停留性。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深圳新闻大厦</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交通条件较好，周边史迹点极多。内部不详，外部并没有太多的停留空间，周边有一个公园。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深圳图书馆旧馆</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周边史迹点极多，景观丰富，交通条件极好。现能作为少年儿童图书馆继续使用，公共性较强，可停留性较强。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孺子牛雕像</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交通条件极好，周边史迹点多，基础设施完善。周边情况良好，空间尺度较大。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深圳博物馆旧馆</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周边史迹点较多，景观丰富，现作为博物馆功能继续使用，开放性强，展示内容主题丰富。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restar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大鹏新区</w:t>
            </w: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艺象ID TOWN（原鸿华印染厂）</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周边自然资源条件极好，山体、水景资源丰富。空间类型及景观丰富，可停留性极高。但是因可达性差，人流量相对较低，商业配套不全。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袁庚祖居</w:t>
            </w:r>
          </w:p>
        </w:tc>
        <w:tc>
          <w:tcPr>
            <w:tcW w:w="2860" w:type="pct"/>
            <w:shd w:val="clear" w:color="auto" w:fill="auto"/>
            <w:noWrap/>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周边自然资源条件极好，山体、水景资源丰富。祖居是清代所建，建筑内部空间及庭院等空间丰富，有一定的可停留性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大亚湾核电站</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周边自然资源条件极好，山体、水景资源丰富。正常使用中，空间可能会很丰富。但展览利用可能会有所局限。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鹤薮小学</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周边自然资源条件极好，山体、水景资源丰富。但交通条件较差。其可作为鹤薮村其中一个景点，与周边景点连接。周边自然环境极好。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31" w:type="pct"/>
            <w:vMerge w:val="restar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盐田区</w:t>
            </w: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中英街历史博物馆</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周边景点丰富，自然景观条件极好，基础设施完善。交通条件一般。仍在使用中，情况良好，开放性强，展示内容主题丰富。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盐田港国际集装箱码头</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周边自然景观条件极好，基础设施完善。交通条件一般。仍在使用中，周边自然资源丰富，但码头有较多的集装箱，参观浏览可能受限。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沙头角保税区</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周边景点丰富，自然景观条件极好，基础设施完善。交通条件一般。空间较大，有工业区域和购物中心区域，类型较丰富。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531" w:type="pct"/>
            <w:vMerge w:val="restar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龙岗区</w:t>
            </w: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大芬油画村（胜发店铺、第一个油画工坊）</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整体资源优势度一般。但自身有创意街区，空间丰富，展示丰富。周边有美术馆，服务设施较齐全。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531" w:type="pct"/>
            <w:vMerge w:val="continue"/>
            <w:shd w:val="clear" w:color="auto" w:fill="auto"/>
            <w:noWrap/>
            <w:vAlign w:val="center"/>
          </w:tcPr>
          <w:p>
            <w:pPr>
              <w:widowControl/>
              <w:jc w:val="center"/>
              <w:textAlignment w:val="center"/>
              <w:rPr>
                <w:rFonts w:ascii="宋体" w:hAnsi="宋体" w:eastAsia="宋体" w:cs="宋体"/>
                <w:color w:val="auto"/>
                <w:szCs w:val="21"/>
              </w:rPr>
            </w:pP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南岭村（村委办公楼——会议室，社区党群服务中心）</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整体外部资源优势度一般，其内部可停留性都不高，其外部空间有停车场等。停留性可能较差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1"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宝安区</w:t>
            </w: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深圳劳务工博物馆</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整体资源优势度一般，交通条件较差，基础设施，周边景观景点较少。作为博物馆其使用情况良好。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31" w:type="pct"/>
            <w:shd w:val="clear" w:color="auto" w:fill="auto"/>
            <w:noWrap/>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光明区</w:t>
            </w:r>
          </w:p>
        </w:tc>
        <w:tc>
          <w:tcPr>
            <w:tcW w:w="1607" w:type="pct"/>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光明街道糖厂</w:t>
            </w:r>
          </w:p>
        </w:tc>
        <w:tc>
          <w:tcPr>
            <w:tcW w:w="2860" w:type="pct"/>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整体资源优势度一般，交通条件较差，基础设施，周边景观景点较少。处于闲置状态，有一定的倒塌风险，周围环境也较为嘈杂。</w:t>
            </w:r>
          </w:p>
        </w:tc>
      </w:tr>
    </w:tbl>
    <w:p>
      <w:pPr>
        <w:pStyle w:val="3"/>
        <w:rPr>
          <w:color w:val="auto"/>
        </w:rPr>
      </w:pPr>
      <w:bookmarkStart w:id="122" w:name="_Toc27666"/>
      <w:bookmarkStart w:id="123" w:name="_Toc13919"/>
      <w:bookmarkStart w:id="124" w:name="_Toc2554"/>
      <w:bookmarkStart w:id="125" w:name="_Toc27642"/>
      <w:bookmarkStart w:id="126" w:name="_Toc1616662520"/>
      <w:bookmarkStart w:id="127" w:name="_Toc114072191"/>
      <w:bookmarkStart w:id="128" w:name="_Toc15386"/>
      <w:bookmarkStart w:id="129" w:name="_Toc12589"/>
      <w:bookmarkStart w:id="130" w:name="_Toc81838544"/>
      <w:r>
        <w:rPr>
          <w:rFonts w:hint="eastAsia"/>
          <w:color w:val="auto"/>
        </w:rPr>
        <w:t>3</w:t>
      </w:r>
      <w:r>
        <w:rPr>
          <w:color w:val="auto"/>
        </w:rPr>
        <w:t>.4</w:t>
      </w:r>
      <w:r>
        <w:rPr>
          <w:rFonts w:hint="eastAsia"/>
          <w:color w:val="auto"/>
        </w:rPr>
        <w:t>重要史迹综合评估</w:t>
      </w:r>
      <w:bookmarkEnd w:id="122"/>
      <w:bookmarkEnd w:id="123"/>
      <w:bookmarkEnd w:id="124"/>
      <w:bookmarkEnd w:id="125"/>
      <w:bookmarkEnd w:id="126"/>
      <w:bookmarkEnd w:id="127"/>
      <w:bookmarkEnd w:id="128"/>
      <w:bookmarkEnd w:id="129"/>
    </w:p>
    <w:p>
      <w:pPr>
        <w:pStyle w:val="8"/>
        <w:ind w:firstLine="0" w:firstLineChars="0"/>
        <w:rPr>
          <w:b/>
          <w:color w:val="auto"/>
        </w:rPr>
      </w:pPr>
      <w:r>
        <w:rPr>
          <w:rFonts w:hint="eastAsia"/>
          <w:b/>
          <w:color w:val="auto"/>
        </w:rPr>
        <w:t>（1）重要史迹综合评估标准</w:t>
      </w:r>
    </w:p>
    <w:p>
      <w:pPr>
        <w:pStyle w:val="33"/>
        <w:ind w:firstLine="480" w:firstLineChars="200"/>
        <w:jc w:val="left"/>
        <w:rPr>
          <w:color w:val="auto"/>
        </w:rPr>
      </w:pPr>
      <w:r>
        <w:rPr>
          <w:rFonts w:hint="eastAsia"/>
          <w:color w:val="auto"/>
        </w:rPr>
        <w:t>综合考虑重要史迹的价值内涵、本体保存现状、环境现状等三个方面的评估内容，搭建评估体系，详见附录三。其中，价值指标内包含历史价值、科学价值、社会价值、文化价值、艺术价值；本体指标内包含保护现状、使用现状、基础设施、建造质量、展示利用潜力、价值阐释效果、管理情况；环境指标内包含交通可达性、周边山体水系、周边资源优势度。</w:t>
      </w:r>
    </w:p>
    <w:p>
      <w:pPr>
        <w:pStyle w:val="8"/>
        <w:ind w:firstLine="0" w:firstLineChars="0"/>
        <w:rPr>
          <w:b/>
          <w:color w:val="auto"/>
        </w:rPr>
      </w:pPr>
      <w:r>
        <w:rPr>
          <w:rFonts w:hint="eastAsia"/>
          <w:b/>
          <w:color w:val="auto"/>
        </w:rPr>
        <w:t>（2）重要史迹综合评分</w:t>
      </w:r>
    </w:p>
    <w:p>
      <w:pPr>
        <w:pStyle w:val="33"/>
        <w:ind w:firstLine="480" w:firstLineChars="200"/>
        <w:jc w:val="left"/>
        <w:rPr>
          <w:color w:val="auto"/>
        </w:rPr>
      </w:pPr>
      <w:r>
        <w:rPr>
          <w:rFonts w:hint="eastAsia"/>
          <w:color w:val="auto"/>
        </w:rPr>
        <w:t>基于评估体系，对42处重要史迹进行了详细评估（详见附录四），最后得出综合评分结果，按分值排序分为</w:t>
      </w:r>
      <w:r>
        <w:rPr>
          <w:color w:val="auto"/>
        </w:rPr>
        <w:t>A</w:t>
      </w:r>
      <w:r>
        <w:rPr>
          <w:rFonts w:hint="eastAsia"/>
          <w:color w:val="auto"/>
        </w:rPr>
        <w:t>、</w:t>
      </w:r>
      <w:r>
        <w:rPr>
          <w:color w:val="auto"/>
        </w:rPr>
        <w:t>B</w:t>
      </w:r>
      <w:r>
        <w:rPr>
          <w:rFonts w:hint="eastAsia"/>
          <w:color w:val="auto"/>
        </w:rPr>
        <w:t>、</w:t>
      </w:r>
      <w:r>
        <w:rPr>
          <w:color w:val="auto"/>
        </w:rPr>
        <w:t>C</w:t>
      </w:r>
      <w:r>
        <w:rPr>
          <w:rFonts w:hint="eastAsia"/>
          <w:color w:val="auto"/>
        </w:rPr>
        <w:t>、</w:t>
      </w:r>
      <w:r>
        <w:rPr>
          <w:color w:val="auto"/>
        </w:rPr>
        <w:t>D</w:t>
      </w:r>
      <w:r>
        <w:rPr>
          <w:rFonts w:hint="eastAsia"/>
          <w:color w:val="auto"/>
        </w:rPr>
        <w:t>四个等级（表3</w:t>
      </w:r>
      <w:r>
        <w:rPr>
          <w:color w:val="auto"/>
        </w:rPr>
        <w:t>-3</w:t>
      </w:r>
      <w:r>
        <w:rPr>
          <w:rFonts w:hint="eastAsia"/>
          <w:color w:val="auto"/>
        </w:rPr>
        <w:t>）。A等级评分在9</w:t>
      </w:r>
      <w:r>
        <w:rPr>
          <w:color w:val="auto"/>
        </w:rPr>
        <w:t>0</w:t>
      </w:r>
      <w:r>
        <w:rPr>
          <w:rFonts w:hint="eastAsia"/>
          <w:color w:val="auto"/>
        </w:rPr>
        <w:t>分及以上，综合评级优秀，共4处，占比</w:t>
      </w:r>
      <w:r>
        <w:rPr>
          <w:color w:val="auto"/>
        </w:rPr>
        <w:t>9.5</w:t>
      </w:r>
      <w:r>
        <w:rPr>
          <w:rFonts w:hint="eastAsia"/>
          <w:color w:val="auto"/>
        </w:rPr>
        <w:t>%；B等级评分在8</w:t>
      </w:r>
      <w:r>
        <w:rPr>
          <w:color w:val="auto"/>
        </w:rPr>
        <w:t>9</w:t>
      </w:r>
      <w:r>
        <w:rPr>
          <w:rFonts w:hint="eastAsia"/>
          <w:color w:val="auto"/>
        </w:rPr>
        <w:t>—</w:t>
      </w:r>
      <w:r>
        <w:rPr>
          <w:color w:val="auto"/>
        </w:rPr>
        <w:t>90</w:t>
      </w:r>
      <w:r>
        <w:rPr>
          <w:rFonts w:hint="eastAsia"/>
          <w:color w:val="auto"/>
        </w:rPr>
        <w:t>分之间，综合评级良好，共20处，占比</w:t>
      </w:r>
      <w:r>
        <w:rPr>
          <w:color w:val="auto"/>
        </w:rPr>
        <w:t>47.6</w:t>
      </w:r>
      <w:r>
        <w:rPr>
          <w:rFonts w:hint="eastAsia"/>
          <w:color w:val="auto"/>
        </w:rPr>
        <w:t>%；C等级评分在7</w:t>
      </w:r>
      <w:r>
        <w:rPr>
          <w:color w:val="auto"/>
        </w:rPr>
        <w:t>9</w:t>
      </w:r>
      <w:r>
        <w:rPr>
          <w:rFonts w:hint="eastAsia"/>
          <w:color w:val="auto"/>
        </w:rPr>
        <w:t>—</w:t>
      </w:r>
      <w:r>
        <w:rPr>
          <w:color w:val="auto"/>
        </w:rPr>
        <w:t>70</w:t>
      </w:r>
      <w:r>
        <w:rPr>
          <w:rFonts w:hint="eastAsia"/>
          <w:color w:val="auto"/>
        </w:rPr>
        <w:t>分之间，综合评级一般，共</w:t>
      </w:r>
      <w:r>
        <w:rPr>
          <w:color w:val="auto"/>
        </w:rPr>
        <w:t>16</w:t>
      </w:r>
      <w:r>
        <w:rPr>
          <w:rFonts w:hint="eastAsia"/>
          <w:color w:val="auto"/>
        </w:rPr>
        <w:t>处，占比</w:t>
      </w:r>
      <w:r>
        <w:rPr>
          <w:color w:val="auto"/>
        </w:rPr>
        <w:t>38</w:t>
      </w:r>
      <w:r>
        <w:rPr>
          <w:rFonts w:hint="eastAsia"/>
          <w:color w:val="auto"/>
        </w:rPr>
        <w:t>%；D等级评分在6</w:t>
      </w:r>
      <w:r>
        <w:rPr>
          <w:color w:val="auto"/>
        </w:rPr>
        <w:t>9</w:t>
      </w:r>
      <w:r>
        <w:rPr>
          <w:rFonts w:hint="eastAsia"/>
          <w:color w:val="auto"/>
        </w:rPr>
        <w:t>分及以下，综合评级及格，共2处，占比4.</w:t>
      </w:r>
      <w:r>
        <w:rPr>
          <w:color w:val="auto"/>
        </w:rPr>
        <w:t>7</w:t>
      </w:r>
      <w:r>
        <w:rPr>
          <w:rFonts w:hint="eastAsia"/>
          <w:color w:val="auto"/>
        </w:rPr>
        <w:t>%。</w:t>
      </w:r>
    </w:p>
    <w:p>
      <w:pPr>
        <w:pStyle w:val="33"/>
        <w:ind w:firstLine="480" w:firstLineChars="200"/>
        <w:jc w:val="left"/>
        <w:rPr>
          <w:color w:val="auto"/>
        </w:rPr>
      </w:pPr>
      <w:r>
        <w:rPr>
          <w:rFonts w:hint="eastAsia"/>
          <w:color w:val="auto"/>
        </w:rPr>
        <w:t>同时，基于各项评估因子分值，对各重要史迹在保护利用方面的现状主要问题和不足进行了总结。</w:t>
      </w:r>
    </w:p>
    <w:p>
      <w:pPr>
        <w:pStyle w:val="33"/>
        <w:rPr>
          <w:color w:val="auto"/>
        </w:rPr>
      </w:pPr>
      <w:r>
        <w:rPr>
          <w:rFonts w:hint="eastAsia"/>
          <w:color w:val="auto"/>
        </w:rPr>
        <w:t>表3</w:t>
      </w:r>
      <w:r>
        <w:rPr>
          <w:color w:val="auto"/>
        </w:rPr>
        <w:t xml:space="preserve">-3 </w:t>
      </w:r>
      <w:r>
        <w:rPr>
          <w:rFonts w:hint="eastAsia"/>
          <w:color w:val="auto"/>
        </w:rPr>
        <w:t>重要史迹评分及等级划分</w:t>
      </w:r>
    </w:p>
    <w:tbl>
      <w:tblPr>
        <w:tblStyle w:val="19"/>
        <w:tblW w:w="101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474"/>
        <w:gridCol w:w="1715"/>
        <w:gridCol w:w="650"/>
        <w:gridCol w:w="3700"/>
        <w:gridCol w:w="2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7" w:type="dxa"/>
            <w:shd w:val="clear" w:color="auto" w:fill="E7E6E6" w:themeFill="background2"/>
            <w:vAlign w:val="center"/>
          </w:tcPr>
          <w:p>
            <w:pPr>
              <w:pStyle w:val="33"/>
              <w:rPr>
                <w:b/>
                <w:color w:val="auto"/>
                <w:sz w:val="21"/>
                <w:szCs w:val="21"/>
              </w:rPr>
            </w:pPr>
            <w:r>
              <w:rPr>
                <w:rFonts w:hint="eastAsia"/>
                <w:b/>
                <w:color w:val="auto"/>
                <w:sz w:val="21"/>
                <w:szCs w:val="21"/>
              </w:rPr>
              <w:t>等级</w:t>
            </w:r>
          </w:p>
        </w:tc>
        <w:tc>
          <w:tcPr>
            <w:tcW w:w="474" w:type="dxa"/>
            <w:shd w:val="clear" w:color="auto" w:fill="E7E6E6" w:themeFill="background2"/>
            <w:vAlign w:val="center"/>
          </w:tcPr>
          <w:p>
            <w:pPr>
              <w:pStyle w:val="33"/>
              <w:rPr>
                <w:b/>
                <w:color w:val="auto"/>
                <w:sz w:val="21"/>
                <w:szCs w:val="21"/>
              </w:rPr>
            </w:pPr>
            <w:r>
              <w:rPr>
                <w:rFonts w:hint="eastAsia"/>
                <w:b/>
                <w:color w:val="auto"/>
                <w:sz w:val="21"/>
                <w:szCs w:val="21"/>
              </w:rPr>
              <w:t>排序</w:t>
            </w:r>
          </w:p>
        </w:tc>
        <w:tc>
          <w:tcPr>
            <w:tcW w:w="1715" w:type="dxa"/>
            <w:shd w:val="clear" w:color="auto" w:fill="E7E6E6" w:themeFill="background2"/>
            <w:vAlign w:val="center"/>
          </w:tcPr>
          <w:p>
            <w:pPr>
              <w:pStyle w:val="33"/>
              <w:rPr>
                <w:b/>
                <w:color w:val="auto"/>
                <w:sz w:val="21"/>
                <w:szCs w:val="21"/>
              </w:rPr>
            </w:pPr>
            <w:r>
              <w:rPr>
                <w:rFonts w:hint="eastAsia"/>
                <w:b/>
                <w:color w:val="auto"/>
                <w:sz w:val="21"/>
                <w:szCs w:val="21"/>
              </w:rPr>
              <w:t>重要史迹</w:t>
            </w:r>
          </w:p>
        </w:tc>
        <w:tc>
          <w:tcPr>
            <w:tcW w:w="650" w:type="dxa"/>
            <w:shd w:val="clear" w:color="auto" w:fill="E7E6E6" w:themeFill="background2"/>
            <w:vAlign w:val="center"/>
          </w:tcPr>
          <w:p>
            <w:pPr>
              <w:pStyle w:val="33"/>
              <w:rPr>
                <w:b/>
                <w:color w:val="auto"/>
                <w:sz w:val="21"/>
                <w:szCs w:val="21"/>
              </w:rPr>
            </w:pPr>
            <w:r>
              <w:rPr>
                <w:rFonts w:hint="eastAsia"/>
                <w:b/>
                <w:color w:val="auto"/>
                <w:sz w:val="21"/>
                <w:szCs w:val="21"/>
              </w:rPr>
              <w:t>总分</w:t>
            </w:r>
          </w:p>
        </w:tc>
        <w:tc>
          <w:tcPr>
            <w:tcW w:w="3700" w:type="dxa"/>
            <w:shd w:val="clear" w:color="auto" w:fill="E7E6E6" w:themeFill="background2"/>
            <w:vAlign w:val="center"/>
          </w:tcPr>
          <w:p>
            <w:pPr>
              <w:pStyle w:val="33"/>
              <w:rPr>
                <w:b/>
                <w:color w:val="auto"/>
                <w:sz w:val="21"/>
                <w:szCs w:val="21"/>
              </w:rPr>
            </w:pPr>
            <w:r>
              <w:rPr>
                <w:rFonts w:hint="eastAsia"/>
                <w:b/>
                <w:color w:val="auto"/>
                <w:sz w:val="21"/>
                <w:szCs w:val="21"/>
              </w:rPr>
              <w:t>现状主要问题</w:t>
            </w:r>
          </w:p>
        </w:tc>
        <w:tc>
          <w:tcPr>
            <w:tcW w:w="2697" w:type="dxa"/>
            <w:shd w:val="clear" w:color="auto" w:fill="E7E6E6" w:themeFill="background2"/>
            <w:vAlign w:val="center"/>
          </w:tcPr>
          <w:p>
            <w:pPr>
              <w:pStyle w:val="33"/>
              <w:rPr>
                <w:b/>
                <w:color w:val="auto"/>
                <w:sz w:val="21"/>
                <w:szCs w:val="21"/>
              </w:rPr>
            </w:pPr>
            <w:r>
              <w:rPr>
                <w:rFonts w:hint="eastAsia"/>
                <w:b/>
                <w:color w:val="auto"/>
                <w:sz w:val="21"/>
                <w:szCs w:val="21"/>
              </w:rPr>
              <w:t>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restart"/>
            <w:shd w:val="clear" w:color="auto" w:fill="E7E6E6" w:themeFill="background2"/>
            <w:vAlign w:val="center"/>
          </w:tcPr>
          <w:p>
            <w:pPr>
              <w:pStyle w:val="33"/>
              <w:rPr>
                <w:b/>
                <w:color w:val="auto"/>
                <w:sz w:val="21"/>
                <w:szCs w:val="21"/>
              </w:rPr>
            </w:pPr>
            <w:r>
              <w:rPr>
                <w:rFonts w:hint="eastAsia"/>
                <w:b/>
                <w:color w:val="auto"/>
                <w:sz w:val="21"/>
                <w:szCs w:val="21"/>
              </w:rPr>
              <w:t>A（≥9</w:t>
            </w:r>
            <w:r>
              <w:rPr>
                <w:b/>
                <w:color w:val="auto"/>
                <w:sz w:val="21"/>
                <w:szCs w:val="21"/>
              </w:rPr>
              <w:t>0</w:t>
            </w:r>
            <w:r>
              <w:rPr>
                <w:rFonts w:hint="eastAsia"/>
                <w:b/>
                <w:color w:val="auto"/>
                <w:sz w:val="21"/>
                <w:szCs w:val="21"/>
              </w:rPr>
              <w:t>分）</w:t>
            </w:r>
          </w:p>
        </w:tc>
        <w:tc>
          <w:tcPr>
            <w:tcW w:w="474" w:type="dxa"/>
            <w:vAlign w:val="center"/>
          </w:tcPr>
          <w:p>
            <w:pPr>
              <w:pStyle w:val="8"/>
              <w:ind w:firstLine="0" w:firstLineChars="0"/>
              <w:rPr>
                <w:b/>
                <w:color w:val="auto"/>
                <w:sz w:val="21"/>
                <w:szCs w:val="21"/>
              </w:rPr>
            </w:pPr>
            <w:r>
              <w:rPr>
                <w:rFonts w:hint="eastAsia"/>
                <w:b/>
                <w:color w:val="auto"/>
                <w:sz w:val="21"/>
                <w:szCs w:val="21"/>
              </w:rPr>
              <w:t>1</w:t>
            </w:r>
          </w:p>
        </w:tc>
        <w:tc>
          <w:tcPr>
            <w:tcW w:w="1715" w:type="dxa"/>
            <w:vAlign w:val="center"/>
          </w:tcPr>
          <w:p>
            <w:pPr>
              <w:pStyle w:val="8"/>
              <w:ind w:firstLine="0" w:firstLineChars="0"/>
              <w:rPr>
                <w:color w:val="auto"/>
                <w:sz w:val="21"/>
                <w:szCs w:val="21"/>
              </w:rPr>
            </w:pPr>
            <w:r>
              <w:rPr>
                <w:rFonts w:hint="eastAsia"/>
                <w:color w:val="auto"/>
                <w:sz w:val="21"/>
                <w:szCs w:val="21"/>
              </w:rPr>
              <w:t>深圳国贸大厦</w:t>
            </w:r>
          </w:p>
        </w:tc>
        <w:tc>
          <w:tcPr>
            <w:tcW w:w="650" w:type="dxa"/>
            <w:vAlign w:val="center"/>
          </w:tcPr>
          <w:p>
            <w:pPr>
              <w:pStyle w:val="8"/>
              <w:ind w:firstLine="0" w:firstLineChars="0"/>
              <w:jc w:val="center"/>
              <w:rPr>
                <w:color w:val="auto"/>
                <w:sz w:val="21"/>
                <w:szCs w:val="21"/>
              </w:rPr>
            </w:pPr>
            <w:r>
              <w:rPr>
                <w:rFonts w:hint="eastAsia"/>
                <w:color w:val="auto"/>
                <w:sz w:val="21"/>
                <w:szCs w:val="21"/>
              </w:rPr>
              <w:t>9</w:t>
            </w:r>
            <w:r>
              <w:rPr>
                <w:color w:val="auto"/>
                <w:sz w:val="21"/>
                <w:szCs w:val="21"/>
              </w:rPr>
              <w:t>6</w:t>
            </w:r>
          </w:p>
        </w:tc>
        <w:tc>
          <w:tcPr>
            <w:tcW w:w="3700" w:type="dxa"/>
            <w:vAlign w:val="center"/>
          </w:tcPr>
          <w:p>
            <w:pPr>
              <w:pStyle w:val="8"/>
              <w:ind w:firstLine="0" w:firstLineChars="0"/>
              <w:jc w:val="left"/>
              <w:rPr>
                <w:color w:val="auto"/>
                <w:sz w:val="21"/>
                <w:szCs w:val="21"/>
              </w:rPr>
            </w:pPr>
            <w:r>
              <w:rPr>
                <w:rFonts w:hint="eastAsia"/>
                <w:color w:val="auto"/>
                <w:sz w:val="21"/>
                <w:szCs w:val="21"/>
              </w:rPr>
              <w:t>一层大厅的展示空间不足。</w:t>
            </w:r>
          </w:p>
        </w:tc>
        <w:tc>
          <w:tcPr>
            <w:tcW w:w="2697" w:type="dxa"/>
            <w:vMerge w:val="restart"/>
            <w:vAlign w:val="center"/>
          </w:tcPr>
          <w:p>
            <w:pPr>
              <w:pStyle w:val="8"/>
              <w:ind w:firstLine="0" w:firstLineChars="0"/>
              <w:jc w:val="left"/>
              <w:rPr>
                <w:color w:val="auto"/>
                <w:sz w:val="21"/>
                <w:szCs w:val="21"/>
              </w:rPr>
            </w:pPr>
            <w:r>
              <w:rPr>
                <w:rFonts w:hint="eastAsia"/>
                <w:color w:val="auto"/>
                <w:sz w:val="21"/>
                <w:szCs w:val="21"/>
              </w:rPr>
              <w:t>A等级的史迹点在本体、价值、环境三方面都极为优越，预期改造效果极好。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b/>
                <w:color w:val="auto"/>
                <w:sz w:val="21"/>
                <w:szCs w:val="21"/>
              </w:rPr>
              <w:t>2</w:t>
            </w:r>
          </w:p>
        </w:tc>
        <w:tc>
          <w:tcPr>
            <w:tcW w:w="1715" w:type="dxa"/>
            <w:vAlign w:val="center"/>
          </w:tcPr>
          <w:p>
            <w:pPr>
              <w:pStyle w:val="8"/>
              <w:ind w:firstLine="0" w:firstLineChars="0"/>
              <w:rPr>
                <w:color w:val="auto"/>
                <w:sz w:val="21"/>
                <w:szCs w:val="21"/>
              </w:rPr>
            </w:pPr>
            <w:r>
              <w:rPr>
                <w:rFonts w:hint="eastAsia"/>
                <w:color w:val="auto"/>
                <w:sz w:val="21"/>
                <w:szCs w:val="21"/>
              </w:rPr>
              <w:t>明华轮</w:t>
            </w:r>
          </w:p>
        </w:tc>
        <w:tc>
          <w:tcPr>
            <w:tcW w:w="650" w:type="dxa"/>
            <w:vAlign w:val="center"/>
          </w:tcPr>
          <w:p>
            <w:pPr>
              <w:pStyle w:val="8"/>
              <w:ind w:firstLine="0" w:firstLineChars="0"/>
              <w:jc w:val="center"/>
              <w:rPr>
                <w:color w:val="auto"/>
                <w:sz w:val="21"/>
                <w:szCs w:val="21"/>
              </w:rPr>
            </w:pPr>
            <w:r>
              <w:rPr>
                <w:rFonts w:hint="eastAsia"/>
                <w:color w:val="auto"/>
                <w:sz w:val="21"/>
                <w:szCs w:val="21"/>
              </w:rPr>
              <w:t>9</w:t>
            </w:r>
            <w:r>
              <w:rPr>
                <w:color w:val="auto"/>
                <w:sz w:val="21"/>
                <w:szCs w:val="21"/>
              </w:rPr>
              <w:t>5</w:t>
            </w:r>
          </w:p>
        </w:tc>
        <w:tc>
          <w:tcPr>
            <w:tcW w:w="3700" w:type="dxa"/>
            <w:vAlign w:val="center"/>
          </w:tcPr>
          <w:p>
            <w:pPr>
              <w:pStyle w:val="8"/>
              <w:ind w:firstLine="0" w:firstLineChars="0"/>
              <w:jc w:val="left"/>
              <w:rPr>
                <w:color w:val="auto"/>
                <w:sz w:val="21"/>
                <w:szCs w:val="21"/>
              </w:rPr>
            </w:pPr>
            <w:r>
              <w:rPr>
                <w:rFonts w:hint="eastAsia"/>
                <w:color w:val="auto"/>
                <w:sz w:val="21"/>
                <w:szCs w:val="21"/>
              </w:rPr>
              <w:t>展示利用空间和内容不足。</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3</w:t>
            </w:r>
          </w:p>
        </w:tc>
        <w:tc>
          <w:tcPr>
            <w:tcW w:w="1715" w:type="dxa"/>
            <w:vAlign w:val="center"/>
          </w:tcPr>
          <w:p>
            <w:pPr>
              <w:pStyle w:val="8"/>
              <w:ind w:firstLine="0" w:firstLineChars="0"/>
              <w:rPr>
                <w:color w:val="auto"/>
                <w:sz w:val="21"/>
                <w:szCs w:val="21"/>
              </w:rPr>
            </w:pPr>
            <w:r>
              <w:rPr>
                <w:rFonts w:hint="eastAsia"/>
                <w:color w:val="auto"/>
                <w:sz w:val="21"/>
                <w:szCs w:val="21"/>
              </w:rPr>
              <w:t>微波山时间广场</w:t>
            </w:r>
          </w:p>
        </w:tc>
        <w:tc>
          <w:tcPr>
            <w:tcW w:w="650" w:type="dxa"/>
            <w:vAlign w:val="center"/>
          </w:tcPr>
          <w:p>
            <w:pPr>
              <w:pStyle w:val="8"/>
              <w:ind w:firstLine="0" w:firstLineChars="0"/>
              <w:jc w:val="center"/>
              <w:rPr>
                <w:color w:val="auto"/>
                <w:sz w:val="21"/>
                <w:szCs w:val="21"/>
              </w:rPr>
            </w:pPr>
            <w:r>
              <w:rPr>
                <w:rFonts w:hint="eastAsia"/>
                <w:color w:val="auto"/>
                <w:sz w:val="21"/>
                <w:szCs w:val="21"/>
              </w:rPr>
              <w:t>9</w:t>
            </w:r>
            <w:r>
              <w:rPr>
                <w:color w:val="auto"/>
                <w:sz w:val="21"/>
                <w:szCs w:val="21"/>
              </w:rPr>
              <w:t>5</w:t>
            </w:r>
          </w:p>
        </w:tc>
        <w:tc>
          <w:tcPr>
            <w:tcW w:w="3700" w:type="dxa"/>
            <w:vAlign w:val="center"/>
          </w:tcPr>
          <w:p>
            <w:pPr>
              <w:pStyle w:val="8"/>
              <w:ind w:firstLine="0" w:firstLineChars="0"/>
              <w:jc w:val="left"/>
              <w:rPr>
                <w:color w:val="auto"/>
                <w:sz w:val="21"/>
                <w:szCs w:val="21"/>
              </w:rPr>
            </w:pPr>
            <w:r>
              <w:rPr>
                <w:rFonts w:hint="eastAsia"/>
                <w:color w:val="auto"/>
                <w:sz w:val="21"/>
                <w:szCs w:val="21"/>
              </w:rPr>
              <w:t>展示空间有限，日常维护不到位。</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4</w:t>
            </w:r>
          </w:p>
        </w:tc>
        <w:tc>
          <w:tcPr>
            <w:tcW w:w="1715" w:type="dxa"/>
            <w:vAlign w:val="center"/>
          </w:tcPr>
          <w:p>
            <w:pPr>
              <w:pStyle w:val="8"/>
              <w:ind w:firstLine="0" w:firstLineChars="0"/>
              <w:rPr>
                <w:color w:val="auto"/>
                <w:sz w:val="21"/>
                <w:szCs w:val="21"/>
              </w:rPr>
            </w:pPr>
            <w:r>
              <w:rPr>
                <w:rFonts w:hint="eastAsia"/>
                <w:color w:val="auto"/>
                <w:sz w:val="21"/>
                <w:szCs w:val="21"/>
              </w:rPr>
              <w:t>孺子牛雕像</w:t>
            </w:r>
          </w:p>
        </w:tc>
        <w:tc>
          <w:tcPr>
            <w:tcW w:w="650" w:type="dxa"/>
            <w:vAlign w:val="center"/>
          </w:tcPr>
          <w:p>
            <w:pPr>
              <w:pStyle w:val="8"/>
              <w:ind w:firstLine="0" w:firstLineChars="0"/>
              <w:jc w:val="center"/>
              <w:rPr>
                <w:color w:val="auto"/>
                <w:sz w:val="21"/>
                <w:szCs w:val="21"/>
              </w:rPr>
            </w:pPr>
            <w:r>
              <w:rPr>
                <w:rFonts w:hint="eastAsia"/>
                <w:color w:val="auto"/>
                <w:sz w:val="21"/>
                <w:szCs w:val="21"/>
              </w:rPr>
              <w:t>9</w:t>
            </w:r>
            <w:r>
              <w:rPr>
                <w:color w:val="auto"/>
                <w:sz w:val="21"/>
                <w:szCs w:val="21"/>
              </w:rPr>
              <w:t>2</w:t>
            </w:r>
          </w:p>
        </w:tc>
        <w:tc>
          <w:tcPr>
            <w:tcW w:w="3700" w:type="dxa"/>
            <w:vAlign w:val="center"/>
          </w:tcPr>
          <w:p>
            <w:pPr>
              <w:pStyle w:val="8"/>
              <w:ind w:firstLine="0" w:firstLineChars="0"/>
              <w:jc w:val="left"/>
              <w:rPr>
                <w:color w:val="auto"/>
                <w:sz w:val="21"/>
                <w:szCs w:val="21"/>
              </w:rPr>
            </w:pPr>
            <w:r>
              <w:rPr>
                <w:rFonts w:hint="eastAsia"/>
                <w:color w:val="auto"/>
                <w:sz w:val="21"/>
                <w:szCs w:val="21"/>
              </w:rPr>
              <w:t>周边配套展示空间有限。</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restart"/>
            <w:shd w:val="clear" w:color="auto" w:fill="E7E6E6" w:themeFill="background2"/>
            <w:vAlign w:val="center"/>
          </w:tcPr>
          <w:p>
            <w:pPr>
              <w:pStyle w:val="33"/>
              <w:rPr>
                <w:b/>
                <w:color w:val="auto"/>
                <w:sz w:val="21"/>
                <w:szCs w:val="21"/>
              </w:rPr>
            </w:pPr>
            <w:r>
              <w:rPr>
                <w:rFonts w:hint="eastAsia"/>
                <w:b/>
                <w:color w:val="auto"/>
                <w:sz w:val="21"/>
                <w:szCs w:val="21"/>
              </w:rPr>
              <w:t>B（8</w:t>
            </w:r>
            <w:r>
              <w:rPr>
                <w:b/>
                <w:color w:val="auto"/>
                <w:sz w:val="21"/>
                <w:szCs w:val="21"/>
              </w:rPr>
              <w:t>0-</w:t>
            </w:r>
            <w:r>
              <w:rPr>
                <w:rFonts w:hint="eastAsia"/>
                <w:b/>
                <w:color w:val="auto"/>
                <w:sz w:val="21"/>
                <w:szCs w:val="21"/>
              </w:rPr>
              <w:t>8</w:t>
            </w:r>
            <w:r>
              <w:rPr>
                <w:b/>
                <w:color w:val="auto"/>
                <w:sz w:val="21"/>
                <w:szCs w:val="21"/>
              </w:rPr>
              <w:t>9</w:t>
            </w:r>
            <w:r>
              <w:rPr>
                <w:rFonts w:hint="eastAsia"/>
                <w:b/>
                <w:color w:val="auto"/>
                <w:sz w:val="21"/>
                <w:szCs w:val="21"/>
              </w:rPr>
              <w:t>分）</w:t>
            </w:r>
          </w:p>
        </w:tc>
        <w:tc>
          <w:tcPr>
            <w:tcW w:w="474" w:type="dxa"/>
            <w:vAlign w:val="center"/>
          </w:tcPr>
          <w:p>
            <w:pPr>
              <w:pStyle w:val="8"/>
              <w:ind w:firstLine="0" w:firstLineChars="0"/>
              <w:rPr>
                <w:b/>
                <w:color w:val="auto"/>
                <w:sz w:val="21"/>
                <w:szCs w:val="21"/>
              </w:rPr>
            </w:pPr>
            <w:r>
              <w:rPr>
                <w:rFonts w:hint="eastAsia"/>
                <w:b/>
                <w:color w:val="auto"/>
                <w:sz w:val="21"/>
                <w:szCs w:val="21"/>
              </w:rPr>
              <w:t>5</w:t>
            </w:r>
          </w:p>
        </w:tc>
        <w:tc>
          <w:tcPr>
            <w:tcW w:w="1715" w:type="dxa"/>
            <w:vAlign w:val="center"/>
          </w:tcPr>
          <w:p>
            <w:pPr>
              <w:pStyle w:val="8"/>
              <w:ind w:firstLine="0" w:firstLineChars="0"/>
              <w:rPr>
                <w:color w:val="auto"/>
                <w:sz w:val="21"/>
                <w:szCs w:val="21"/>
              </w:rPr>
            </w:pPr>
            <w:r>
              <w:rPr>
                <w:rFonts w:hint="eastAsia"/>
                <w:color w:val="auto"/>
                <w:sz w:val="21"/>
                <w:szCs w:val="21"/>
              </w:rPr>
              <w:t>莲花山公园（</w:t>
            </w:r>
            <w:r>
              <w:rPr>
                <w:rFonts w:hint="eastAsia"/>
                <w:color w:val="auto"/>
                <w:sz w:val="21"/>
                <w:szCs w:val="21"/>
                <w:lang w:eastAsia="zh-CN"/>
              </w:rPr>
              <w:t>邓小平铜像</w:t>
            </w:r>
            <w:r>
              <w:rPr>
                <w:rFonts w:hint="eastAsia"/>
                <w:color w:val="auto"/>
                <w:sz w:val="21"/>
                <w:szCs w:val="21"/>
              </w:rPr>
              <w:t>）</w:t>
            </w:r>
          </w:p>
        </w:tc>
        <w:tc>
          <w:tcPr>
            <w:tcW w:w="650" w:type="dxa"/>
            <w:vAlign w:val="center"/>
          </w:tcPr>
          <w:p>
            <w:pPr>
              <w:pStyle w:val="8"/>
              <w:ind w:firstLine="0" w:firstLineChars="0"/>
              <w:jc w:val="center"/>
              <w:rPr>
                <w:color w:val="auto"/>
                <w:sz w:val="21"/>
                <w:szCs w:val="21"/>
              </w:rPr>
            </w:pPr>
            <w:r>
              <w:rPr>
                <w:rFonts w:hint="eastAsia"/>
                <w:color w:val="auto"/>
                <w:sz w:val="21"/>
                <w:szCs w:val="21"/>
              </w:rPr>
              <w:t>8</w:t>
            </w:r>
            <w:r>
              <w:rPr>
                <w:color w:val="auto"/>
                <w:sz w:val="21"/>
                <w:szCs w:val="21"/>
              </w:rPr>
              <w:t>9</w:t>
            </w:r>
          </w:p>
        </w:tc>
        <w:tc>
          <w:tcPr>
            <w:tcW w:w="3700" w:type="dxa"/>
            <w:vAlign w:val="center"/>
          </w:tcPr>
          <w:p>
            <w:pPr>
              <w:pStyle w:val="8"/>
              <w:ind w:firstLine="0" w:firstLineChars="0"/>
              <w:jc w:val="left"/>
              <w:rPr>
                <w:color w:val="auto"/>
                <w:sz w:val="21"/>
                <w:szCs w:val="21"/>
              </w:rPr>
            </w:pPr>
            <w:r>
              <w:rPr>
                <w:rFonts w:hint="eastAsia"/>
                <w:color w:val="auto"/>
                <w:sz w:val="21"/>
                <w:szCs w:val="21"/>
              </w:rPr>
              <w:t>展示内容可增加完善。</w:t>
            </w:r>
          </w:p>
        </w:tc>
        <w:tc>
          <w:tcPr>
            <w:tcW w:w="2697" w:type="dxa"/>
            <w:vMerge w:val="restart"/>
            <w:vAlign w:val="center"/>
          </w:tcPr>
          <w:p>
            <w:pPr>
              <w:pStyle w:val="8"/>
              <w:ind w:firstLine="0" w:firstLineChars="0"/>
              <w:jc w:val="left"/>
              <w:rPr>
                <w:color w:val="auto"/>
                <w:sz w:val="21"/>
                <w:szCs w:val="21"/>
              </w:rPr>
            </w:pPr>
            <w:r>
              <w:rPr>
                <w:rFonts w:hint="eastAsia"/>
                <w:color w:val="auto"/>
                <w:sz w:val="21"/>
                <w:szCs w:val="21"/>
              </w:rPr>
              <w:t>B等级的史迹点价值极好，但多数受限于本体的使用性质或周边环境，预期改造潜力较好。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6</w:t>
            </w:r>
          </w:p>
        </w:tc>
        <w:tc>
          <w:tcPr>
            <w:tcW w:w="1715" w:type="dxa"/>
            <w:vAlign w:val="center"/>
          </w:tcPr>
          <w:p>
            <w:pPr>
              <w:pStyle w:val="8"/>
              <w:ind w:firstLine="0" w:firstLineChars="0"/>
              <w:rPr>
                <w:color w:val="auto"/>
                <w:sz w:val="21"/>
                <w:szCs w:val="21"/>
              </w:rPr>
            </w:pPr>
            <w:r>
              <w:rPr>
                <w:rFonts w:hint="eastAsia"/>
                <w:color w:val="auto"/>
                <w:sz w:val="21"/>
                <w:szCs w:val="21"/>
              </w:rPr>
              <w:t>深圳迎宾馆（桂园、兰园别墅）</w:t>
            </w:r>
          </w:p>
        </w:tc>
        <w:tc>
          <w:tcPr>
            <w:tcW w:w="650" w:type="dxa"/>
            <w:vAlign w:val="center"/>
          </w:tcPr>
          <w:p>
            <w:pPr>
              <w:pStyle w:val="8"/>
              <w:ind w:firstLine="0" w:firstLineChars="0"/>
              <w:jc w:val="center"/>
              <w:rPr>
                <w:color w:val="auto"/>
                <w:sz w:val="21"/>
                <w:szCs w:val="21"/>
              </w:rPr>
            </w:pPr>
            <w:r>
              <w:rPr>
                <w:rFonts w:hint="eastAsia"/>
                <w:color w:val="auto"/>
                <w:sz w:val="21"/>
                <w:szCs w:val="21"/>
              </w:rPr>
              <w:t>8</w:t>
            </w:r>
            <w:r>
              <w:rPr>
                <w:color w:val="auto"/>
                <w:sz w:val="21"/>
                <w:szCs w:val="21"/>
              </w:rPr>
              <w:t>8</w:t>
            </w:r>
          </w:p>
        </w:tc>
        <w:tc>
          <w:tcPr>
            <w:tcW w:w="3700" w:type="dxa"/>
            <w:vAlign w:val="center"/>
          </w:tcPr>
          <w:p>
            <w:pPr>
              <w:pStyle w:val="8"/>
              <w:ind w:firstLine="0" w:firstLineChars="0"/>
              <w:jc w:val="left"/>
              <w:rPr>
                <w:color w:val="auto"/>
                <w:sz w:val="21"/>
                <w:szCs w:val="21"/>
              </w:rPr>
            </w:pPr>
            <w:r>
              <w:rPr>
                <w:rFonts w:hint="eastAsia"/>
                <w:color w:val="auto"/>
                <w:sz w:val="21"/>
                <w:szCs w:val="21"/>
              </w:rPr>
              <w:t>没有特别突出改革开放主题的空间，相关的展示内容不足，日常维护不到位。</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7</w:t>
            </w:r>
          </w:p>
        </w:tc>
        <w:tc>
          <w:tcPr>
            <w:tcW w:w="1715" w:type="dxa"/>
            <w:vAlign w:val="center"/>
          </w:tcPr>
          <w:p>
            <w:pPr>
              <w:pStyle w:val="8"/>
              <w:ind w:firstLine="0" w:firstLineChars="0"/>
              <w:rPr>
                <w:color w:val="auto"/>
                <w:sz w:val="21"/>
                <w:szCs w:val="21"/>
              </w:rPr>
            </w:pPr>
            <w:r>
              <w:rPr>
                <w:rFonts w:hint="eastAsia"/>
                <w:color w:val="auto"/>
                <w:sz w:val="21"/>
                <w:szCs w:val="21"/>
              </w:rPr>
              <w:t>深圳渔民村</w:t>
            </w:r>
          </w:p>
        </w:tc>
        <w:tc>
          <w:tcPr>
            <w:tcW w:w="650" w:type="dxa"/>
            <w:vAlign w:val="center"/>
          </w:tcPr>
          <w:p>
            <w:pPr>
              <w:pStyle w:val="8"/>
              <w:ind w:firstLine="0" w:firstLineChars="0"/>
              <w:jc w:val="center"/>
              <w:rPr>
                <w:color w:val="auto"/>
                <w:sz w:val="21"/>
                <w:szCs w:val="21"/>
              </w:rPr>
            </w:pPr>
            <w:r>
              <w:rPr>
                <w:rFonts w:hint="eastAsia"/>
                <w:color w:val="auto"/>
                <w:sz w:val="21"/>
                <w:szCs w:val="21"/>
              </w:rPr>
              <w:t>8</w:t>
            </w:r>
            <w:r>
              <w:rPr>
                <w:color w:val="auto"/>
                <w:sz w:val="21"/>
                <w:szCs w:val="21"/>
              </w:rPr>
              <w:t>8</w:t>
            </w:r>
          </w:p>
        </w:tc>
        <w:tc>
          <w:tcPr>
            <w:tcW w:w="3700" w:type="dxa"/>
            <w:vAlign w:val="center"/>
          </w:tcPr>
          <w:p>
            <w:pPr>
              <w:pStyle w:val="8"/>
              <w:ind w:firstLine="0" w:firstLineChars="0"/>
              <w:jc w:val="left"/>
              <w:rPr>
                <w:color w:val="auto"/>
                <w:sz w:val="21"/>
                <w:szCs w:val="21"/>
              </w:rPr>
            </w:pPr>
            <w:r>
              <w:rPr>
                <w:rFonts w:hint="eastAsia"/>
                <w:color w:val="auto"/>
                <w:sz w:val="21"/>
                <w:szCs w:val="21"/>
              </w:rPr>
              <w:t>整体展示利用情况较好，但受限于居住建筑，展示效果不到位，可在社区内设计更多的展陈方式和展陈内容。</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8</w:t>
            </w:r>
          </w:p>
        </w:tc>
        <w:tc>
          <w:tcPr>
            <w:tcW w:w="1715" w:type="dxa"/>
            <w:vAlign w:val="center"/>
          </w:tcPr>
          <w:p>
            <w:pPr>
              <w:pStyle w:val="8"/>
              <w:ind w:firstLine="0" w:firstLineChars="0"/>
              <w:rPr>
                <w:color w:val="auto"/>
                <w:sz w:val="21"/>
                <w:szCs w:val="21"/>
              </w:rPr>
            </w:pPr>
            <w:r>
              <w:rPr>
                <w:rFonts w:hint="eastAsia"/>
                <w:color w:val="auto"/>
                <w:sz w:val="21"/>
                <w:szCs w:val="21"/>
              </w:rPr>
              <w:t>袁庚祖居</w:t>
            </w:r>
          </w:p>
        </w:tc>
        <w:tc>
          <w:tcPr>
            <w:tcW w:w="650" w:type="dxa"/>
            <w:vAlign w:val="center"/>
          </w:tcPr>
          <w:p>
            <w:pPr>
              <w:pStyle w:val="8"/>
              <w:ind w:firstLine="0" w:firstLineChars="0"/>
              <w:jc w:val="center"/>
              <w:rPr>
                <w:color w:val="auto"/>
                <w:sz w:val="21"/>
                <w:szCs w:val="21"/>
              </w:rPr>
            </w:pPr>
            <w:r>
              <w:rPr>
                <w:rFonts w:hint="eastAsia"/>
                <w:color w:val="auto"/>
                <w:sz w:val="21"/>
                <w:szCs w:val="21"/>
              </w:rPr>
              <w:t>8</w:t>
            </w:r>
            <w:r>
              <w:rPr>
                <w:color w:val="auto"/>
                <w:sz w:val="21"/>
                <w:szCs w:val="21"/>
              </w:rPr>
              <w:t>7</w:t>
            </w:r>
          </w:p>
        </w:tc>
        <w:tc>
          <w:tcPr>
            <w:tcW w:w="3700" w:type="dxa"/>
            <w:vAlign w:val="center"/>
          </w:tcPr>
          <w:p>
            <w:pPr>
              <w:pStyle w:val="8"/>
              <w:ind w:firstLine="0" w:firstLineChars="0"/>
              <w:jc w:val="left"/>
              <w:rPr>
                <w:color w:val="auto"/>
                <w:sz w:val="21"/>
                <w:szCs w:val="21"/>
              </w:rPr>
            </w:pPr>
            <w:r>
              <w:rPr>
                <w:rFonts w:hint="eastAsia"/>
                <w:color w:val="auto"/>
                <w:sz w:val="21"/>
                <w:szCs w:val="21"/>
              </w:rPr>
              <w:t>周边公共交通条件较差</w:t>
            </w:r>
          </w:p>
          <w:p>
            <w:pPr>
              <w:pStyle w:val="8"/>
              <w:ind w:firstLine="0" w:firstLineChars="0"/>
              <w:jc w:val="left"/>
              <w:rPr>
                <w:color w:val="auto"/>
                <w:sz w:val="21"/>
                <w:szCs w:val="21"/>
              </w:rPr>
            </w:pPr>
            <w:r>
              <w:rPr>
                <w:rFonts w:hint="eastAsia"/>
                <w:color w:val="auto"/>
                <w:sz w:val="21"/>
                <w:szCs w:val="21"/>
              </w:rPr>
              <w:t>周边基础设施较一般</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9</w:t>
            </w:r>
          </w:p>
        </w:tc>
        <w:tc>
          <w:tcPr>
            <w:tcW w:w="1715" w:type="dxa"/>
            <w:vAlign w:val="center"/>
          </w:tcPr>
          <w:p>
            <w:pPr>
              <w:pStyle w:val="8"/>
              <w:ind w:firstLine="0" w:firstLineChars="0"/>
              <w:rPr>
                <w:color w:val="auto"/>
                <w:sz w:val="21"/>
                <w:szCs w:val="21"/>
              </w:rPr>
            </w:pPr>
            <w:r>
              <w:rPr>
                <w:rFonts w:hint="eastAsia"/>
                <w:color w:val="auto"/>
                <w:sz w:val="21"/>
                <w:szCs w:val="21"/>
              </w:rPr>
              <w:t>锦绣中华民俗村（华侨城）</w:t>
            </w:r>
          </w:p>
        </w:tc>
        <w:tc>
          <w:tcPr>
            <w:tcW w:w="650" w:type="dxa"/>
            <w:vAlign w:val="center"/>
          </w:tcPr>
          <w:p>
            <w:pPr>
              <w:pStyle w:val="8"/>
              <w:ind w:firstLine="0" w:firstLineChars="0"/>
              <w:jc w:val="center"/>
              <w:rPr>
                <w:color w:val="auto"/>
                <w:sz w:val="21"/>
                <w:szCs w:val="21"/>
              </w:rPr>
            </w:pPr>
            <w:r>
              <w:rPr>
                <w:rFonts w:hint="eastAsia"/>
                <w:color w:val="auto"/>
                <w:sz w:val="21"/>
                <w:szCs w:val="21"/>
              </w:rPr>
              <w:t>8</w:t>
            </w:r>
            <w:r>
              <w:rPr>
                <w:color w:val="auto"/>
                <w:sz w:val="21"/>
                <w:szCs w:val="21"/>
              </w:rPr>
              <w:t>6</w:t>
            </w:r>
          </w:p>
        </w:tc>
        <w:tc>
          <w:tcPr>
            <w:tcW w:w="3700" w:type="dxa"/>
            <w:vAlign w:val="center"/>
          </w:tcPr>
          <w:p>
            <w:pPr>
              <w:pStyle w:val="8"/>
              <w:ind w:firstLine="0" w:firstLineChars="0"/>
              <w:jc w:val="left"/>
              <w:rPr>
                <w:color w:val="auto"/>
                <w:sz w:val="21"/>
                <w:szCs w:val="21"/>
              </w:rPr>
            </w:pPr>
            <w:r>
              <w:rPr>
                <w:rFonts w:hint="eastAsia"/>
                <w:color w:val="auto"/>
                <w:sz w:val="21"/>
                <w:szCs w:val="21"/>
              </w:rPr>
              <w:t>本身展陈、观览条件极好，但几乎没有看到改革开放相关的展陈内容，可针对改革开放主题进行特别板块或区域的设计。</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1</w:t>
            </w:r>
            <w:r>
              <w:rPr>
                <w:b/>
                <w:color w:val="auto"/>
                <w:sz w:val="21"/>
                <w:szCs w:val="21"/>
              </w:rPr>
              <w:t>0</w:t>
            </w:r>
          </w:p>
        </w:tc>
        <w:tc>
          <w:tcPr>
            <w:tcW w:w="1715" w:type="dxa"/>
            <w:vAlign w:val="center"/>
          </w:tcPr>
          <w:p>
            <w:pPr>
              <w:pStyle w:val="8"/>
              <w:ind w:firstLine="0" w:firstLineChars="0"/>
              <w:rPr>
                <w:color w:val="auto"/>
                <w:sz w:val="21"/>
                <w:szCs w:val="21"/>
              </w:rPr>
            </w:pPr>
            <w:r>
              <w:rPr>
                <w:color w:val="auto"/>
                <w:sz w:val="21"/>
                <w:szCs w:val="21"/>
              </w:rPr>
              <w:t>南海酒店</w:t>
            </w:r>
            <w:r>
              <w:rPr>
                <w:rFonts w:hint="eastAsia"/>
                <w:color w:val="auto"/>
                <w:sz w:val="21"/>
                <w:szCs w:val="21"/>
              </w:rPr>
              <w:t>（希尔顿酒店）</w:t>
            </w:r>
          </w:p>
        </w:tc>
        <w:tc>
          <w:tcPr>
            <w:tcW w:w="650" w:type="dxa"/>
            <w:vAlign w:val="center"/>
          </w:tcPr>
          <w:p>
            <w:pPr>
              <w:pStyle w:val="8"/>
              <w:ind w:firstLine="0" w:firstLineChars="0"/>
              <w:jc w:val="center"/>
              <w:rPr>
                <w:color w:val="auto"/>
                <w:sz w:val="21"/>
                <w:szCs w:val="21"/>
              </w:rPr>
            </w:pPr>
            <w:r>
              <w:rPr>
                <w:rFonts w:hint="eastAsia"/>
                <w:color w:val="auto"/>
                <w:sz w:val="21"/>
                <w:szCs w:val="21"/>
              </w:rPr>
              <w:t>8</w:t>
            </w:r>
            <w:r>
              <w:rPr>
                <w:color w:val="auto"/>
                <w:sz w:val="21"/>
                <w:szCs w:val="21"/>
              </w:rPr>
              <w:t>6</w:t>
            </w:r>
          </w:p>
        </w:tc>
        <w:tc>
          <w:tcPr>
            <w:tcW w:w="3700" w:type="dxa"/>
            <w:vAlign w:val="center"/>
          </w:tcPr>
          <w:p>
            <w:pPr>
              <w:pStyle w:val="8"/>
              <w:ind w:firstLine="0" w:firstLineChars="0"/>
              <w:jc w:val="left"/>
              <w:rPr>
                <w:color w:val="auto"/>
                <w:sz w:val="21"/>
                <w:szCs w:val="21"/>
              </w:rPr>
            </w:pPr>
            <w:r>
              <w:rPr>
                <w:rFonts w:hint="eastAsia"/>
                <w:color w:val="auto"/>
                <w:sz w:val="21"/>
                <w:szCs w:val="21"/>
              </w:rPr>
              <w:t>受限于酒店的建筑性质，展陈空间有限，且目前没有任何改革开放主题的展陈。</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1</w:t>
            </w:r>
            <w:r>
              <w:rPr>
                <w:b/>
                <w:color w:val="auto"/>
                <w:sz w:val="21"/>
                <w:szCs w:val="21"/>
              </w:rPr>
              <w:t>1</w:t>
            </w:r>
          </w:p>
        </w:tc>
        <w:tc>
          <w:tcPr>
            <w:tcW w:w="1715" w:type="dxa"/>
            <w:vAlign w:val="center"/>
          </w:tcPr>
          <w:p>
            <w:pPr>
              <w:pStyle w:val="8"/>
              <w:ind w:firstLine="0" w:firstLineChars="0"/>
              <w:rPr>
                <w:color w:val="auto"/>
                <w:sz w:val="21"/>
                <w:szCs w:val="21"/>
              </w:rPr>
            </w:pPr>
            <w:r>
              <w:rPr>
                <w:rFonts w:hint="eastAsia"/>
                <w:color w:val="auto"/>
                <w:sz w:val="21"/>
                <w:szCs w:val="21"/>
              </w:rPr>
              <w:t>深圳科学馆旧馆</w:t>
            </w:r>
          </w:p>
        </w:tc>
        <w:tc>
          <w:tcPr>
            <w:tcW w:w="650" w:type="dxa"/>
            <w:vAlign w:val="center"/>
          </w:tcPr>
          <w:p>
            <w:pPr>
              <w:pStyle w:val="8"/>
              <w:ind w:firstLine="0" w:firstLineChars="0"/>
              <w:jc w:val="center"/>
              <w:rPr>
                <w:color w:val="auto"/>
                <w:sz w:val="21"/>
                <w:szCs w:val="21"/>
              </w:rPr>
            </w:pPr>
            <w:r>
              <w:rPr>
                <w:rFonts w:hint="eastAsia"/>
                <w:color w:val="auto"/>
                <w:sz w:val="21"/>
                <w:szCs w:val="21"/>
              </w:rPr>
              <w:t>8</w:t>
            </w:r>
            <w:r>
              <w:rPr>
                <w:color w:val="auto"/>
                <w:sz w:val="21"/>
                <w:szCs w:val="21"/>
              </w:rPr>
              <w:t>4</w:t>
            </w:r>
          </w:p>
        </w:tc>
        <w:tc>
          <w:tcPr>
            <w:tcW w:w="3700" w:type="dxa"/>
            <w:vAlign w:val="center"/>
          </w:tcPr>
          <w:p>
            <w:pPr>
              <w:pStyle w:val="8"/>
              <w:ind w:firstLine="0" w:firstLineChars="0"/>
              <w:jc w:val="left"/>
              <w:rPr>
                <w:color w:val="auto"/>
                <w:sz w:val="21"/>
                <w:szCs w:val="21"/>
              </w:rPr>
            </w:pPr>
            <w:r>
              <w:rPr>
                <w:rFonts w:hint="eastAsia"/>
                <w:color w:val="auto"/>
                <w:sz w:val="21"/>
                <w:szCs w:val="21"/>
              </w:rPr>
              <w:t>改革开放相关的展示空间和内容不足。</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1</w:t>
            </w:r>
            <w:r>
              <w:rPr>
                <w:b/>
                <w:color w:val="auto"/>
                <w:sz w:val="21"/>
                <w:szCs w:val="21"/>
              </w:rPr>
              <w:t>2</w:t>
            </w:r>
          </w:p>
        </w:tc>
        <w:tc>
          <w:tcPr>
            <w:tcW w:w="1715" w:type="dxa"/>
            <w:vAlign w:val="center"/>
          </w:tcPr>
          <w:p>
            <w:pPr>
              <w:pStyle w:val="8"/>
              <w:ind w:firstLine="0" w:firstLineChars="0"/>
              <w:rPr>
                <w:color w:val="auto"/>
                <w:sz w:val="21"/>
                <w:szCs w:val="21"/>
              </w:rPr>
            </w:pPr>
            <w:r>
              <w:rPr>
                <w:rFonts w:hint="eastAsia"/>
                <w:color w:val="auto"/>
                <w:sz w:val="21"/>
                <w:szCs w:val="21"/>
              </w:rPr>
              <w:t>世界之窗</w:t>
            </w:r>
          </w:p>
        </w:tc>
        <w:tc>
          <w:tcPr>
            <w:tcW w:w="650" w:type="dxa"/>
            <w:vAlign w:val="center"/>
          </w:tcPr>
          <w:p>
            <w:pPr>
              <w:pStyle w:val="8"/>
              <w:ind w:firstLine="0" w:firstLineChars="0"/>
              <w:jc w:val="center"/>
              <w:rPr>
                <w:color w:val="auto"/>
                <w:sz w:val="21"/>
                <w:szCs w:val="21"/>
              </w:rPr>
            </w:pPr>
            <w:r>
              <w:rPr>
                <w:rFonts w:hint="eastAsia"/>
                <w:color w:val="auto"/>
                <w:sz w:val="21"/>
                <w:szCs w:val="21"/>
              </w:rPr>
              <w:t>8</w:t>
            </w:r>
            <w:r>
              <w:rPr>
                <w:color w:val="auto"/>
                <w:sz w:val="21"/>
                <w:szCs w:val="21"/>
              </w:rPr>
              <w:t>4</w:t>
            </w:r>
          </w:p>
        </w:tc>
        <w:tc>
          <w:tcPr>
            <w:tcW w:w="3700" w:type="dxa"/>
            <w:vAlign w:val="center"/>
          </w:tcPr>
          <w:p>
            <w:pPr>
              <w:pStyle w:val="8"/>
              <w:ind w:firstLine="0" w:firstLineChars="0"/>
              <w:jc w:val="left"/>
              <w:rPr>
                <w:color w:val="auto"/>
                <w:sz w:val="21"/>
                <w:szCs w:val="21"/>
              </w:rPr>
            </w:pPr>
            <w:r>
              <w:rPr>
                <w:rFonts w:hint="eastAsia"/>
                <w:color w:val="auto"/>
                <w:sz w:val="21"/>
                <w:szCs w:val="21"/>
              </w:rPr>
              <w:t>本身展陈、观览条件极好，但几乎没有看到改革开放相关的展陈内容，可针对改革开放主题进行特别板块或区域的设计。</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1</w:t>
            </w:r>
            <w:r>
              <w:rPr>
                <w:b/>
                <w:color w:val="auto"/>
                <w:sz w:val="21"/>
                <w:szCs w:val="21"/>
              </w:rPr>
              <w:t>3</w:t>
            </w:r>
          </w:p>
        </w:tc>
        <w:tc>
          <w:tcPr>
            <w:tcW w:w="1715" w:type="dxa"/>
            <w:vAlign w:val="center"/>
          </w:tcPr>
          <w:p>
            <w:pPr>
              <w:pStyle w:val="8"/>
              <w:ind w:firstLine="0" w:firstLineChars="0"/>
              <w:rPr>
                <w:color w:val="auto"/>
                <w:sz w:val="21"/>
                <w:szCs w:val="21"/>
              </w:rPr>
            </w:pPr>
            <w:r>
              <w:rPr>
                <w:rFonts w:hint="eastAsia"/>
                <w:color w:val="auto"/>
                <w:sz w:val="21"/>
                <w:szCs w:val="21"/>
              </w:rPr>
              <w:t>深圳大学（汇元楼、汇典楼与汇紫楼）</w:t>
            </w:r>
          </w:p>
        </w:tc>
        <w:tc>
          <w:tcPr>
            <w:tcW w:w="650" w:type="dxa"/>
            <w:vAlign w:val="center"/>
          </w:tcPr>
          <w:p>
            <w:pPr>
              <w:pStyle w:val="8"/>
              <w:ind w:firstLine="0" w:firstLineChars="0"/>
              <w:jc w:val="center"/>
              <w:rPr>
                <w:color w:val="auto"/>
                <w:sz w:val="21"/>
                <w:szCs w:val="21"/>
              </w:rPr>
            </w:pPr>
            <w:r>
              <w:rPr>
                <w:rFonts w:hint="eastAsia"/>
                <w:color w:val="auto"/>
                <w:sz w:val="21"/>
                <w:szCs w:val="21"/>
              </w:rPr>
              <w:t>8</w:t>
            </w:r>
            <w:r>
              <w:rPr>
                <w:color w:val="auto"/>
                <w:sz w:val="21"/>
                <w:szCs w:val="21"/>
              </w:rPr>
              <w:t>3</w:t>
            </w:r>
          </w:p>
        </w:tc>
        <w:tc>
          <w:tcPr>
            <w:tcW w:w="3700" w:type="dxa"/>
            <w:vAlign w:val="center"/>
          </w:tcPr>
          <w:p>
            <w:pPr>
              <w:pStyle w:val="8"/>
              <w:ind w:firstLine="0" w:firstLineChars="0"/>
              <w:jc w:val="left"/>
              <w:rPr>
                <w:color w:val="auto"/>
                <w:sz w:val="21"/>
                <w:szCs w:val="21"/>
              </w:rPr>
            </w:pPr>
            <w:r>
              <w:rPr>
                <w:rFonts w:hint="eastAsia"/>
                <w:color w:val="auto"/>
                <w:sz w:val="21"/>
                <w:szCs w:val="21"/>
              </w:rPr>
              <w:t>自身建筑性质受限，可提供的展陈空间和展陈方式较少。现状几乎没有任何改革开放主题相关的展示利用。</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1</w:t>
            </w:r>
            <w:r>
              <w:rPr>
                <w:b/>
                <w:color w:val="auto"/>
                <w:sz w:val="21"/>
                <w:szCs w:val="21"/>
              </w:rPr>
              <w:t>4</w:t>
            </w:r>
          </w:p>
        </w:tc>
        <w:tc>
          <w:tcPr>
            <w:tcW w:w="1715" w:type="dxa"/>
            <w:vAlign w:val="center"/>
          </w:tcPr>
          <w:p>
            <w:pPr>
              <w:pStyle w:val="8"/>
              <w:ind w:firstLine="0" w:firstLineChars="0"/>
              <w:rPr>
                <w:color w:val="auto"/>
                <w:sz w:val="21"/>
                <w:szCs w:val="21"/>
              </w:rPr>
            </w:pPr>
            <w:r>
              <w:rPr>
                <w:rFonts w:hint="eastAsia"/>
                <w:color w:val="auto"/>
                <w:sz w:val="21"/>
                <w:szCs w:val="21"/>
              </w:rPr>
              <w:t>深圳罗湖口岸</w:t>
            </w:r>
          </w:p>
        </w:tc>
        <w:tc>
          <w:tcPr>
            <w:tcW w:w="650" w:type="dxa"/>
            <w:vAlign w:val="center"/>
          </w:tcPr>
          <w:p>
            <w:pPr>
              <w:pStyle w:val="8"/>
              <w:ind w:firstLine="0" w:firstLineChars="0"/>
              <w:jc w:val="center"/>
              <w:rPr>
                <w:color w:val="auto"/>
                <w:sz w:val="21"/>
                <w:szCs w:val="21"/>
              </w:rPr>
            </w:pPr>
            <w:r>
              <w:rPr>
                <w:rFonts w:hint="eastAsia"/>
                <w:color w:val="auto"/>
                <w:sz w:val="21"/>
                <w:szCs w:val="21"/>
              </w:rPr>
              <w:t>8</w:t>
            </w:r>
            <w:r>
              <w:rPr>
                <w:color w:val="auto"/>
                <w:sz w:val="21"/>
                <w:szCs w:val="21"/>
              </w:rPr>
              <w:t>3</w:t>
            </w:r>
          </w:p>
        </w:tc>
        <w:tc>
          <w:tcPr>
            <w:tcW w:w="3700" w:type="dxa"/>
            <w:vAlign w:val="center"/>
          </w:tcPr>
          <w:p>
            <w:pPr>
              <w:pStyle w:val="8"/>
              <w:ind w:firstLine="0" w:firstLineChars="0"/>
              <w:jc w:val="left"/>
              <w:rPr>
                <w:color w:val="auto"/>
                <w:sz w:val="21"/>
                <w:szCs w:val="21"/>
              </w:rPr>
            </w:pPr>
            <w:r>
              <w:rPr>
                <w:rFonts w:hint="eastAsia"/>
                <w:color w:val="auto"/>
                <w:sz w:val="21"/>
                <w:szCs w:val="21"/>
              </w:rPr>
              <w:t>建筑为交通性质，人流量较大，可提供的展陈空间较少。</w:t>
            </w:r>
          </w:p>
          <w:p>
            <w:pPr>
              <w:pStyle w:val="8"/>
              <w:ind w:firstLine="0" w:firstLineChars="0"/>
              <w:jc w:val="left"/>
              <w:rPr>
                <w:color w:val="auto"/>
                <w:sz w:val="21"/>
                <w:szCs w:val="21"/>
              </w:rPr>
            </w:pPr>
            <w:r>
              <w:rPr>
                <w:rFonts w:hint="eastAsia"/>
                <w:color w:val="auto"/>
                <w:sz w:val="21"/>
                <w:szCs w:val="21"/>
              </w:rPr>
              <w:t>现状几乎没有任何改革开放主题相关的展示利用。</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1</w:t>
            </w:r>
            <w:r>
              <w:rPr>
                <w:b/>
                <w:color w:val="auto"/>
                <w:sz w:val="21"/>
                <w:szCs w:val="21"/>
              </w:rPr>
              <w:t>5</w:t>
            </w:r>
          </w:p>
        </w:tc>
        <w:tc>
          <w:tcPr>
            <w:tcW w:w="1715" w:type="dxa"/>
            <w:vAlign w:val="center"/>
          </w:tcPr>
          <w:p>
            <w:pPr>
              <w:pStyle w:val="8"/>
              <w:ind w:firstLine="0" w:firstLineChars="0"/>
              <w:rPr>
                <w:color w:val="auto"/>
                <w:sz w:val="21"/>
                <w:szCs w:val="21"/>
              </w:rPr>
            </w:pPr>
            <w:r>
              <w:rPr>
                <w:color w:val="auto"/>
                <w:sz w:val="21"/>
                <w:szCs w:val="21"/>
              </w:rPr>
              <w:t xml:space="preserve">艺象ID TOWN </w:t>
            </w:r>
          </w:p>
          <w:p>
            <w:pPr>
              <w:pStyle w:val="8"/>
              <w:ind w:firstLine="0" w:firstLineChars="0"/>
              <w:rPr>
                <w:color w:val="auto"/>
                <w:sz w:val="21"/>
                <w:szCs w:val="21"/>
              </w:rPr>
            </w:pPr>
            <w:r>
              <w:rPr>
                <w:rFonts w:hint="eastAsia"/>
                <w:color w:val="auto"/>
                <w:sz w:val="21"/>
                <w:szCs w:val="21"/>
              </w:rPr>
              <w:t>（原鸿华印染厂）</w:t>
            </w:r>
          </w:p>
        </w:tc>
        <w:tc>
          <w:tcPr>
            <w:tcW w:w="650" w:type="dxa"/>
            <w:vAlign w:val="center"/>
          </w:tcPr>
          <w:p>
            <w:pPr>
              <w:pStyle w:val="8"/>
              <w:ind w:firstLine="0" w:firstLineChars="0"/>
              <w:jc w:val="center"/>
              <w:rPr>
                <w:color w:val="auto"/>
                <w:sz w:val="21"/>
                <w:szCs w:val="21"/>
              </w:rPr>
            </w:pPr>
            <w:r>
              <w:rPr>
                <w:rFonts w:hint="eastAsia"/>
                <w:color w:val="auto"/>
                <w:sz w:val="21"/>
                <w:szCs w:val="21"/>
              </w:rPr>
              <w:t>8</w:t>
            </w:r>
            <w:r>
              <w:rPr>
                <w:color w:val="auto"/>
                <w:sz w:val="21"/>
                <w:szCs w:val="21"/>
              </w:rPr>
              <w:t>3</w:t>
            </w:r>
          </w:p>
        </w:tc>
        <w:tc>
          <w:tcPr>
            <w:tcW w:w="3700" w:type="dxa"/>
            <w:vAlign w:val="center"/>
          </w:tcPr>
          <w:p>
            <w:pPr>
              <w:pStyle w:val="8"/>
              <w:ind w:firstLine="0" w:firstLineChars="0"/>
              <w:jc w:val="left"/>
              <w:rPr>
                <w:color w:val="auto"/>
                <w:sz w:val="21"/>
                <w:szCs w:val="21"/>
              </w:rPr>
            </w:pPr>
            <w:r>
              <w:rPr>
                <w:rFonts w:hint="eastAsia"/>
                <w:color w:val="auto"/>
                <w:sz w:val="21"/>
                <w:szCs w:val="21"/>
              </w:rPr>
              <w:t>目前仍在进行改造建设，但现状几乎没有任何改革开放相关的展陈利用。改革开放相关的展示空间和内容不足。</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1</w:t>
            </w:r>
            <w:r>
              <w:rPr>
                <w:b/>
                <w:color w:val="auto"/>
                <w:sz w:val="21"/>
                <w:szCs w:val="21"/>
              </w:rPr>
              <w:t>6</w:t>
            </w:r>
          </w:p>
        </w:tc>
        <w:tc>
          <w:tcPr>
            <w:tcW w:w="1715" w:type="dxa"/>
            <w:vAlign w:val="center"/>
          </w:tcPr>
          <w:p>
            <w:pPr>
              <w:pStyle w:val="8"/>
              <w:ind w:firstLine="0" w:firstLineChars="0"/>
              <w:rPr>
                <w:color w:val="auto"/>
                <w:sz w:val="21"/>
                <w:szCs w:val="21"/>
              </w:rPr>
            </w:pPr>
            <w:r>
              <w:rPr>
                <w:rFonts w:hint="eastAsia"/>
                <w:color w:val="auto"/>
                <w:sz w:val="21"/>
                <w:szCs w:val="21"/>
              </w:rPr>
              <w:t>袁庚像</w:t>
            </w:r>
          </w:p>
        </w:tc>
        <w:tc>
          <w:tcPr>
            <w:tcW w:w="650" w:type="dxa"/>
            <w:vAlign w:val="center"/>
          </w:tcPr>
          <w:p>
            <w:pPr>
              <w:pStyle w:val="8"/>
              <w:ind w:firstLine="0" w:firstLineChars="0"/>
              <w:jc w:val="center"/>
              <w:rPr>
                <w:color w:val="auto"/>
                <w:sz w:val="21"/>
                <w:szCs w:val="21"/>
              </w:rPr>
            </w:pPr>
            <w:r>
              <w:rPr>
                <w:rFonts w:hint="eastAsia"/>
                <w:color w:val="auto"/>
                <w:sz w:val="21"/>
                <w:szCs w:val="21"/>
              </w:rPr>
              <w:t>8</w:t>
            </w:r>
            <w:r>
              <w:rPr>
                <w:color w:val="auto"/>
                <w:sz w:val="21"/>
                <w:szCs w:val="21"/>
              </w:rPr>
              <w:t>3</w:t>
            </w:r>
          </w:p>
        </w:tc>
        <w:tc>
          <w:tcPr>
            <w:tcW w:w="3700" w:type="dxa"/>
            <w:vAlign w:val="center"/>
          </w:tcPr>
          <w:p>
            <w:pPr>
              <w:pStyle w:val="8"/>
              <w:ind w:firstLine="0" w:firstLineChars="0"/>
              <w:jc w:val="left"/>
              <w:rPr>
                <w:color w:val="auto"/>
                <w:sz w:val="21"/>
                <w:szCs w:val="21"/>
              </w:rPr>
            </w:pPr>
            <w:r>
              <w:rPr>
                <w:rFonts w:hint="eastAsia"/>
                <w:color w:val="auto"/>
                <w:sz w:val="21"/>
                <w:szCs w:val="21"/>
              </w:rPr>
              <w:t>雕塑位于滨海广场，周边可展陈的空间较少，可在有限空间内适当丰富展示内容。</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1</w:t>
            </w:r>
            <w:r>
              <w:rPr>
                <w:b/>
                <w:color w:val="auto"/>
                <w:sz w:val="21"/>
                <w:szCs w:val="21"/>
              </w:rPr>
              <w:t>7</w:t>
            </w:r>
          </w:p>
        </w:tc>
        <w:tc>
          <w:tcPr>
            <w:tcW w:w="1715" w:type="dxa"/>
            <w:vAlign w:val="center"/>
          </w:tcPr>
          <w:p>
            <w:pPr>
              <w:pStyle w:val="8"/>
              <w:ind w:firstLine="0" w:firstLineChars="0"/>
              <w:rPr>
                <w:color w:val="auto"/>
                <w:sz w:val="21"/>
                <w:szCs w:val="21"/>
              </w:rPr>
            </w:pPr>
            <w:r>
              <w:rPr>
                <w:rFonts w:hint="eastAsia"/>
                <w:color w:val="auto"/>
                <w:sz w:val="21"/>
                <w:szCs w:val="21"/>
              </w:rPr>
              <w:t>南岭村（村委办公楼——会议室，社区党群服务中心）</w:t>
            </w:r>
          </w:p>
        </w:tc>
        <w:tc>
          <w:tcPr>
            <w:tcW w:w="650" w:type="dxa"/>
            <w:vAlign w:val="center"/>
          </w:tcPr>
          <w:p>
            <w:pPr>
              <w:pStyle w:val="8"/>
              <w:ind w:firstLine="0" w:firstLineChars="0"/>
              <w:jc w:val="center"/>
              <w:rPr>
                <w:color w:val="auto"/>
                <w:sz w:val="21"/>
                <w:szCs w:val="21"/>
              </w:rPr>
            </w:pPr>
            <w:r>
              <w:rPr>
                <w:rFonts w:hint="eastAsia"/>
                <w:color w:val="auto"/>
                <w:sz w:val="21"/>
                <w:szCs w:val="21"/>
              </w:rPr>
              <w:t>8</w:t>
            </w:r>
            <w:r>
              <w:rPr>
                <w:color w:val="auto"/>
                <w:sz w:val="21"/>
                <w:szCs w:val="21"/>
              </w:rPr>
              <w:t>2</w:t>
            </w:r>
          </w:p>
        </w:tc>
        <w:tc>
          <w:tcPr>
            <w:tcW w:w="3700" w:type="dxa"/>
            <w:vAlign w:val="center"/>
          </w:tcPr>
          <w:p>
            <w:pPr>
              <w:pStyle w:val="8"/>
              <w:ind w:firstLine="0" w:firstLineChars="0"/>
              <w:jc w:val="left"/>
              <w:rPr>
                <w:color w:val="auto"/>
                <w:sz w:val="21"/>
                <w:szCs w:val="21"/>
              </w:rPr>
            </w:pPr>
            <w:r>
              <w:rPr>
                <w:rFonts w:hint="eastAsia"/>
                <w:color w:val="auto"/>
                <w:sz w:val="21"/>
                <w:szCs w:val="21"/>
              </w:rPr>
              <w:t>展陈条件较好，但改革开放相关的展示空间和内容不足。</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1</w:t>
            </w:r>
            <w:r>
              <w:rPr>
                <w:b/>
                <w:color w:val="auto"/>
                <w:sz w:val="21"/>
                <w:szCs w:val="21"/>
              </w:rPr>
              <w:t>8</w:t>
            </w:r>
          </w:p>
        </w:tc>
        <w:tc>
          <w:tcPr>
            <w:tcW w:w="1715" w:type="dxa"/>
            <w:vAlign w:val="center"/>
          </w:tcPr>
          <w:p>
            <w:pPr>
              <w:pStyle w:val="8"/>
              <w:ind w:firstLine="0" w:firstLineChars="0"/>
              <w:rPr>
                <w:color w:val="auto"/>
                <w:sz w:val="21"/>
                <w:szCs w:val="21"/>
              </w:rPr>
            </w:pPr>
            <w:r>
              <w:rPr>
                <w:rFonts w:hint="eastAsia"/>
                <w:color w:val="auto"/>
                <w:sz w:val="21"/>
                <w:szCs w:val="21"/>
              </w:rPr>
              <w:t>上海宾馆</w:t>
            </w:r>
          </w:p>
        </w:tc>
        <w:tc>
          <w:tcPr>
            <w:tcW w:w="650" w:type="dxa"/>
            <w:vAlign w:val="center"/>
          </w:tcPr>
          <w:p>
            <w:pPr>
              <w:pStyle w:val="8"/>
              <w:ind w:firstLine="0" w:firstLineChars="0"/>
              <w:jc w:val="center"/>
              <w:rPr>
                <w:color w:val="auto"/>
                <w:sz w:val="21"/>
                <w:szCs w:val="21"/>
              </w:rPr>
            </w:pPr>
            <w:r>
              <w:rPr>
                <w:rFonts w:hint="eastAsia"/>
                <w:color w:val="auto"/>
                <w:sz w:val="21"/>
                <w:szCs w:val="21"/>
              </w:rPr>
              <w:t>8</w:t>
            </w:r>
            <w:r>
              <w:rPr>
                <w:color w:val="auto"/>
                <w:sz w:val="21"/>
                <w:szCs w:val="21"/>
              </w:rPr>
              <w:t>2</w:t>
            </w:r>
          </w:p>
        </w:tc>
        <w:tc>
          <w:tcPr>
            <w:tcW w:w="3700" w:type="dxa"/>
            <w:vAlign w:val="center"/>
          </w:tcPr>
          <w:p>
            <w:pPr>
              <w:pStyle w:val="8"/>
              <w:ind w:firstLine="0" w:firstLineChars="0"/>
              <w:jc w:val="left"/>
              <w:rPr>
                <w:color w:val="auto"/>
                <w:sz w:val="21"/>
                <w:szCs w:val="21"/>
              </w:rPr>
            </w:pPr>
            <w:r>
              <w:rPr>
                <w:rFonts w:hint="eastAsia"/>
                <w:color w:val="auto"/>
                <w:sz w:val="21"/>
                <w:szCs w:val="21"/>
              </w:rPr>
              <w:t>受限于建筑性质，可提供的展示空间较少。改革开放相关的展示空间和内容不足。</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1</w:t>
            </w:r>
            <w:r>
              <w:rPr>
                <w:b/>
                <w:color w:val="auto"/>
                <w:sz w:val="21"/>
                <w:szCs w:val="21"/>
              </w:rPr>
              <w:t>9</w:t>
            </w:r>
          </w:p>
        </w:tc>
        <w:tc>
          <w:tcPr>
            <w:tcW w:w="1715" w:type="dxa"/>
            <w:vAlign w:val="center"/>
          </w:tcPr>
          <w:p>
            <w:pPr>
              <w:pStyle w:val="8"/>
              <w:ind w:firstLine="0" w:firstLineChars="0"/>
              <w:rPr>
                <w:color w:val="auto"/>
                <w:sz w:val="21"/>
                <w:szCs w:val="21"/>
              </w:rPr>
            </w:pPr>
            <w:r>
              <w:rPr>
                <w:rFonts w:hint="eastAsia"/>
                <w:color w:val="auto"/>
                <w:sz w:val="21"/>
                <w:szCs w:val="21"/>
              </w:rPr>
              <w:t>深圳火车站</w:t>
            </w:r>
          </w:p>
        </w:tc>
        <w:tc>
          <w:tcPr>
            <w:tcW w:w="650" w:type="dxa"/>
            <w:vAlign w:val="center"/>
          </w:tcPr>
          <w:p>
            <w:pPr>
              <w:pStyle w:val="8"/>
              <w:ind w:firstLine="0" w:firstLineChars="0"/>
              <w:jc w:val="center"/>
              <w:rPr>
                <w:color w:val="auto"/>
                <w:sz w:val="21"/>
                <w:szCs w:val="21"/>
              </w:rPr>
            </w:pPr>
            <w:r>
              <w:rPr>
                <w:rFonts w:hint="eastAsia"/>
                <w:color w:val="auto"/>
                <w:sz w:val="21"/>
                <w:szCs w:val="21"/>
              </w:rPr>
              <w:t>8</w:t>
            </w:r>
            <w:r>
              <w:rPr>
                <w:color w:val="auto"/>
                <w:sz w:val="21"/>
                <w:szCs w:val="21"/>
              </w:rPr>
              <w:t>2</w:t>
            </w:r>
          </w:p>
        </w:tc>
        <w:tc>
          <w:tcPr>
            <w:tcW w:w="3700" w:type="dxa"/>
            <w:vAlign w:val="center"/>
          </w:tcPr>
          <w:p>
            <w:pPr>
              <w:pStyle w:val="8"/>
              <w:ind w:firstLine="0" w:firstLineChars="0"/>
              <w:jc w:val="left"/>
              <w:rPr>
                <w:color w:val="auto"/>
                <w:sz w:val="21"/>
                <w:szCs w:val="21"/>
              </w:rPr>
            </w:pPr>
            <w:r>
              <w:rPr>
                <w:rFonts w:hint="eastAsia"/>
                <w:color w:val="auto"/>
                <w:sz w:val="21"/>
                <w:szCs w:val="21"/>
              </w:rPr>
              <w:t>建筑为交通性质，人流量较大，可提供的展陈空间较少。</w:t>
            </w:r>
          </w:p>
          <w:p>
            <w:pPr>
              <w:pStyle w:val="8"/>
              <w:ind w:firstLine="0" w:firstLineChars="0"/>
              <w:jc w:val="left"/>
              <w:rPr>
                <w:color w:val="auto"/>
                <w:sz w:val="21"/>
                <w:szCs w:val="21"/>
              </w:rPr>
            </w:pPr>
            <w:r>
              <w:rPr>
                <w:rFonts w:hint="eastAsia"/>
                <w:color w:val="auto"/>
                <w:sz w:val="21"/>
                <w:szCs w:val="21"/>
              </w:rPr>
              <w:t>现状几乎没有任何改革开放主题相关的展示利用。</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2</w:t>
            </w:r>
            <w:r>
              <w:rPr>
                <w:b/>
                <w:color w:val="auto"/>
                <w:sz w:val="21"/>
                <w:szCs w:val="21"/>
              </w:rPr>
              <w:t>0</w:t>
            </w:r>
          </w:p>
        </w:tc>
        <w:tc>
          <w:tcPr>
            <w:tcW w:w="1715" w:type="dxa"/>
            <w:vAlign w:val="center"/>
          </w:tcPr>
          <w:p>
            <w:pPr>
              <w:pStyle w:val="8"/>
              <w:ind w:firstLine="0" w:firstLineChars="0"/>
              <w:rPr>
                <w:color w:val="auto"/>
                <w:sz w:val="21"/>
                <w:szCs w:val="21"/>
              </w:rPr>
            </w:pPr>
            <w:r>
              <w:rPr>
                <w:rFonts w:hint="eastAsia"/>
                <w:color w:val="auto"/>
                <w:sz w:val="21"/>
                <w:szCs w:val="21"/>
              </w:rPr>
              <w:t>大成面粉厂</w:t>
            </w:r>
          </w:p>
        </w:tc>
        <w:tc>
          <w:tcPr>
            <w:tcW w:w="650" w:type="dxa"/>
            <w:vAlign w:val="center"/>
          </w:tcPr>
          <w:p>
            <w:pPr>
              <w:pStyle w:val="8"/>
              <w:ind w:firstLine="0" w:firstLineChars="0"/>
              <w:jc w:val="center"/>
              <w:rPr>
                <w:color w:val="auto"/>
                <w:sz w:val="21"/>
                <w:szCs w:val="21"/>
              </w:rPr>
            </w:pPr>
            <w:r>
              <w:rPr>
                <w:rFonts w:hint="eastAsia"/>
                <w:color w:val="auto"/>
                <w:sz w:val="21"/>
                <w:szCs w:val="21"/>
              </w:rPr>
              <w:t>8</w:t>
            </w:r>
            <w:r>
              <w:rPr>
                <w:color w:val="auto"/>
                <w:sz w:val="21"/>
                <w:szCs w:val="21"/>
              </w:rPr>
              <w:t>1</w:t>
            </w:r>
          </w:p>
        </w:tc>
        <w:tc>
          <w:tcPr>
            <w:tcW w:w="3700" w:type="dxa"/>
            <w:vAlign w:val="center"/>
          </w:tcPr>
          <w:p>
            <w:pPr>
              <w:pStyle w:val="8"/>
              <w:ind w:firstLine="0" w:firstLineChars="0"/>
              <w:jc w:val="left"/>
              <w:rPr>
                <w:color w:val="auto"/>
                <w:sz w:val="21"/>
                <w:szCs w:val="21"/>
              </w:rPr>
            </w:pPr>
            <w:r>
              <w:rPr>
                <w:rFonts w:hint="eastAsia"/>
                <w:color w:val="auto"/>
                <w:sz w:val="21"/>
                <w:szCs w:val="21"/>
              </w:rPr>
              <w:t>整体处于闲置状态，现状较差，展陈空间，基础设施缺乏，建筑尚未进行整体规划。</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2</w:t>
            </w:r>
            <w:r>
              <w:rPr>
                <w:b/>
                <w:color w:val="auto"/>
                <w:sz w:val="21"/>
                <w:szCs w:val="21"/>
              </w:rPr>
              <w:t>1</w:t>
            </w:r>
          </w:p>
        </w:tc>
        <w:tc>
          <w:tcPr>
            <w:tcW w:w="1715" w:type="dxa"/>
            <w:vAlign w:val="center"/>
          </w:tcPr>
          <w:p>
            <w:pPr>
              <w:pStyle w:val="8"/>
              <w:ind w:firstLine="0" w:firstLineChars="0"/>
              <w:rPr>
                <w:color w:val="auto"/>
                <w:sz w:val="21"/>
                <w:szCs w:val="21"/>
              </w:rPr>
            </w:pPr>
            <w:r>
              <w:rPr>
                <w:rFonts w:hint="eastAsia"/>
                <w:color w:val="auto"/>
                <w:sz w:val="21"/>
                <w:szCs w:val="21"/>
              </w:rPr>
              <w:t>深圳图书馆旧馆</w:t>
            </w:r>
          </w:p>
        </w:tc>
        <w:tc>
          <w:tcPr>
            <w:tcW w:w="650" w:type="dxa"/>
            <w:vAlign w:val="center"/>
          </w:tcPr>
          <w:p>
            <w:pPr>
              <w:pStyle w:val="8"/>
              <w:ind w:firstLine="0" w:firstLineChars="0"/>
              <w:jc w:val="center"/>
              <w:rPr>
                <w:color w:val="auto"/>
                <w:sz w:val="21"/>
                <w:szCs w:val="21"/>
              </w:rPr>
            </w:pPr>
            <w:r>
              <w:rPr>
                <w:rFonts w:hint="eastAsia"/>
                <w:color w:val="auto"/>
                <w:sz w:val="21"/>
                <w:szCs w:val="21"/>
              </w:rPr>
              <w:t>8</w:t>
            </w:r>
            <w:r>
              <w:rPr>
                <w:color w:val="auto"/>
                <w:sz w:val="21"/>
                <w:szCs w:val="21"/>
              </w:rPr>
              <w:t>1</w:t>
            </w:r>
          </w:p>
        </w:tc>
        <w:tc>
          <w:tcPr>
            <w:tcW w:w="3700" w:type="dxa"/>
            <w:vAlign w:val="center"/>
          </w:tcPr>
          <w:p>
            <w:pPr>
              <w:pStyle w:val="8"/>
              <w:ind w:firstLine="0" w:firstLineChars="0"/>
              <w:jc w:val="left"/>
              <w:rPr>
                <w:color w:val="auto"/>
                <w:sz w:val="21"/>
                <w:szCs w:val="21"/>
              </w:rPr>
            </w:pPr>
            <w:r>
              <w:rPr>
                <w:rFonts w:hint="eastAsia"/>
                <w:color w:val="auto"/>
                <w:sz w:val="21"/>
                <w:szCs w:val="21"/>
              </w:rPr>
              <w:t>展陈条件极好，但改革开放相关的展示空间和内容不足。日常</w:t>
            </w:r>
            <w:r>
              <w:rPr>
                <w:color w:val="auto"/>
                <w:sz w:val="21"/>
                <w:szCs w:val="21"/>
              </w:rPr>
              <w:t>维护</w:t>
            </w:r>
            <w:r>
              <w:rPr>
                <w:rFonts w:hint="eastAsia"/>
                <w:color w:val="auto"/>
                <w:sz w:val="21"/>
                <w:szCs w:val="21"/>
              </w:rPr>
              <w:t>不到位</w:t>
            </w:r>
            <w:r>
              <w:rPr>
                <w:color w:val="auto"/>
                <w:sz w:val="21"/>
                <w:szCs w:val="21"/>
              </w:rPr>
              <w:t>。</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2</w:t>
            </w:r>
            <w:r>
              <w:rPr>
                <w:b/>
                <w:color w:val="auto"/>
                <w:sz w:val="21"/>
                <w:szCs w:val="21"/>
              </w:rPr>
              <w:t>2</w:t>
            </w:r>
          </w:p>
        </w:tc>
        <w:tc>
          <w:tcPr>
            <w:tcW w:w="1715" w:type="dxa"/>
            <w:vAlign w:val="center"/>
          </w:tcPr>
          <w:p>
            <w:pPr>
              <w:pStyle w:val="8"/>
              <w:ind w:firstLine="0" w:firstLineChars="0"/>
              <w:rPr>
                <w:color w:val="auto"/>
                <w:sz w:val="21"/>
                <w:szCs w:val="21"/>
              </w:rPr>
            </w:pPr>
            <w:r>
              <w:rPr>
                <w:rFonts w:hint="eastAsia"/>
                <w:color w:val="auto"/>
                <w:sz w:val="21"/>
                <w:szCs w:val="21"/>
              </w:rPr>
              <w:t>二线关同乐检查站</w:t>
            </w:r>
          </w:p>
        </w:tc>
        <w:tc>
          <w:tcPr>
            <w:tcW w:w="650" w:type="dxa"/>
            <w:vAlign w:val="center"/>
          </w:tcPr>
          <w:p>
            <w:pPr>
              <w:pStyle w:val="8"/>
              <w:ind w:firstLine="0" w:firstLineChars="0"/>
              <w:jc w:val="center"/>
              <w:rPr>
                <w:color w:val="auto"/>
                <w:sz w:val="21"/>
                <w:szCs w:val="21"/>
              </w:rPr>
            </w:pPr>
            <w:r>
              <w:rPr>
                <w:rFonts w:hint="eastAsia"/>
                <w:color w:val="auto"/>
                <w:sz w:val="21"/>
                <w:szCs w:val="21"/>
              </w:rPr>
              <w:t>8</w:t>
            </w:r>
            <w:r>
              <w:rPr>
                <w:color w:val="auto"/>
                <w:sz w:val="21"/>
                <w:szCs w:val="21"/>
              </w:rPr>
              <w:t>0</w:t>
            </w:r>
          </w:p>
        </w:tc>
        <w:tc>
          <w:tcPr>
            <w:tcW w:w="3700" w:type="dxa"/>
            <w:vAlign w:val="center"/>
          </w:tcPr>
          <w:p>
            <w:pPr>
              <w:pStyle w:val="8"/>
              <w:ind w:firstLine="0" w:firstLineChars="0"/>
              <w:jc w:val="left"/>
              <w:rPr>
                <w:color w:val="auto"/>
                <w:sz w:val="21"/>
                <w:szCs w:val="21"/>
              </w:rPr>
            </w:pPr>
            <w:r>
              <w:rPr>
                <w:rFonts w:hint="eastAsia"/>
                <w:color w:val="auto"/>
                <w:sz w:val="21"/>
                <w:szCs w:val="21"/>
              </w:rPr>
              <w:t>整体处于闲置状态，现状较差，几乎无任何展陈空间。</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2</w:t>
            </w:r>
            <w:r>
              <w:rPr>
                <w:b/>
                <w:color w:val="auto"/>
                <w:sz w:val="21"/>
                <w:szCs w:val="21"/>
              </w:rPr>
              <w:t>3</w:t>
            </w:r>
          </w:p>
        </w:tc>
        <w:tc>
          <w:tcPr>
            <w:tcW w:w="1715" w:type="dxa"/>
            <w:vAlign w:val="center"/>
          </w:tcPr>
          <w:p>
            <w:pPr>
              <w:pStyle w:val="8"/>
              <w:ind w:firstLine="0" w:firstLineChars="0"/>
              <w:rPr>
                <w:color w:val="auto"/>
                <w:sz w:val="21"/>
                <w:szCs w:val="21"/>
              </w:rPr>
            </w:pPr>
            <w:r>
              <w:rPr>
                <w:rFonts w:hint="eastAsia"/>
                <w:color w:val="auto"/>
                <w:sz w:val="21"/>
                <w:szCs w:val="21"/>
              </w:rPr>
              <w:t>前海石公园</w:t>
            </w:r>
          </w:p>
        </w:tc>
        <w:tc>
          <w:tcPr>
            <w:tcW w:w="650" w:type="dxa"/>
            <w:vAlign w:val="center"/>
          </w:tcPr>
          <w:p>
            <w:pPr>
              <w:pStyle w:val="8"/>
              <w:ind w:firstLine="0" w:firstLineChars="0"/>
              <w:jc w:val="center"/>
              <w:rPr>
                <w:color w:val="auto"/>
                <w:sz w:val="21"/>
                <w:szCs w:val="21"/>
              </w:rPr>
            </w:pPr>
            <w:r>
              <w:rPr>
                <w:rFonts w:hint="eastAsia"/>
                <w:color w:val="auto"/>
                <w:sz w:val="21"/>
                <w:szCs w:val="21"/>
              </w:rPr>
              <w:t>8</w:t>
            </w:r>
            <w:r>
              <w:rPr>
                <w:color w:val="auto"/>
                <w:sz w:val="21"/>
                <w:szCs w:val="21"/>
              </w:rPr>
              <w:t>0</w:t>
            </w:r>
          </w:p>
        </w:tc>
        <w:tc>
          <w:tcPr>
            <w:tcW w:w="3700" w:type="dxa"/>
            <w:vAlign w:val="center"/>
          </w:tcPr>
          <w:p>
            <w:pPr>
              <w:pStyle w:val="8"/>
              <w:ind w:firstLine="0" w:firstLineChars="0"/>
              <w:jc w:val="left"/>
              <w:rPr>
                <w:color w:val="auto"/>
                <w:sz w:val="21"/>
                <w:szCs w:val="21"/>
              </w:rPr>
            </w:pPr>
            <w:r>
              <w:rPr>
                <w:rFonts w:hint="eastAsia"/>
                <w:color w:val="auto"/>
                <w:sz w:val="21"/>
                <w:szCs w:val="21"/>
              </w:rPr>
              <w:t>公园展示部分较少，改革开放相关的展示内容不足。</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2</w:t>
            </w:r>
            <w:r>
              <w:rPr>
                <w:b/>
                <w:color w:val="auto"/>
                <w:sz w:val="21"/>
                <w:szCs w:val="21"/>
              </w:rPr>
              <w:t>4</w:t>
            </w:r>
          </w:p>
        </w:tc>
        <w:tc>
          <w:tcPr>
            <w:tcW w:w="1715" w:type="dxa"/>
            <w:vAlign w:val="center"/>
          </w:tcPr>
          <w:p>
            <w:pPr>
              <w:pStyle w:val="8"/>
              <w:ind w:firstLine="0" w:firstLineChars="0"/>
              <w:rPr>
                <w:color w:val="auto"/>
                <w:sz w:val="21"/>
                <w:szCs w:val="21"/>
              </w:rPr>
            </w:pPr>
            <w:r>
              <w:rPr>
                <w:rFonts w:hint="eastAsia"/>
                <w:color w:val="auto"/>
                <w:sz w:val="21"/>
                <w:szCs w:val="21"/>
              </w:rPr>
              <w:t>沙头角保税区</w:t>
            </w:r>
          </w:p>
        </w:tc>
        <w:tc>
          <w:tcPr>
            <w:tcW w:w="650" w:type="dxa"/>
            <w:vAlign w:val="center"/>
          </w:tcPr>
          <w:p>
            <w:pPr>
              <w:pStyle w:val="8"/>
              <w:ind w:firstLine="0" w:firstLineChars="0"/>
              <w:jc w:val="center"/>
              <w:rPr>
                <w:color w:val="auto"/>
                <w:sz w:val="21"/>
                <w:szCs w:val="21"/>
              </w:rPr>
            </w:pPr>
            <w:r>
              <w:rPr>
                <w:rFonts w:hint="eastAsia"/>
                <w:color w:val="auto"/>
                <w:sz w:val="21"/>
                <w:szCs w:val="21"/>
              </w:rPr>
              <w:t>8</w:t>
            </w:r>
            <w:r>
              <w:rPr>
                <w:color w:val="auto"/>
                <w:sz w:val="21"/>
                <w:szCs w:val="21"/>
              </w:rPr>
              <w:t>0</w:t>
            </w:r>
          </w:p>
        </w:tc>
        <w:tc>
          <w:tcPr>
            <w:tcW w:w="3700" w:type="dxa"/>
            <w:vAlign w:val="center"/>
          </w:tcPr>
          <w:p>
            <w:pPr>
              <w:pStyle w:val="8"/>
              <w:ind w:firstLine="0" w:firstLineChars="0"/>
              <w:jc w:val="left"/>
              <w:rPr>
                <w:color w:val="auto"/>
                <w:sz w:val="21"/>
                <w:szCs w:val="21"/>
              </w:rPr>
            </w:pPr>
            <w:r>
              <w:rPr>
                <w:rFonts w:hint="eastAsia"/>
                <w:color w:val="auto"/>
                <w:sz w:val="21"/>
                <w:szCs w:val="21"/>
              </w:rPr>
              <w:t>整体处于闲置状态，现状较差，需在后续规划的基础上增加改革开放相关的展示空间和内容。</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restart"/>
            <w:shd w:val="clear" w:color="auto" w:fill="E7E6E6" w:themeFill="background2"/>
            <w:vAlign w:val="center"/>
          </w:tcPr>
          <w:p>
            <w:pPr>
              <w:pStyle w:val="33"/>
              <w:rPr>
                <w:b/>
                <w:color w:val="auto"/>
                <w:sz w:val="21"/>
                <w:szCs w:val="21"/>
              </w:rPr>
            </w:pPr>
            <w:r>
              <w:rPr>
                <w:rFonts w:hint="eastAsia"/>
                <w:b/>
                <w:color w:val="auto"/>
                <w:sz w:val="21"/>
                <w:szCs w:val="21"/>
              </w:rPr>
              <w:t>C（7</w:t>
            </w:r>
            <w:r>
              <w:rPr>
                <w:b/>
                <w:color w:val="auto"/>
                <w:sz w:val="21"/>
                <w:szCs w:val="21"/>
              </w:rPr>
              <w:t>0-</w:t>
            </w:r>
            <w:r>
              <w:rPr>
                <w:rFonts w:hint="eastAsia"/>
                <w:b/>
                <w:color w:val="auto"/>
                <w:sz w:val="21"/>
                <w:szCs w:val="21"/>
              </w:rPr>
              <w:t>7</w:t>
            </w:r>
            <w:r>
              <w:rPr>
                <w:b/>
                <w:color w:val="auto"/>
                <w:sz w:val="21"/>
                <w:szCs w:val="21"/>
              </w:rPr>
              <w:t>9</w:t>
            </w:r>
            <w:r>
              <w:rPr>
                <w:rFonts w:hint="eastAsia"/>
                <w:b/>
                <w:color w:val="auto"/>
                <w:sz w:val="21"/>
                <w:szCs w:val="21"/>
              </w:rPr>
              <w:t>分）</w:t>
            </w:r>
          </w:p>
        </w:tc>
        <w:tc>
          <w:tcPr>
            <w:tcW w:w="474" w:type="dxa"/>
            <w:vAlign w:val="center"/>
          </w:tcPr>
          <w:p>
            <w:pPr>
              <w:pStyle w:val="8"/>
              <w:ind w:firstLine="0" w:firstLineChars="0"/>
              <w:rPr>
                <w:b/>
                <w:color w:val="auto"/>
                <w:sz w:val="21"/>
                <w:szCs w:val="21"/>
              </w:rPr>
            </w:pPr>
            <w:r>
              <w:rPr>
                <w:rFonts w:hint="eastAsia"/>
                <w:b/>
                <w:color w:val="auto"/>
                <w:sz w:val="21"/>
                <w:szCs w:val="21"/>
              </w:rPr>
              <w:t>2</w:t>
            </w:r>
            <w:r>
              <w:rPr>
                <w:b/>
                <w:color w:val="auto"/>
                <w:sz w:val="21"/>
                <w:szCs w:val="21"/>
              </w:rPr>
              <w:t>5</w:t>
            </w:r>
          </w:p>
        </w:tc>
        <w:tc>
          <w:tcPr>
            <w:tcW w:w="1715" w:type="dxa"/>
            <w:vAlign w:val="center"/>
          </w:tcPr>
          <w:p>
            <w:pPr>
              <w:pStyle w:val="8"/>
              <w:ind w:firstLine="0" w:firstLineChars="0"/>
              <w:rPr>
                <w:color w:val="auto"/>
                <w:sz w:val="21"/>
                <w:szCs w:val="21"/>
              </w:rPr>
            </w:pPr>
            <w:r>
              <w:rPr>
                <w:rFonts w:hint="eastAsia"/>
                <w:color w:val="auto"/>
                <w:sz w:val="21"/>
                <w:szCs w:val="21"/>
              </w:rPr>
              <w:t>深圳博物馆旧馆</w:t>
            </w:r>
          </w:p>
        </w:tc>
        <w:tc>
          <w:tcPr>
            <w:tcW w:w="650" w:type="dxa"/>
            <w:vAlign w:val="center"/>
          </w:tcPr>
          <w:p>
            <w:pPr>
              <w:pStyle w:val="8"/>
              <w:ind w:firstLine="0" w:firstLineChars="0"/>
              <w:jc w:val="center"/>
              <w:rPr>
                <w:color w:val="auto"/>
                <w:sz w:val="21"/>
                <w:szCs w:val="21"/>
              </w:rPr>
            </w:pPr>
            <w:r>
              <w:rPr>
                <w:rFonts w:hint="eastAsia"/>
                <w:color w:val="auto"/>
                <w:sz w:val="21"/>
                <w:szCs w:val="21"/>
              </w:rPr>
              <w:t>7</w:t>
            </w:r>
            <w:r>
              <w:rPr>
                <w:color w:val="auto"/>
                <w:sz w:val="21"/>
                <w:szCs w:val="21"/>
              </w:rPr>
              <w:t>9</w:t>
            </w:r>
          </w:p>
        </w:tc>
        <w:tc>
          <w:tcPr>
            <w:tcW w:w="3700" w:type="dxa"/>
            <w:vAlign w:val="center"/>
          </w:tcPr>
          <w:p>
            <w:pPr>
              <w:pStyle w:val="8"/>
              <w:ind w:firstLine="0" w:firstLineChars="0"/>
              <w:jc w:val="left"/>
              <w:rPr>
                <w:color w:val="auto"/>
                <w:sz w:val="21"/>
                <w:szCs w:val="21"/>
              </w:rPr>
            </w:pPr>
            <w:r>
              <w:rPr>
                <w:rFonts w:hint="eastAsia"/>
                <w:color w:val="auto"/>
                <w:sz w:val="21"/>
                <w:szCs w:val="21"/>
              </w:rPr>
              <w:t>展陈条件极好，但改革开放相关的展示空间和内容不足。日常</w:t>
            </w:r>
            <w:r>
              <w:rPr>
                <w:color w:val="auto"/>
                <w:sz w:val="21"/>
                <w:szCs w:val="21"/>
              </w:rPr>
              <w:t>维护</w:t>
            </w:r>
            <w:r>
              <w:rPr>
                <w:rFonts w:hint="eastAsia"/>
                <w:color w:val="auto"/>
                <w:sz w:val="21"/>
                <w:szCs w:val="21"/>
              </w:rPr>
              <w:t>不到位</w:t>
            </w:r>
            <w:r>
              <w:rPr>
                <w:color w:val="auto"/>
                <w:sz w:val="21"/>
                <w:szCs w:val="21"/>
              </w:rPr>
              <w:t>。</w:t>
            </w:r>
          </w:p>
        </w:tc>
        <w:tc>
          <w:tcPr>
            <w:tcW w:w="2697" w:type="dxa"/>
            <w:vMerge w:val="restart"/>
            <w:vAlign w:val="center"/>
          </w:tcPr>
          <w:p>
            <w:pPr>
              <w:pStyle w:val="8"/>
              <w:ind w:firstLine="0" w:firstLineChars="0"/>
              <w:jc w:val="left"/>
              <w:rPr>
                <w:color w:val="auto"/>
                <w:sz w:val="21"/>
                <w:szCs w:val="21"/>
              </w:rPr>
            </w:pPr>
            <w:r>
              <w:rPr>
                <w:rFonts w:hint="eastAsia"/>
                <w:color w:val="auto"/>
                <w:sz w:val="21"/>
                <w:szCs w:val="21"/>
              </w:rPr>
              <w:t>C等级的史迹点价值、本体、环境三个因素中有两个因素条件不优势，预期改造潜力一般。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2</w:t>
            </w:r>
            <w:r>
              <w:rPr>
                <w:b/>
                <w:color w:val="auto"/>
                <w:sz w:val="21"/>
                <w:szCs w:val="21"/>
              </w:rPr>
              <w:t>6</w:t>
            </w:r>
          </w:p>
        </w:tc>
        <w:tc>
          <w:tcPr>
            <w:tcW w:w="1715" w:type="dxa"/>
            <w:vAlign w:val="center"/>
          </w:tcPr>
          <w:p>
            <w:pPr>
              <w:pStyle w:val="8"/>
              <w:ind w:firstLine="0" w:firstLineChars="0"/>
              <w:rPr>
                <w:color w:val="auto"/>
                <w:sz w:val="21"/>
                <w:szCs w:val="21"/>
              </w:rPr>
            </w:pPr>
            <w:r>
              <w:rPr>
                <w:rFonts w:hint="eastAsia"/>
                <w:color w:val="auto"/>
                <w:sz w:val="21"/>
                <w:szCs w:val="21"/>
              </w:rPr>
              <w:t>广东浮法玻璃（价值工厂）</w:t>
            </w:r>
          </w:p>
        </w:tc>
        <w:tc>
          <w:tcPr>
            <w:tcW w:w="650" w:type="dxa"/>
            <w:vAlign w:val="center"/>
          </w:tcPr>
          <w:p>
            <w:pPr>
              <w:pStyle w:val="8"/>
              <w:ind w:firstLine="0" w:firstLineChars="0"/>
              <w:jc w:val="center"/>
              <w:rPr>
                <w:color w:val="auto"/>
                <w:sz w:val="21"/>
                <w:szCs w:val="21"/>
              </w:rPr>
            </w:pPr>
            <w:r>
              <w:rPr>
                <w:rFonts w:hint="eastAsia"/>
                <w:color w:val="auto"/>
                <w:sz w:val="21"/>
                <w:szCs w:val="21"/>
              </w:rPr>
              <w:t>7</w:t>
            </w:r>
            <w:r>
              <w:rPr>
                <w:color w:val="auto"/>
                <w:sz w:val="21"/>
                <w:szCs w:val="21"/>
              </w:rPr>
              <w:t>6</w:t>
            </w:r>
          </w:p>
        </w:tc>
        <w:tc>
          <w:tcPr>
            <w:tcW w:w="3700" w:type="dxa"/>
            <w:vAlign w:val="center"/>
          </w:tcPr>
          <w:p>
            <w:pPr>
              <w:pStyle w:val="8"/>
              <w:ind w:firstLine="0" w:firstLineChars="0"/>
              <w:jc w:val="left"/>
              <w:rPr>
                <w:color w:val="auto"/>
                <w:sz w:val="21"/>
                <w:szCs w:val="21"/>
              </w:rPr>
            </w:pPr>
            <w:r>
              <w:rPr>
                <w:rFonts w:hint="eastAsia"/>
                <w:color w:val="auto"/>
                <w:sz w:val="21"/>
                <w:szCs w:val="21"/>
              </w:rPr>
              <w:t>本身展陈条件已成熟，但几乎改革开放相关的展示空间和内容。</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2</w:t>
            </w:r>
            <w:r>
              <w:rPr>
                <w:b/>
                <w:color w:val="auto"/>
                <w:sz w:val="21"/>
                <w:szCs w:val="21"/>
              </w:rPr>
              <w:t>7</w:t>
            </w:r>
          </w:p>
        </w:tc>
        <w:tc>
          <w:tcPr>
            <w:tcW w:w="1715" w:type="dxa"/>
            <w:vAlign w:val="center"/>
          </w:tcPr>
          <w:p>
            <w:pPr>
              <w:pStyle w:val="8"/>
              <w:ind w:firstLine="0" w:firstLineChars="0"/>
              <w:rPr>
                <w:color w:val="auto"/>
                <w:sz w:val="21"/>
                <w:szCs w:val="21"/>
              </w:rPr>
            </w:pPr>
            <w:r>
              <w:rPr>
                <w:rFonts w:hint="eastAsia"/>
                <w:color w:val="auto"/>
                <w:sz w:val="21"/>
                <w:szCs w:val="21"/>
              </w:rPr>
              <w:t>大芬油画村（胜发店铺、第一个油画工坊）</w:t>
            </w:r>
          </w:p>
        </w:tc>
        <w:tc>
          <w:tcPr>
            <w:tcW w:w="650" w:type="dxa"/>
            <w:vAlign w:val="center"/>
          </w:tcPr>
          <w:p>
            <w:pPr>
              <w:pStyle w:val="8"/>
              <w:ind w:firstLine="0" w:firstLineChars="0"/>
              <w:jc w:val="center"/>
              <w:rPr>
                <w:color w:val="auto"/>
                <w:sz w:val="21"/>
                <w:szCs w:val="21"/>
              </w:rPr>
            </w:pPr>
            <w:r>
              <w:rPr>
                <w:rFonts w:hint="eastAsia"/>
                <w:color w:val="auto"/>
                <w:sz w:val="21"/>
                <w:szCs w:val="21"/>
              </w:rPr>
              <w:t>7</w:t>
            </w:r>
            <w:r>
              <w:rPr>
                <w:color w:val="auto"/>
                <w:sz w:val="21"/>
                <w:szCs w:val="21"/>
              </w:rPr>
              <w:t>5</w:t>
            </w:r>
          </w:p>
        </w:tc>
        <w:tc>
          <w:tcPr>
            <w:tcW w:w="3700" w:type="dxa"/>
            <w:vAlign w:val="center"/>
          </w:tcPr>
          <w:p>
            <w:pPr>
              <w:pStyle w:val="8"/>
              <w:ind w:firstLine="0" w:firstLineChars="0"/>
              <w:jc w:val="left"/>
              <w:rPr>
                <w:color w:val="auto"/>
                <w:sz w:val="21"/>
                <w:szCs w:val="21"/>
              </w:rPr>
            </w:pPr>
            <w:r>
              <w:rPr>
                <w:rFonts w:hint="eastAsia"/>
                <w:color w:val="auto"/>
                <w:sz w:val="21"/>
                <w:szCs w:val="21"/>
              </w:rPr>
              <w:t>几乎没有改革开放相关的展陈空间和内容。</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2</w:t>
            </w:r>
            <w:r>
              <w:rPr>
                <w:b/>
                <w:color w:val="auto"/>
                <w:sz w:val="21"/>
                <w:szCs w:val="21"/>
              </w:rPr>
              <w:t>8</w:t>
            </w:r>
          </w:p>
        </w:tc>
        <w:tc>
          <w:tcPr>
            <w:tcW w:w="1715" w:type="dxa"/>
            <w:vAlign w:val="center"/>
          </w:tcPr>
          <w:p>
            <w:pPr>
              <w:pStyle w:val="8"/>
              <w:ind w:firstLine="0" w:firstLineChars="0"/>
              <w:rPr>
                <w:color w:val="auto"/>
                <w:sz w:val="21"/>
                <w:szCs w:val="21"/>
              </w:rPr>
            </w:pPr>
            <w:r>
              <w:rPr>
                <w:rFonts w:hint="eastAsia"/>
                <w:color w:val="auto"/>
                <w:sz w:val="21"/>
                <w:szCs w:val="21"/>
              </w:rPr>
              <w:t>大亚湾核电站</w:t>
            </w:r>
          </w:p>
        </w:tc>
        <w:tc>
          <w:tcPr>
            <w:tcW w:w="650" w:type="dxa"/>
            <w:vAlign w:val="center"/>
          </w:tcPr>
          <w:p>
            <w:pPr>
              <w:pStyle w:val="8"/>
              <w:ind w:firstLine="0" w:firstLineChars="0"/>
              <w:jc w:val="center"/>
              <w:rPr>
                <w:color w:val="auto"/>
                <w:sz w:val="21"/>
                <w:szCs w:val="21"/>
              </w:rPr>
            </w:pPr>
            <w:r>
              <w:rPr>
                <w:rFonts w:hint="eastAsia"/>
                <w:color w:val="auto"/>
                <w:sz w:val="21"/>
                <w:szCs w:val="21"/>
              </w:rPr>
              <w:t>7</w:t>
            </w:r>
            <w:r>
              <w:rPr>
                <w:color w:val="auto"/>
                <w:sz w:val="21"/>
                <w:szCs w:val="21"/>
              </w:rPr>
              <w:t>5</w:t>
            </w:r>
          </w:p>
        </w:tc>
        <w:tc>
          <w:tcPr>
            <w:tcW w:w="3700" w:type="dxa"/>
            <w:vAlign w:val="center"/>
          </w:tcPr>
          <w:p>
            <w:pPr>
              <w:pStyle w:val="8"/>
              <w:ind w:firstLine="0" w:firstLineChars="0"/>
              <w:jc w:val="left"/>
              <w:rPr>
                <w:color w:val="auto"/>
                <w:sz w:val="21"/>
                <w:szCs w:val="21"/>
              </w:rPr>
            </w:pPr>
            <w:r>
              <w:rPr>
                <w:rFonts w:hint="eastAsia"/>
                <w:color w:val="auto"/>
                <w:sz w:val="21"/>
                <w:szCs w:val="21"/>
              </w:rPr>
              <w:t>受限于建筑性质，观览条件较不成熟，目前暂不对外开放。</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b/>
                <w:color w:val="auto"/>
                <w:sz w:val="21"/>
                <w:szCs w:val="21"/>
              </w:rPr>
              <w:t>29</w:t>
            </w:r>
          </w:p>
        </w:tc>
        <w:tc>
          <w:tcPr>
            <w:tcW w:w="1715" w:type="dxa"/>
            <w:vAlign w:val="center"/>
          </w:tcPr>
          <w:p>
            <w:pPr>
              <w:pStyle w:val="8"/>
              <w:ind w:firstLine="0" w:firstLineChars="0"/>
              <w:rPr>
                <w:color w:val="auto"/>
                <w:sz w:val="21"/>
                <w:szCs w:val="21"/>
              </w:rPr>
            </w:pPr>
            <w:r>
              <w:rPr>
                <w:rFonts w:hint="eastAsia"/>
                <w:color w:val="auto"/>
                <w:sz w:val="21"/>
                <w:szCs w:val="21"/>
              </w:rPr>
              <w:t>深圳新闻大厦</w:t>
            </w:r>
          </w:p>
        </w:tc>
        <w:tc>
          <w:tcPr>
            <w:tcW w:w="650" w:type="dxa"/>
            <w:vAlign w:val="center"/>
          </w:tcPr>
          <w:p>
            <w:pPr>
              <w:pStyle w:val="8"/>
              <w:ind w:firstLine="0" w:firstLineChars="0"/>
              <w:jc w:val="center"/>
              <w:rPr>
                <w:color w:val="auto"/>
                <w:sz w:val="21"/>
                <w:szCs w:val="21"/>
              </w:rPr>
            </w:pPr>
            <w:r>
              <w:rPr>
                <w:rFonts w:hint="eastAsia"/>
                <w:color w:val="auto"/>
                <w:sz w:val="21"/>
                <w:szCs w:val="21"/>
              </w:rPr>
              <w:t>7</w:t>
            </w:r>
            <w:r>
              <w:rPr>
                <w:color w:val="auto"/>
                <w:sz w:val="21"/>
                <w:szCs w:val="21"/>
              </w:rPr>
              <w:t>5</w:t>
            </w:r>
          </w:p>
        </w:tc>
        <w:tc>
          <w:tcPr>
            <w:tcW w:w="3700" w:type="dxa"/>
            <w:vAlign w:val="center"/>
          </w:tcPr>
          <w:p>
            <w:pPr>
              <w:pStyle w:val="8"/>
              <w:ind w:firstLine="0" w:firstLineChars="0"/>
              <w:jc w:val="left"/>
              <w:rPr>
                <w:color w:val="auto"/>
                <w:sz w:val="21"/>
                <w:szCs w:val="21"/>
              </w:rPr>
            </w:pPr>
            <w:r>
              <w:rPr>
                <w:rFonts w:hint="eastAsia"/>
                <w:color w:val="auto"/>
                <w:sz w:val="21"/>
                <w:szCs w:val="21"/>
              </w:rPr>
              <w:t>建筑内可供展陈的空间较少，且几乎没有改革开放相关的展陈空间和展陈内容。</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3</w:t>
            </w:r>
            <w:r>
              <w:rPr>
                <w:b/>
                <w:color w:val="auto"/>
                <w:sz w:val="21"/>
                <w:szCs w:val="21"/>
              </w:rPr>
              <w:t>0</w:t>
            </w:r>
          </w:p>
        </w:tc>
        <w:tc>
          <w:tcPr>
            <w:tcW w:w="1715" w:type="dxa"/>
            <w:vAlign w:val="center"/>
          </w:tcPr>
          <w:p>
            <w:pPr>
              <w:pStyle w:val="8"/>
              <w:ind w:firstLine="0" w:firstLineChars="0"/>
              <w:rPr>
                <w:color w:val="auto"/>
                <w:sz w:val="21"/>
                <w:szCs w:val="21"/>
              </w:rPr>
            </w:pPr>
            <w:r>
              <w:rPr>
                <w:rFonts w:hint="eastAsia"/>
                <w:color w:val="auto"/>
                <w:sz w:val="21"/>
                <w:szCs w:val="21"/>
              </w:rPr>
              <w:t>地王大厦</w:t>
            </w:r>
          </w:p>
        </w:tc>
        <w:tc>
          <w:tcPr>
            <w:tcW w:w="650" w:type="dxa"/>
            <w:vAlign w:val="center"/>
          </w:tcPr>
          <w:p>
            <w:pPr>
              <w:pStyle w:val="8"/>
              <w:ind w:firstLine="0" w:firstLineChars="0"/>
              <w:jc w:val="center"/>
              <w:rPr>
                <w:color w:val="auto"/>
                <w:sz w:val="21"/>
                <w:szCs w:val="21"/>
              </w:rPr>
            </w:pPr>
            <w:r>
              <w:rPr>
                <w:rFonts w:hint="eastAsia"/>
                <w:color w:val="auto"/>
                <w:sz w:val="21"/>
                <w:szCs w:val="21"/>
              </w:rPr>
              <w:t>7</w:t>
            </w:r>
            <w:r>
              <w:rPr>
                <w:color w:val="auto"/>
                <w:sz w:val="21"/>
                <w:szCs w:val="21"/>
              </w:rPr>
              <w:t>4</w:t>
            </w:r>
          </w:p>
        </w:tc>
        <w:tc>
          <w:tcPr>
            <w:tcW w:w="3700" w:type="dxa"/>
            <w:vAlign w:val="center"/>
          </w:tcPr>
          <w:p>
            <w:pPr>
              <w:pStyle w:val="8"/>
              <w:ind w:firstLine="0" w:firstLineChars="0"/>
              <w:jc w:val="left"/>
              <w:rPr>
                <w:color w:val="auto"/>
                <w:sz w:val="21"/>
                <w:szCs w:val="21"/>
              </w:rPr>
            </w:pPr>
            <w:r>
              <w:rPr>
                <w:rFonts w:hint="eastAsia"/>
                <w:color w:val="auto"/>
                <w:sz w:val="21"/>
                <w:szCs w:val="21"/>
              </w:rPr>
              <w:t>建筑内可供展陈的空间较少，且几乎没有改革开放相关的展陈空间和展陈内容。</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3</w:t>
            </w:r>
            <w:r>
              <w:rPr>
                <w:b/>
                <w:color w:val="auto"/>
                <w:sz w:val="21"/>
                <w:szCs w:val="21"/>
              </w:rPr>
              <w:t>1</w:t>
            </w:r>
          </w:p>
        </w:tc>
        <w:tc>
          <w:tcPr>
            <w:tcW w:w="1715" w:type="dxa"/>
            <w:vAlign w:val="center"/>
          </w:tcPr>
          <w:p>
            <w:pPr>
              <w:pStyle w:val="8"/>
              <w:ind w:firstLine="0" w:firstLineChars="0"/>
              <w:rPr>
                <w:color w:val="auto"/>
                <w:sz w:val="21"/>
                <w:szCs w:val="21"/>
              </w:rPr>
            </w:pPr>
            <w:r>
              <w:rPr>
                <w:color w:val="auto"/>
                <w:sz w:val="21"/>
                <w:szCs w:val="21"/>
              </w:rPr>
              <w:t>三洋厂房</w:t>
            </w:r>
            <w:r>
              <w:rPr>
                <w:rFonts w:hint="eastAsia"/>
                <w:color w:val="auto"/>
                <w:sz w:val="21"/>
                <w:szCs w:val="21"/>
              </w:rPr>
              <w:t>（南海意库）</w:t>
            </w:r>
          </w:p>
        </w:tc>
        <w:tc>
          <w:tcPr>
            <w:tcW w:w="650" w:type="dxa"/>
            <w:vAlign w:val="center"/>
          </w:tcPr>
          <w:p>
            <w:pPr>
              <w:pStyle w:val="8"/>
              <w:ind w:firstLine="0" w:firstLineChars="0"/>
              <w:jc w:val="center"/>
              <w:rPr>
                <w:color w:val="auto"/>
                <w:sz w:val="21"/>
                <w:szCs w:val="21"/>
              </w:rPr>
            </w:pPr>
            <w:r>
              <w:rPr>
                <w:rFonts w:hint="eastAsia"/>
                <w:color w:val="auto"/>
                <w:sz w:val="21"/>
                <w:szCs w:val="21"/>
              </w:rPr>
              <w:t>7</w:t>
            </w:r>
            <w:r>
              <w:rPr>
                <w:color w:val="auto"/>
                <w:sz w:val="21"/>
                <w:szCs w:val="21"/>
              </w:rPr>
              <w:t>4</w:t>
            </w:r>
          </w:p>
        </w:tc>
        <w:tc>
          <w:tcPr>
            <w:tcW w:w="3700" w:type="dxa"/>
            <w:vAlign w:val="center"/>
          </w:tcPr>
          <w:p>
            <w:pPr>
              <w:pStyle w:val="8"/>
              <w:ind w:firstLine="0" w:firstLineChars="0"/>
              <w:jc w:val="left"/>
              <w:rPr>
                <w:color w:val="auto"/>
                <w:sz w:val="21"/>
                <w:szCs w:val="21"/>
              </w:rPr>
            </w:pPr>
            <w:r>
              <w:rPr>
                <w:rFonts w:hint="eastAsia"/>
                <w:color w:val="auto"/>
                <w:sz w:val="21"/>
                <w:szCs w:val="21"/>
              </w:rPr>
              <w:t>改革开放相关的展示空间和内容不足。日常维护不到位。</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3</w:t>
            </w:r>
            <w:r>
              <w:rPr>
                <w:b/>
                <w:color w:val="auto"/>
                <w:sz w:val="21"/>
                <w:szCs w:val="21"/>
              </w:rPr>
              <w:t>2</w:t>
            </w:r>
          </w:p>
        </w:tc>
        <w:tc>
          <w:tcPr>
            <w:tcW w:w="1715" w:type="dxa"/>
            <w:vAlign w:val="center"/>
          </w:tcPr>
          <w:p>
            <w:pPr>
              <w:pStyle w:val="8"/>
              <w:ind w:firstLine="0" w:firstLineChars="0"/>
              <w:rPr>
                <w:color w:val="auto"/>
                <w:sz w:val="21"/>
                <w:szCs w:val="21"/>
              </w:rPr>
            </w:pPr>
            <w:r>
              <w:rPr>
                <w:rFonts w:hint="eastAsia"/>
                <w:color w:val="auto"/>
                <w:sz w:val="21"/>
                <w:szCs w:val="21"/>
              </w:rPr>
              <w:t>深圳大学城</w:t>
            </w:r>
          </w:p>
        </w:tc>
        <w:tc>
          <w:tcPr>
            <w:tcW w:w="650" w:type="dxa"/>
            <w:vAlign w:val="center"/>
          </w:tcPr>
          <w:p>
            <w:pPr>
              <w:pStyle w:val="8"/>
              <w:ind w:firstLine="0" w:firstLineChars="0"/>
              <w:jc w:val="center"/>
              <w:rPr>
                <w:color w:val="auto"/>
                <w:sz w:val="21"/>
                <w:szCs w:val="21"/>
              </w:rPr>
            </w:pPr>
            <w:r>
              <w:rPr>
                <w:rFonts w:hint="eastAsia"/>
                <w:color w:val="auto"/>
                <w:sz w:val="21"/>
                <w:szCs w:val="21"/>
              </w:rPr>
              <w:t>7</w:t>
            </w:r>
            <w:r>
              <w:rPr>
                <w:color w:val="auto"/>
                <w:sz w:val="21"/>
                <w:szCs w:val="21"/>
              </w:rPr>
              <w:t>4</w:t>
            </w:r>
          </w:p>
        </w:tc>
        <w:tc>
          <w:tcPr>
            <w:tcW w:w="3700" w:type="dxa"/>
            <w:vAlign w:val="center"/>
          </w:tcPr>
          <w:p>
            <w:pPr>
              <w:pStyle w:val="8"/>
              <w:ind w:firstLine="0" w:firstLineChars="0"/>
              <w:jc w:val="left"/>
              <w:rPr>
                <w:color w:val="auto"/>
                <w:sz w:val="21"/>
                <w:szCs w:val="21"/>
              </w:rPr>
            </w:pPr>
            <w:r>
              <w:rPr>
                <w:rFonts w:hint="eastAsia"/>
                <w:color w:val="auto"/>
                <w:sz w:val="21"/>
                <w:szCs w:val="21"/>
              </w:rPr>
              <w:t>自身建筑性质受限，可以供的展陈空间较少。现状几乎没有任何改革开放主题相关的展示利用</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33</w:t>
            </w:r>
          </w:p>
        </w:tc>
        <w:tc>
          <w:tcPr>
            <w:tcW w:w="1715" w:type="dxa"/>
            <w:vAlign w:val="center"/>
          </w:tcPr>
          <w:p>
            <w:pPr>
              <w:pStyle w:val="8"/>
              <w:ind w:firstLine="0" w:firstLineChars="0"/>
              <w:rPr>
                <w:color w:val="auto"/>
                <w:sz w:val="21"/>
                <w:szCs w:val="21"/>
              </w:rPr>
            </w:pPr>
            <w:r>
              <w:rPr>
                <w:rFonts w:hint="eastAsia"/>
                <w:color w:val="auto"/>
                <w:sz w:val="21"/>
                <w:szCs w:val="21"/>
              </w:rPr>
              <w:t>中英街历史博物馆</w:t>
            </w:r>
          </w:p>
        </w:tc>
        <w:tc>
          <w:tcPr>
            <w:tcW w:w="650" w:type="dxa"/>
            <w:vAlign w:val="center"/>
          </w:tcPr>
          <w:p>
            <w:pPr>
              <w:pStyle w:val="8"/>
              <w:ind w:firstLine="0" w:firstLineChars="0"/>
              <w:jc w:val="center"/>
              <w:rPr>
                <w:color w:val="auto"/>
                <w:sz w:val="21"/>
                <w:szCs w:val="21"/>
              </w:rPr>
            </w:pPr>
            <w:r>
              <w:rPr>
                <w:rFonts w:hint="eastAsia"/>
                <w:color w:val="auto"/>
                <w:sz w:val="21"/>
                <w:szCs w:val="21"/>
              </w:rPr>
              <w:t>7</w:t>
            </w:r>
            <w:r>
              <w:rPr>
                <w:color w:val="auto"/>
                <w:sz w:val="21"/>
                <w:szCs w:val="21"/>
              </w:rPr>
              <w:t>4</w:t>
            </w:r>
          </w:p>
        </w:tc>
        <w:tc>
          <w:tcPr>
            <w:tcW w:w="3700" w:type="dxa"/>
            <w:vAlign w:val="center"/>
          </w:tcPr>
          <w:p>
            <w:pPr>
              <w:pStyle w:val="8"/>
              <w:ind w:firstLine="0" w:firstLineChars="0"/>
              <w:jc w:val="left"/>
              <w:rPr>
                <w:color w:val="auto"/>
                <w:sz w:val="21"/>
                <w:szCs w:val="21"/>
              </w:rPr>
            </w:pPr>
            <w:r>
              <w:rPr>
                <w:rFonts w:hint="eastAsia"/>
                <w:color w:val="auto"/>
                <w:sz w:val="21"/>
                <w:szCs w:val="21"/>
              </w:rPr>
              <w:t>改革开放相关的展示内容不足。日常维护不到位。</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34</w:t>
            </w:r>
          </w:p>
        </w:tc>
        <w:tc>
          <w:tcPr>
            <w:tcW w:w="1715" w:type="dxa"/>
            <w:vAlign w:val="center"/>
          </w:tcPr>
          <w:p>
            <w:pPr>
              <w:pStyle w:val="8"/>
              <w:ind w:firstLine="0" w:firstLineChars="0"/>
              <w:rPr>
                <w:color w:val="auto"/>
                <w:sz w:val="21"/>
                <w:szCs w:val="21"/>
              </w:rPr>
            </w:pPr>
            <w:r>
              <w:rPr>
                <w:rFonts w:hint="eastAsia"/>
                <w:color w:val="auto"/>
                <w:sz w:val="21"/>
                <w:szCs w:val="21"/>
              </w:rPr>
              <w:t>竹园宾馆</w:t>
            </w:r>
          </w:p>
        </w:tc>
        <w:tc>
          <w:tcPr>
            <w:tcW w:w="650" w:type="dxa"/>
            <w:vAlign w:val="center"/>
          </w:tcPr>
          <w:p>
            <w:pPr>
              <w:pStyle w:val="8"/>
              <w:ind w:firstLine="0" w:firstLineChars="0"/>
              <w:jc w:val="center"/>
              <w:rPr>
                <w:color w:val="auto"/>
                <w:sz w:val="21"/>
                <w:szCs w:val="21"/>
              </w:rPr>
            </w:pPr>
            <w:r>
              <w:rPr>
                <w:rFonts w:hint="eastAsia"/>
                <w:color w:val="auto"/>
                <w:sz w:val="21"/>
                <w:szCs w:val="21"/>
              </w:rPr>
              <w:t>7</w:t>
            </w:r>
            <w:r>
              <w:rPr>
                <w:color w:val="auto"/>
                <w:sz w:val="21"/>
                <w:szCs w:val="21"/>
              </w:rPr>
              <w:t>3</w:t>
            </w:r>
          </w:p>
        </w:tc>
        <w:tc>
          <w:tcPr>
            <w:tcW w:w="3700" w:type="dxa"/>
            <w:vAlign w:val="center"/>
          </w:tcPr>
          <w:p>
            <w:pPr>
              <w:pStyle w:val="8"/>
              <w:ind w:firstLine="0" w:firstLineChars="0"/>
              <w:jc w:val="left"/>
              <w:rPr>
                <w:color w:val="auto"/>
                <w:sz w:val="21"/>
                <w:szCs w:val="21"/>
              </w:rPr>
            </w:pPr>
            <w:r>
              <w:rPr>
                <w:rFonts w:hint="eastAsia"/>
                <w:color w:val="auto"/>
                <w:sz w:val="21"/>
                <w:szCs w:val="21"/>
              </w:rPr>
              <w:t>改革开放相关的展示空间和内容不足。日常维护不到位。</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35</w:t>
            </w:r>
          </w:p>
        </w:tc>
        <w:tc>
          <w:tcPr>
            <w:tcW w:w="1715" w:type="dxa"/>
            <w:vAlign w:val="center"/>
          </w:tcPr>
          <w:p>
            <w:pPr>
              <w:pStyle w:val="8"/>
              <w:ind w:firstLine="0" w:firstLineChars="0"/>
              <w:rPr>
                <w:color w:val="auto"/>
                <w:sz w:val="21"/>
                <w:szCs w:val="21"/>
              </w:rPr>
            </w:pPr>
            <w:r>
              <w:rPr>
                <w:rFonts w:hint="eastAsia"/>
                <w:color w:val="auto"/>
                <w:sz w:val="21"/>
                <w:szCs w:val="21"/>
              </w:rPr>
              <w:t>“空谈误国，实干兴邦”标语牌</w:t>
            </w:r>
          </w:p>
        </w:tc>
        <w:tc>
          <w:tcPr>
            <w:tcW w:w="650" w:type="dxa"/>
            <w:vAlign w:val="center"/>
          </w:tcPr>
          <w:p>
            <w:pPr>
              <w:pStyle w:val="8"/>
              <w:ind w:firstLine="0" w:firstLineChars="0"/>
              <w:jc w:val="center"/>
              <w:rPr>
                <w:color w:val="auto"/>
                <w:sz w:val="21"/>
                <w:szCs w:val="21"/>
              </w:rPr>
            </w:pPr>
            <w:r>
              <w:rPr>
                <w:rFonts w:hint="eastAsia"/>
                <w:color w:val="auto"/>
                <w:sz w:val="21"/>
                <w:szCs w:val="21"/>
              </w:rPr>
              <w:t>7</w:t>
            </w:r>
            <w:r>
              <w:rPr>
                <w:color w:val="auto"/>
                <w:sz w:val="21"/>
                <w:szCs w:val="21"/>
              </w:rPr>
              <w:t>2</w:t>
            </w:r>
          </w:p>
        </w:tc>
        <w:tc>
          <w:tcPr>
            <w:tcW w:w="3700" w:type="dxa"/>
            <w:vAlign w:val="center"/>
          </w:tcPr>
          <w:p>
            <w:pPr>
              <w:pStyle w:val="8"/>
              <w:ind w:firstLine="0" w:firstLineChars="0"/>
              <w:jc w:val="left"/>
              <w:rPr>
                <w:color w:val="auto"/>
                <w:sz w:val="21"/>
                <w:szCs w:val="21"/>
              </w:rPr>
            </w:pPr>
            <w:r>
              <w:rPr>
                <w:rFonts w:hint="eastAsia"/>
                <w:color w:val="auto"/>
                <w:sz w:val="21"/>
                <w:szCs w:val="21"/>
              </w:rPr>
              <w:t>改革开放相关的展示空间和内容不足。日常维护不到位。史迹点周边的环境和基础设施现状较差。</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36</w:t>
            </w:r>
          </w:p>
        </w:tc>
        <w:tc>
          <w:tcPr>
            <w:tcW w:w="1715" w:type="dxa"/>
            <w:vAlign w:val="center"/>
          </w:tcPr>
          <w:p>
            <w:pPr>
              <w:pStyle w:val="8"/>
              <w:ind w:firstLine="0" w:firstLineChars="0"/>
              <w:rPr>
                <w:color w:val="auto"/>
                <w:sz w:val="21"/>
                <w:szCs w:val="21"/>
              </w:rPr>
            </w:pPr>
            <w:r>
              <w:rPr>
                <w:rFonts w:hint="eastAsia"/>
                <w:color w:val="auto"/>
                <w:sz w:val="21"/>
                <w:szCs w:val="21"/>
              </w:rPr>
              <w:t>光明街道糖厂</w:t>
            </w:r>
          </w:p>
        </w:tc>
        <w:tc>
          <w:tcPr>
            <w:tcW w:w="650" w:type="dxa"/>
            <w:vAlign w:val="center"/>
          </w:tcPr>
          <w:p>
            <w:pPr>
              <w:pStyle w:val="8"/>
              <w:ind w:firstLine="0" w:firstLineChars="0"/>
              <w:jc w:val="center"/>
              <w:rPr>
                <w:color w:val="auto"/>
                <w:sz w:val="21"/>
                <w:szCs w:val="21"/>
              </w:rPr>
            </w:pPr>
            <w:r>
              <w:rPr>
                <w:rFonts w:hint="eastAsia"/>
                <w:color w:val="auto"/>
                <w:sz w:val="21"/>
                <w:szCs w:val="21"/>
              </w:rPr>
              <w:t>7</w:t>
            </w:r>
            <w:r>
              <w:rPr>
                <w:color w:val="auto"/>
                <w:sz w:val="21"/>
                <w:szCs w:val="21"/>
              </w:rPr>
              <w:t>1</w:t>
            </w:r>
          </w:p>
        </w:tc>
        <w:tc>
          <w:tcPr>
            <w:tcW w:w="3700" w:type="dxa"/>
            <w:vAlign w:val="center"/>
          </w:tcPr>
          <w:p>
            <w:pPr>
              <w:pStyle w:val="8"/>
              <w:ind w:firstLine="0" w:firstLineChars="0"/>
              <w:jc w:val="left"/>
              <w:rPr>
                <w:color w:val="auto"/>
                <w:sz w:val="21"/>
                <w:szCs w:val="21"/>
              </w:rPr>
            </w:pPr>
            <w:r>
              <w:rPr>
                <w:rFonts w:hint="eastAsia"/>
                <w:color w:val="auto"/>
                <w:sz w:val="21"/>
                <w:szCs w:val="21"/>
              </w:rPr>
              <w:t>整体处于闲置状态，现状较差，需在后续规划的基础上增加改革开放相关的展示空间和内容。</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37</w:t>
            </w:r>
          </w:p>
        </w:tc>
        <w:tc>
          <w:tcPr>
            <w:tcW w:w="1715" w:type="dxa"/>
            <w:vAlign w:val="center"/>
          </w:tcPr>
          <w:p>
            <w:pPr>
              <w:pStyle w:val="8"/>
              <w:ind w:firstLine="0" w:firstLineChars="0"/>
              <w:rPr>
                <w:color w:val="auto"/>
                <w:sz w:val="21"/>
                <w:szCs w:val="21"/>
              </w:rPr>
            </w:pPr>
            <w:r>
              <w:rPr>
                <w:rFonts w:hint="eastAsia"/>
                <w:color w:val="auto"/>
                <w:sz w:val="21"/>
                <w:szCs w:val="21"/>
              </w:rPr>
              <w:t>深圳市南头中学（校史馆）</w:t>
            </w:r>
          </w:p>
        </w:tc>
        <w:tc>
          <w:tcPr>
            <w:tcW w:w="650" w:type="dxa"/>
            <w:vAlign w:val="center"/>
          </w:tcPr>
          <w:p>
            <w:pPr>
              <w:pStyle w:val="8"/>
              <w:ind w:firstLine="0" w:firstLineChars="0"/>
              <w:jc w:val="center"/>
              <w:rPr>
                <w:color w:val="auto"/>
                <w:sz w:val="21"/>
                <w:szCs w:val="21"/>
              </w:rPr>
            </w:pPr>
            <w:r>
              <w:rPr>
                <w:rFonts w:hint="eastAsia"/>
                <w:color w:val="auto"/>
                <w:sz w:val="21"/>
                <w:szCs w:val="21"/>
              </w:rPr>
              <w:t>7</w:t>
            </w:r>
            <w:r>
              <w:rPr>
                <w:color w:val="auto"/>
                <w:sz w:val="21"/>
                <w:szCs w:val="21"/>
              </w:rPr>
              <w:t>1</w:t>
            </w:r>
          </w:p>
        </w:tc>
        <w:tc>
          <w:tcPr>
            <w:tcW w:w="3700" w:type="dxa"/>
            <w:vAlign w:val="center"/>
          </w:tcPr>
          <w:p>
            <w:pPr>
              <w:pStyle w:val="8"/>
              <w:ind w:firstLine="0" w:firstLineChars="0"/>
              <w:jc w:val="left"/>
              <w:rPr>
                <w:color w:val="auto"/>
                <w:sz w:val="21"/>
                <w:szCs w:val="21"/>
              </w:rPr>
            </w:pPr>
            <w:r>
              <w:rPr>
                <w:rFonts w:hint="eastAsia"/>
                <w:color w:val="auto"/>
                <w:sz w:val="21"/>
                <w:szCs w:val="21"/>
              </w:rPr>
              <w:t>校史馆内改革开放相关的展示内容不足。</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b/>
                <w:color w:val="auto"/>
                <w:sz w:val="21"/>
                <w:szCs w:val="21"/>
              </w:rPr>
              <w:t>3</w:t>
            </w:r>
            <w:r>
              <w:rPr>
                <w:rFonts w:hint="eastAsia"/>
                <w:b/>
                <w:color w:val="auto"/>
                <w:sz w:val="21"/>
                <w:szCs w:val="21"/>
              </w:rPr>
              <w:t>8</w:t>
            </w:r>
          </w:p>
        </w:tc>
        <w:tc>
          <w:tcPr>
            <w:tcW w:w="1715" w:type="dxa"/>
            <w:vAlign w:val="center"/>
          </w:tcPr>
          <w:p>
            <w:pPr>
              <w:pStyle w:val="8"/>
              <w:ind w:firstLine="0" w:firstLineChars="0"/>
              <w:rPr>
                <w:color w:val="auto"/>
                <w:sz w:val="21"/>
                <w:szCs w:val="21"/>
              </w:rPr>
            </w:pPr>
            <w:r>
              <w:rPr>
                <w:rFonts w:hint="eastAsia"/>
                <w:color w:val="auto"/>
                <w:sz w:val="21"/>
                <w:szCs w:val="21"/>
              </w:rPr>
              <w:t>深圳证券交易所（老楼）</w:t>
            </w:r>
          </w:p>
        </w:tc>
        <w:tc>
          <w:tcPr>
            <w:tcW w:w="650" w:type="dxa"/>
            <w:vAlign w:val="center"/>
          </w:tcPr>
          <w:p>
            <w:pPr>
              <w:pStyle w:val="8"/>
              <w:ind w:firstLine="0" w:firstLineChars="0"/>
              <w:jc w:val="center"/>
              <w:rPr>
                <w:color w:val="auto"/>
                <w:sz w:val="21"/>
                <w:szCs w:val="21"/>
              </w:rPr>
            </w:pPr>
            <w:r>
              <w:rPr>
                <w:rFonts w:hint="eastAsia"/>
                <w:color w:val="auto"/>
                <w:sz w:val="21"/>
                <w:szCs w:val="21"/>
              </w:rPr>
              <w:t>7</w:t>
            </w:r>
            <w:r>
              <w:rPr>
                <w:color w:val="auto"/>
                <w:sz w:val="21"/>
                <w:szCs w:val="21"/>
              </w:rPr>
              <w:t>1</w:t>
            </w:r>
          </w:p>
        </w:tc>
        <w:tc>
          <w:tcPr>
            <w:tcW w:w="3700" w:type="dxa"/>
            <w:vAlign w:val="center"/>
          </w:tcPr>
          <w:p>
            <w:pPr>
              <w:pStyle w:val="8"/>
              <w:ind w:firstLine="0" w:firstLineChars="0"/>
              <w:jc w:val="left"/>
              <w:rPr>
                <w:color w:val="auto"/>
                <w:sz w:val="21"/>
                <w:szCs w:val="21"/>
              </w:rPr>
            </w:pPr>
            <w:r>
              <w:rPr>
                <w:rFonts w:hint="eastAsia"/>
                <w:color w:val="auto"/>
                <w:sz w:val="21"/>
                <w:szCs w:val="21"/>
              </w:rPr>
              <w:t>改革开放相关的展示空间和内容不足。日常维护不到位。</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39</w:t>
            </w:r>
          </w:p>
        </w:tc>
        <w:tc>
          <w:tcPr>
            <w:tcW w:w="1715" w:type="dxa"/>
            <w:vAlign w:val="center"/>
          </w:tcPr>
          <w:p>
            <w:pPr>
              <w:pStyle w:val="8"/>
              <w:ind w:firstLine="0" w:firstLineChars="0"/>
              <w:rPr>
                <w:color w:val="auto"/>
                <w:sz w:val="21"/>
                <w:szCs w:val="21"/>
              </w:rPr>
            </w:pPr>
            <w:r>
              <w:rPr>
                <w:rFonts w:hint="eastAsia"/>
                <w:color w:val="auto"/>
                <w:sz w:val="21"/>
                <w:szCs w:val="21"/>
              </w:rPr>
              <w:t>盐田港国际集装箱码头</w:t>
            </w:r>
          </w:p>
        </w:tc>
        <w:tc>
          <w:tcPr>
            <w:tcW w:w="650" w:type="dxa"/>
            <w:vAlign w:val="center"/>
          </w:tcPr>
          <w:p>
            <w:pPr>
              <w:pStyle w:val="8"/>
              <w:ind w:firstLine="0" w:firstLineChars="0"/>
              <w:jc w:val="center"/>
              <w:rPr>
                <w:color w:val="auto"/>
                <w:sz w:val="21"/>
                <w:szCs w:val="21"/>
              </w:rPr>
            </w:pPr>
            <w:r>
              <w:rPr>
                <w:rFonts w:hint="eastAsia"/>
                <w:color w:val="auto"/>
                <w:sz w:val="21"/>
                <w:szCs w:val="21"/>
              </w:rPr>
              <w:t>7</w:t>
            </w:r>
            <w:r>
              <w:rPr>
                <w:color w:val="auto"/>
                <w:sz w:val="21"/>
                <w:szCs w:val="21"/>
              </w:rPr>
              <w:t>1</w:t>
            </w:r>
          </w:p>
        </w:tc>
        <w:tc>
          <w:tcPr>
            <w:tcW w:w="3700" w:type="dxa"/>
            <w:vAlign w:val="center"/>
          </w:tcPr>
          <w:p>
            <w:pPr>
              <w:pStyle w:val="8"/>
              <w:ind w:firstLine="0" w:firstLineChars="0"/>
              <w:jc w:val="left"/>
              <w:rPr>
                <w:color w:val="auto"/>
                <w:sz w:val="21"/>
                <w:szCs w:val="21"/>
              </w:rPr>
            </w:pPr>
            <w:r>
              <w:rPr>
                <w:rFonts w:hint="eastAsia"/>
                <w:color w:val="auto"/>
                <w:sz w:val="21"/>
                <w:szCs w:val="21"/>
              </w:rPr>
              <w:t>受限于建筑性质，观览条件较不成熟，目前暂不对外开放。</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b/>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40</w:t>
            </w:r>
          </w:p>
        </w:tc>
        <w:tc>
          <w:tcPr>
            <w:tcW w:w="1715" w:type="dxa"/>
            <w:vAlign w:val="center"/>
          </w:tcPr>
          <w:p>
            <w:pPr>
              <w:pStyle w:val="8"/>
              <w:ind w:firstLine="0" w:firstLineChars="0"/>
              <w:rPr>
                <w:color w:val="auto"/>
                <w:sz w:val="21"/>
                <w:szCs w:val="21"/>
              </w:rPr>
            </w:pPr>
            <w:r>
              <w:rPr>
                <w:rFonts w:hint="eastAsia"/>
                <w:color w:val="auto"/>
                <w:sz w:val="21"/>
                <w:szCs w:val="21"/>
              </w:rPr>
              <w:t>电子大厦</w:t>
            </w:r>
          </w:p>
        </w:tc>
        <w:tc>
          <w:tcPr>
            <w:tcW w:w="650" w:type="dxa"/>
            <w:vAlign w:val="center"/>
          </w:tcPr>
          <w:p>
            <w:pPr>
              <w:pStyle w:val="8"/>
              <w:ind w:firstLine="0" w:firstLineChars="0"/>
              <w:jc w:val="center"/>
              <w:rPr>
                <w:color w:val="auto"/>
                <w:sz w:val="21"/>
                <w:szCs w:val="21"/>
              </w:rPr>
            </w:pPr>
            <w:r>
              <w:rPr>
                <w:rFonts w:hint="eastAsia"/>
                <w:color w:val="auto"/>
                <w:sz w:val="21"/>
                <w:szCs w:val="21"/>
              </w:rPr>
              <w:t>7</w:t>
            </w:r>
            <w:r>
              <w:rPr>
                <w:color w:val="auto"/>
                <w:sz w:val="21"/>
                <w:szCs w:val="21"/>
              </w:rPr>
              <w:t>0</w:t>
            </w:r>
          </w:p>
        </w:tc>
        <w:tc>
          <w:tcPr>
            <w:tcW w:w="3700" w:type="dxa"/>
            <w:vAlign w:val="center"/>
          </w:tcPr>
          <w:p>
            <w:pPr>
              <w:pStyle w:val="8"/>
              <w:ind w:firstLine="0" w:firstLineChars="0"/>
              <w:jc w:val="left"/>
              <w:rPr>
                <w:color w:val="auto"/>
                <w:sz w:val="21"/>
                <w:szCs w:val="21"/>
              </w:rPr>
            </w:pPr>
            <w:r>
              <w:rPr>
                <w:rFonts w:hint="eastAsia"/>
                <w:color w:val="auto"/>
                <w:sz w:val="21"/>
                <w:szCs w:val="21"/>
              </w:rPr>
              <w:t>改革开放相关的展示空间和内容不足。日常维护不到位。</w:t>
            </w:r>
          </w:p>
        </w:tc>
        <w:tc>
          <w:tcPr>
            <w:tcW w:w="2697" w:type="dxa"/>
            <w:vMerge w:val="continue"/>
            <w:vAlign w:val="center"/>
          </w:tcPr>
          <w:p>
            <w:pPr>
              <w:pStyle w:val="8"/>
              <w:ind w:firstLine="0" w:firstLineChars="0"/>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restart"/>
            <w:shd w:val="clear" w:color="auto" w:fill="E7E6E6" w:themeFill="background2"/>
            <w:vAlign w:val="center"/>
          </w:tcPr>
          <w:p>
            <w:pPr>
              <w:pStyle w:val="33"/>
              <w:rPr>
                <w:b/>
                <w:color w:val="auto"/>
                <w:sz w:val="21"/>
                <w:szCs w:val="21"/>
              </w:rPr>
            </w:pPr>
            <w:r>
              <w:rPr>
                <w:rFonts w:hint="eastAsia"/>
                <w:b/>
                <w:color w:val="auto"/>
                <w:sz w:val="21"/>
                <w:szCs w:val="21"/>
              </w:rPr>
              <w:t>D（≤6</w:t>
            </w:r>
            <w:r>
              <w:rPr>
                <w:b/>
                <w:color w:val="auto"/>
                <w:sz w:val="21"/>
                <w:szCs w:val="21"/>
              </w:rPr>
              <w:t>9</w:t>
            </w:r>
            <w:r>
              <w:rPr>
                <w:rFonts w:hint="eastAsia"/>
                <w:b/>
                <w:color w:val="auto"/>
                <w:sz w:val="21"/>
                <w:szCs w:val="21"/>
              </w:rPr>
              <w:t>分）</w:t>
            </w:r>
          </w:p>
        </w:tc>
        <w:tc>
          <w:tcPr>
            <w:tcW w:w="474" w:type="dxa"/>
            <w:vAlign w:val="center"/>
          </w:tcPr>
          <w:p>
            <w:pPr>
              <w:pStyle w:val="8"/>
              <w:ind w:firstLine="0" w:firstLineChars="0"/>
              <w:rPr>
                <w:b/>
                <w:color w:val="auto"/>
                <w:sz w:val="21"/>
                <w:szCs w:val="21"/>
              </w:rPr>
            </w:pPr>
            <w:r>
              <w:rPr>
                <w:rFonts w:hint="eastAsia"/>
                <w:b/>
                <w:color w:val="auto"/>
                <w:sz w:val="21"/>
                <w:szCs w:val="21"/>
              </w:rPr>
              <w:t>41</w:t>
            </w:r>
          </w:p>
        </w:tc>
        <w:tc>
          <w:tcPr>
            <w:tcW w:w="1715" w:type="dxa"/>
            <w:vAlign w:val="center"/>
          </w:tcPr>
          <w:p>
            <w:pPr>
              <w:pStyle w:val="8"/>
              <w:ind w:firstLine="0" w:firstLineChars="0"/>
              <w:rPr>
                <w:color w:val="auto"/>
                <w:sz w:val="21"/>
                <w:szCs w:val="21"/>
              </w:rPr>
            </w:pPr>
            <w:r>
              <w:rPr>
                <w:rFonts w:hint="eastAsia"/>
                <w:color w:val="auto"/>
                <w:sz w:val="21"/>
                <w:szCs w:val="21"/>
              </w:rPr>
              <w:t>深圳劳务工博物馆</w:t>
            </w:r>
          </w:p>
        </w:tc>
        <w:tc>
          <w:tcPr>
            <w:tcW w:w="650" w:type="dxa"/>
            <w:vAlign w:val="center"/>
          </w:tcPr>
          <w:p>
            <w:pPr>
              <w:pStyle w:val="8"/>
              <w:ind w:firstLine="0" w:firstLineChars="0"/>
              <w:jc w:val="center"/>
              <w:rPr>
                <w:color w:val="auto"/>
                <w:sz w:val="21"/>
                <w:szCs w:val="21"/>
              </w:rPr>
            </w:pPr>
            <w:r>
              <w:rPr>
                <w:rFonts w:hint="eastAsia"/>
                <w:color w:val="auto"/>
                <w:sz w:val="21"/>
                <w:szCs w:val="21"/>
              </w:rPr>
              <w:t>6</w:t>
            </w:r>
            <w:r>
              <w:rPr>
                <w:color w:val="auto"/>
                <w:sz w:val="21"/>
                <w:szCs w:val="21"/>
              </w:rPr>
              <w:t>6</w:t>
            </w:r>
          </w:p>
        </w:tc>
        <w:tc>
          <w:tcPr>
            <w:tcW w:w="3700" w:type="dxa"/>
            <w:vAlign w:val="center"/>
          </w:tcPr>
          <w:p>
            <w:pPr>
              <w:pStyle w:val="8"/>
              <w:ind w:firstLine="0" w:firstLineChars="0"/>
              <w:jc w:val="left"/>
              <w:rPr>
                <w:color w:val="auto"/>
                <w:sz w:val="21"/>
                <w:szCs w:val="21"/>
              </w:rPr>
            </w:pPr>
            <w:r>
              <w:rPr>
                <w:rFonts w:hint="eastAsia"/>
                <w:color w:val="auto"/>
                <w:sz w:val="21"/>
                <w:szCs w:val="21"/>
              </w:rPr>
              <w:t>交通条件较差，周边基础设施不健全，改革开放相关的展示内容不足。日常维护不到位。</w:t>
            </w:r>
          </w:p>
        </w:tc>
        <w:tc>
          <w:tcPr>
            <w:tcW w:w="2697" w:type="dxa"/>
            <w:vMerge w:val="restart"/>
            <w:vAlign w:val="center"/>
          </w:tcPr>
          <w:p>
            <w:pPr>
              <w:pStyle w:val="8"/>
              <w:ind w:firstLine="0" w:firstLineChars="0"/>
              <w:jc w:val="left"/>
              <w:rPr>
                <w:color w:val="auto"/>
                <w:sz w:val="21"/>
                <w:szCs w:val="21"/>
              </w:rPr>
            </w:pPr>
            <w:r>
              <w:rPr>
                <w:rFonts w:hint="eastAsia"/>
                <w:color w:val="auto"/>
                <w:sz w:val="21"/>
                <w:szCs w:val="21"/>
              </w:rPr>
              <w:t>D等级的史迹点在价值、本体、环境三个方面均不占优势，预期改造潜力较差。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vMerge w:val="continue"/>
            <w:shd w:val="clear" w:color="auto" w:fill="E7E6E6" w:themeFill="background2"/>
            <w:vAlign w:val="center"/>
          </w:tcPr>
          <w:p>
            <w:pPr>
              <w:pStyle w:val="33"/>
              <w:rPr>
                <w:color w:val="auto"/>
                <w:sz w:val="21"/>
                <w:szCs w:val="21"/>
              </w:rPr>
            </w:pPr>
          </w:p>
        </w:tc>
        <w:tc>
          <w:tcPr>
            <w:tcW w:w="474" w:type="dxa"/>
            <w:vAlign w:val="center"/>
          </w:tcPr>
          <w:p>
            <w:pPr>
              <w:pStyle w:val="8"/>
              <w:ind w:firstLine="0" w:firstLineChars="0"/>
              <w:rPr>
                <w:b/>
                <w:color w:val="auto"/>
                <w:sz w:val="21"/>
                <w:szCs w:val="21"/>
              </w:rPr>
            </w:pPr>
            <w:r>
              <w:rPr>
                <w:rFonts w:hint="eastAsia"/>
                <w:b/>
                <w:color w:val="auto"/>
                <w:sz w:val="21"/>
                <w:szCs w:val="21"/>
              </w:rPr>
              <w:t>42</w:t>
            </w:r>
          </w:p>
        </w:tc>
        <w:tc>
          <w:tcPr>
            <w:tcW w:w="1715" w:type="dxa"/>
            <w:vAlign w:val="center"/>
          </w:tcPr>
          <w:p>
            <w:pPr>
              <w:pStyle w:val="8"/>
              <w:ind w:firstLine="0" w:firstLineChars="0"/>
              <w:rPr>
                <w:color w:val="auto"/>
                <w:sz w:val="21"/>
                <w:szCs w:val="21"/>
              </w:rPr>
            </w:pPr>
            <w:r>
              <w:rPr>
                <w:rFonts w:hint="eastAsia"/>
                <w:color w:val="auto"/>
                <w:sz w:val="21"/>
                <w:szCs w:val="21"/>
              </w:rPr>
              <w:t>鹤薮小学</w:t>
            </w:r>
          </w:p>
        </w:tc>
        <w:tc>
          <w:tcPr>
            <w:tcW w:w="650" w:type="dxa"/>
            <w:vAlign w:val="center"/>
          </w:tcPr>
          <w:p>
            <w:pPr>
              <w:pStyle w:val="8"/>
              <w:ind w:firstLine="0" w:firstLineChars="0"/>
              <w:jc w:val="center"/>
              <w:rPr>
                <w:color w:val="auto"/>
                <w:sz w:val="21"/>
                <w:szCs w:val="21"/>
              </w:rPr>
            </w:pPr>
            <w:r>
              <w:rPr>
                <w:rFonts w:hint="eastAsia"/>
                <w:color w:val="auto"/>
                <w:sz w:val="21"/>
                <w:szCs w:val="21"/>
              </w:rPr>
              <w:t>6</w:t>
            </w:r>
            <w:r>
              <w:rPr>
                <w:color w:val="auto"/>
                <w:sz w:val="21"/>
                <w:szCs w:val="21"/>
              </w:rPr>
              <w:t>2</w:t>
            </w:r>
          </w:p>
        </w:tc>
        <w:tc>
          <w:tcPr>
            <w:tcW w:w="3700" w:type="dxa"/>
            <w:vAlign w:val="center"/>
          </w:tcPr>
          <w:p>
            <w:pPr>
              <w:pStyle w:val="8"/>
              <w:ind w:firstLine="0" w:firstLineChars="0"/>
              <w:jc w:val="left"/>
              <w:rPr>
                <w:color w:val="auto"/>
                <w:sz w:val="21"/>
                <w:szCs w:val="21"/>
              </w:rPr>
            </w:pPr>
            <w:r>
              <w:rPr>
                <w:rFonts w:hint="eastAsia"/>
                <w:color w:val="auto"/>
                <w:sz w:val="21"/>
                <w:szCs w:val="21"/>
              </w:rPr>
              <w:t>交通条件较差，周边基础设施不健全，改革开放相关的展示空间和内容不足。日常维护不到位。</w:t>
            </w:r>
          </w:p>
        </w:tc>
        <w:tc>
          <w:tcPr>
            <w:tcW w:w="2697" w:type="dxa"/>
            <w:vMerge w:val="continue"/>
            <w:vAlign w:val="center"/>
          </w:tcPr>
          <w:p>
            <w:pPr>
              <w:pStyle w:val="8"/>
              <w:ind w:firstLine="0" w:firstLineChars="0"/>
              <w:jc w:val="left"/>
              <w:rPr>
                <w:color w:val="auto"/>
                <w:sz w:val="21"/>
                <w:szCs w:val="21"/>
              </w:rPr>
            </w:pPr>
          </w:p>
        </w:tc>
      </w:tr>
    </w:tbl>
    <w:p>
      <w:pPr>
        <w:pStyle w:val="8"/>
        <w:ind w:firstLine="0" w:firstLineChars="0"/>
        <w:rPr>
          <w:color w:val="auto"/>
        </w:rPr>
      </w:pPr>
    </w:p>
    <w:p>
      <w:pPr>
        <w:pStyle w:val="8"/>
        <w:ind w:firstLine="0" w:firstLineChars="0"/>
        <w:rPr>
          <w:b/>
          <w:color w:val="auto"/>
        </w:rPr>
      </w:pPr>
      <w:r>
        <w:rPr>
          <w:rFonts w:hint="eastAsia"/>
          <w:b/>
          <w:color w:val="auto"/>
        </w:rPr>
        <w:t>（</w:t>
      </w:r>
      <w:r>
        <w:rPr>
          <w:b/>
          <w:color w:val="auto"/>
        </w:rPr>
        <w:t>3</w:t>
      </w:r>
      <w:r>
        <w:rPr>
          <w:rFonts w:hint="eastAsia"/>
          <w:b/>
          <w:color w:val="auto"/>
        </w:rPr>
        <w:t>）深圳市改革开放重要史迹现状问题总结</w:t>
      </w:r>
    </w:p>
    <w:p>
      <w:pPr>
        <w:pStyle w:val="8"/>
        <w:rPr>
          <w:color w:val="auto"/>
        </w:rPr>
      </w:pPr>
      <w:r>
        <w:rPr>
          <w:rFonts w:hint="eastAsia"/>
          <w:color w:val="auto"/>
        </w:rPr>
        <w:t>改革开放史迹存在的主要问题是：</w:t>
      </w:r>
    </w:p>
    <w:p>
      <w:pPr>
        <w:pStyle w:val="8"/>
        <w:numPr>
          <w:ilvl w:val="0"/>
          <w:numId w:val="1"/>
        </w:numPr>
        <w:ind w:firstLineChars="0"/>
        <w:rPr>
          <w:color w:val="auto"/>
        </w:rPr>
      </w:pPr>
      <w:r>
        <w:rPr>
          <w:rFonts w:hint="eastAsia"/>
          <w:color w:val="auto"/>
        </w:rPr>
        <w:t>展示空间不足，有的史迹点甚至没有展示空间。</w:t>
      </w:r>
    </w:p>
    <w:p>
      <w:pPr>
        <w:pStyle w:val="8"/>
        <w:numPr>
          <w:ilvl w:val="0"/>
          <w:numId w:val="1"/>
        </w:numPr>
        <w:ind w:firstLineChars="0"/>
        <w:rPr>
          <w:color w:val="auto"/>
        </w:rPr>
      </w:pPr>
      <w:r>
        <w:rPr>
          <w:rFonts w:hint="eastAsia"/>
          <w:color w:val="auto"/>
        </w:rPr>
        <w:t>展示内容不充分，没有充分展现各个史迹点在甚至改革开放历程中的重要性、重要事件、重要地位。</w:t>
      </w:r>
    </w:p>
    <w:p>
      <w:pPr>
        <w:pStyle w:val="8"/>
        <w:numPr>
          <w:ilvl w:val="0"/>
          <w:numId w:val="1"/>
        </w:numPr>
        <w:ind w:firstLineChars="0"/>
        <w:rPr>
          <w:color w:val="auto"/>
        </w:rPr>
      </w:pPr>
      <w:r>
        <w:rPr>
          <w:rFonts w:hint="eastAsia"/>
          <w:color w:val="auto"/>
        </w:rPr>
        <w:t>部分史迹点日常管理维护工作不到位。</w:t>
      </w:r>
    </w:p>
    <w:p>
      <w:pPr>
        <w:pStyle w:val="8"/>
        <w:numPr>
          <w:ilvl w:val="0"/>
          <w:numId w:val="1"/>
        </w:numPr>
        <w:ind w:firstLineChars="0"/>
        <w:rPr>
          <w:color w:val="auto"/>
        </w:rPr>
      </w:pPr>
      <w:r>
        <w:rPr>
          <w:rFonts w:hint="eastAsia"/>
          <w:color w:val="auto"/>
        </w:rPr>
        <w:t>部分史迹点周边交通、基础设施条件较差。</w:t>
      </w:r>
    </w:p>
    <w:p>
      <w:pPr>
        <w:pStyle w:val="3"/>
        <w:rPr>
          <w:color w:val="auto"/>
        </w:rPr>
      </w:pPr>
      <w:bookmarkStart w:id="131" w:name="_Toc21517"/>
      <w:bookmarkStart w:id="132" w:name="_Toc8287"/>
      <w:bookmarkStart w:id="133" w:name="_Toc16573"/>
      <w:bookmarkStart w:id="134" w:name="_Toc114072192"/>
      <w:bookmarkStart w:id="135" w:name="_Toc22754"/>
      <w:bookmarkStart w:id="136" w:name="_Toc2460"/>
      <w:bookmarkStart w:id="137" w:name="_Toc1283871796"/>
      <w:bookmarkStart w:id="138" w:name="_Toc13013"/>
      <w:r>
        <w:rPr>
          <w:color w:val="auto"/>
        </w:rPr>
        <w:t>3.5</w:t>
      </w:r>
      <w:r>
        <w:rPr>
          <w:rFonts w:hint="eastAsia"/>
          <w:color w:val="auto"/>
        </w:rPr>
        <w:t>相关规划</w:t>
      </w:r>
      <w:bookmarkEnd w:id="130"/>
      <w:r>
        <w:rPr>
          <w:rFonts w:hint="eastAsia"/>
          <w:color w:val="auto"/>
        </w:rPr>
        <w:t>解读</w:t>
      </w:r>
      <w:bookmarkEnd w:id="131"/>
      <w:bookmarkEnd w:id="132"/>
      <w:bookmarkEnd w:id="133"/>
      <w:bookmarkEnd w:id="134"/>
      <w:bookmarkEnd w:id="135"/>
      <w:bookmarkEnd w:id="136"/>
      <w:bookmarkEnd w:id="137"/>
      <w:bookmarkEnd w:id="138"/>
    </w:p>
    <w:p>
      <w:pPr>
        <w:pStyle w:val="4"/>
        <w:rPr>
          <w:color w:val="auto"/>
        </w:rPr>
      </w:pPr>
      <w:r>
        <w:rPr>
          <w:color w:val="auto"/>
        </w:rPr>
        <w:t>3.5.1</w:t>
      </w:r>
      <w:r>
        <w:rPr>
          <w:rFonts w:hint="eastAsia"/>
          <w:color w:val="auto"/>
        </w:rPr>
        <w:t>《深圳市国土空间总体规划（2</w:t>
      </w:r>
      <w:r>
        <w:rPr>
          <w:color w:val="auto"/>
        </w:rPr>
        <w:t>020</w:t>
      </w:r>
      <w:r>
        <w:rPr>
          <w:rFonts w:hint="eastAsia"/>
          <w:color w:val="auto"/>
        </w:rPr>
        <w:t>-</w:t>
      </w:r>
      <w:r>
        <w:rPr>
          <w:color w:val="auto"/>
        </w:rPr>
        <w:t>2035</w:t>
      </w:r>
      <w:r>
        <w:rPr>
          <w:rFonts w:hint="eastAsia"/>
          <w:color w:val="auto"/>
        </w:rPr>
        <w:t>）公示读本》（以下简称《公示读本》）</w:t>
      </w:r>
    </w:p>
    <w:p>
      <w:pPr>
        <w:pStyle w:val="8"/>
        <w:rPr>
          <w:color w:val="auto"/>
        </w:rPr>
      </w:pPr>
      <w:r>
        <w:rPr>
          <w:rFonts w:hint="eastAsia"/>
          <w:color w:val="auto"/>
        </w:rPr>
        <w:t>《公示读本》“0</w:t>
      </w:r>
      <w:r>
        <w:rPr>
          <w:color w:val="auto"/>
        </w:rPr>
        <w:t xml:space="preserve">7 </w:t>
      </w:r>
      <w:r>
        <w:rPr>
          <w:rFonts w:hint="eastAsia"/>
          <w:color w:val="auto"/>
        </w:rPr>
        <w:t>统筹陆海，助推海洋中心城市”构建陆海发展空间格局中指出，通过岸线活化、生态环境优化、文化功能植入等方式，丰富滨海公共场所体验。本规划可增加陆海岸线文化主题，丰富陆海发展空间的文化体验。</w:t>
      </w:r>
    </w:p>
    <w:p>
      <w:pPr>
        <w:pStyle w:val="8"/>
        <w:rPr>
          <w:color w:val="auto"/>
        </w:rPr>
      </w:pPr>
      <w:r>
        <w:rPr>
          <w:rFonts w:hint="eastAsia"/>
          <w:color w:val="auto"/>
        </w:rPr>
        <w:t>《公示读本》“0</w:t>
      </w:r>
      <w:r>
        <w:rPr>
          <w:color w:val="auto"/>
        </w:rPr>
        <w:t>8</w:t>
      </w:r>
      <w:r>
        <w:rPr>
          <w:rFonts w:hint="eastAsia"/>
          <w:color w:val="auto"/>
        </w:rPr>
        <w:t>风貌塑造，彰显现代城市魅力”章节中提出，塑造高辨识度的“多维深圳”城市意象，多维打造“现代文化名城”，全景展示深圳历史与当代人文特质、城市发展记忆和特色风貌，打造多元文化兼收、历史与当代相得益彰的“现代文化名城”。强调保育当代历史记忆，聚焦改革开放历程，深度挖掘4</w:t>
      </w:r>
      <w:r>
        <w:rPr>
          <w:color w:val="auto"/>
        </w:rPr>
        <w:t>0</w:t>
      </w:r>
      <w:r>
        <w:rPr>
          <w:rFonts w:hint="eastAsia"/>
          <w:color w:val="auto"/>
        </w:rPr>
        <w:t>年辉煌历史记忆留存地。本规划正是针对改革开放以来重要史迹的保护利用的战略规划，对</w:t>
      </w:r>
      <w:r>
        <w:rPr>
          <w:color w:val="auto"/>
        </w:rPr>
        <w:t>提高深圳市</w:t>
      </w:r>
      <w:r>
        <w:rPr>
          <w:rFonts w:hint="eastAsia"/>
          <w:color w:val="auto"/>
          <w:lang w:val="en-US" w:eastAsia="zh-CN"/>
        </w:rPr>
        <w:t>改</w:t>
      </w:r>
      <w:r>
        <w:rPr>
          <w:color w:val="auto"/>
        </w:rPr>
        <w:t>革开放</w:t>
      </w:r>
      <w:r>
        <w:rPr>
          <w:rFonts w:hint="eastAsia"/>
          <w:color w:val="auto"/>
        </w:rPr>
        <w:t>遗产</w:t>
      </w:r>
      <w:r>
        <w:rPr>
          <w:color w:val="auto"/>
        </w:rPr>
        <w:t>保护</w:t>
      </w:r>
      <w:r>
        <w:rPr>
          <w:rFonts w:hint="eastAsia"/>
          <w:color w:val="auto"/>
        </w:rPr>
        <w:t>利用</w:t>
      </w:r>
      <w:r>
        <w:rPr>
          <w:color w:val="auto"/>
        </w:rPr>
        <w:t>水平具有重大意义</w:t>
      </w:r>
      <w:r>
        <w:rPr>
          <w:rFonts w:hint="eastAsia"/>
          <w:color w:val="auto"/>
        </w:rPr>
        <w:t>。</w:t>
      </w:r>
    </w:p>
    <w:p>
      <w:pPr>
        <w:pStyle w:val="4"/>
        <w:rPr>
          <w:color w:val="auto"/>
        </w:rPr>
      </w:pPr>
      <w:r>
        <w:rPr>
          <w:rFonts w:hint="eastAsia"/>
          <w:color w:val="auto"/>
        </w:rPr>
        <w:t>3</w:t>
      </w:r>
      <w:r>
        <w:rPr>
          <w:color w:val="auto"/>
        </w:rPr>
        <w:t>.5.2</w:t>
      </w:r>
      <w:r>
        <w:rPr>
          <w:rFonts w:hint="eastAsia"/>
          <w:color w:val="auto"/>
        </w:rPr>
        <w:t>《深圳市国民经济和社会发展第十四个五年规划和二〇三五年远景目标纲要》（以下简称《规划纲要》）</w:t>
      </w:r>
    </w:p>
    <w:p>
      <w:pPr>
        <w:pStyle w:val="8"/>
        <w:rPr>
          <w:color w:val="auto"/>
        </w:rPr>
      </w:pPr>
      <w:r>
        <w:rPr>
          <w:rFonts w:hint="eastAsia"/>
          <w:color w:val="auto"/>
        </w:rPr>
        <w:t>《规划纲要》以粤港澳大湾区建设为纲，以深圳先行示范区建设为总牵引、总要求，以深圳综合改革试点为关键一招，对深圳“十四五”时期经济社会发展和</w:t>
      </w:r>
      <w:r>
        <w:rPr>
          <w:color w:val="auto"/>
        </w:rPr>
        <w:t>2035年远景目标作出谋划和部署。</w:t>
      </w:r>
      <w:r>
        <w:rPr>
          <w:rFonts w:hint="eastAsia"/>
          <w:color w:val="auto"/>
        </w:rPr>
        <w:t>“十四五”发展目标提到率先塑造展现社会主义文化繁荣兴盛的现代城市文明、大幅提升文化软实力。建设彰显国家文化软实力的现代文明之城。加快建设“新时代十大文化设施”，全面完成“十大特色文化街区”改造提升，开展第二批特色文化街区建设，丰富推广“城市文化菜单”，实施新时代文艺发展工程。改革开放重要史迹的保护利用有利于展现社会主义文化繁荣兴盛的现代城市文明、大幅提升文化软实力，是贯彻落实深圳市“十四五”部署任务的重要举措。</w:t>
      </w:r>
    </w:p>
    <w:p>
      <w:pPr>
        <w:pStyle w:val="8"/>
        <w:rPr>
          <w:color w:val="auto"/>
        </w:rPr>
      </w:pPr>
    </w:p>
    <w:p>
      <w:pPr>
        <w:spacing w:line="360" w:lineRule="auto"/>
        <w:ind w:firstLine="480"/>
        <w:rPr>
          <w:color w:val="auto"/>
          <w:sz w:val="24"/>
          <w:szCs w:val="24"/>
        </w:rPr>
        <w:sectPr>
          <w:pgSz w:w="23811" w:h="16838" w:orient="landscape"/>
          <w:pgMar w:top="1800" w:right="1440" w:bottom="1800" w:left="1440" w:header="851" w:footer="992" w:gutter="0"/>
          <w:cols w:space="1051" w:num="2"/>
          <w:docGrid w:type="lines" w:linePitch="312" w:charSpace="0"/>
        </w:sectPr>
      </w:pPr>
    </w:p>
    <w:p>
      <w:pPr>
        <w:pStyle w:val="2"/>
        <w:rPr>
          <w:color w:val="auto"/>
        </w:rPr>
      </w:pPr>
      <w:bookmarkStart w:id="139" w:name="_Toc18400"/>
      <w:bookmarkStart w:id="140" w:name="_Toc22971"/>
      <w:bookmarkStart w:id="141" w:name="_Toc3794"/>
      <w:bookmarkStart w:id="142" w:name="_Toc117590316"/>
      <w:bookmarkStart w:id="143" w:name="_Toc81838545"/>
      <w:bookmarkStart w:id="144" w:name="_Toc28012"/>
      <w:bookmarkStart w:id="145" w:name="_Toc3562"/>
      <w:bookmarkStart w:id="146" w:name="_Toc114072193"/>
      <w:bookmarkStart w:id="147" w:name="_Toc29444"/>
      <w:r>
        <w:rPr>
          <w:rFonts w:hint="eastAsia"/>
          <w:color w:val="auto"/>
        </w:rPr>
        <w:t>第四章</w:t>
      </w:r>
      <w:r>
        <w:rPr>
          <w:color w:val="auto"/>
        </w:rPr>
        <w:t xml:space="preserve"> </w:t>
      </w:r>
      <w:r>
        <w:rPr>
          <w:rFonts w:hint="eastAsia"/>
          <w:color w:val="auto"/>
        </w:rPr>
        <w:t>规划框架</w:t>
      </w:r>
      <w:bookmarkEnd w:id="139"/>
      <w:bookmarkEnd w:id="140"/>
      <w:bookmarkEnd w:id="141"/>
      <w:bookmarkEnd w:id="142"/>
      <w:bookmarkEnd w:id="143"/>
      <w:bookmarkEnd w:id="144"/>
      <w:bookmarkEnd w:id="145"/>
      <w:bookmarkEnd w:id="146"/>
      <w:bookmarkEnd w:id="147"/>
    </w:p>
    <w:p>
      <w:pPr>
        <w:pStyle w:val="3"/>
        <w:rPr>
          <w:color w:val="auto"/>
        </w:rPr>
      </w:pPr>
      <w:bookmarkStart w:id="148" w:name="_Toc81838546"/>
      <w:bookmarkStart w:id="149" w:name="_Toc24245"/>
      <w:bookmarkStart w:id="150" w:name="_Toc10123"/>
      <w:bookmarkStart w:id="151" w:name="_Toc21848"/>
      <w:bookmarkStart w:id="152" w:name="_Toc655485772"/>
      <w:bookmarkStart w:id="153" w:name="_Toc14110"/>
      <w:bookmarkStart w:id="154" w:name="_Toc114072194"/>
      <w:bookmarkStart w:id="155" w:name="_Toc21504"/>
      <w:bookmarkStart w:id="156" w:name="_Toc13791"/>
      <w:r>
        <w:rPr>
          <w:color w:val="auto"/>
        </w:rPr>
        <w:t>4.1</w:t>
      </w:r>
      <w:r>
        <w:rPr>
          <w:rFonts w:hint="eastAsia"/>
          <w:color w:val="auto"/>
        </w:rPr>
        <w:t>规划目标</w:t>
      </w:r>
      <w:bookmarkEnd w:id="148"/>
      <w:bookmarkEnd w:id="149"/>
      <w:bookmarkEnd w:id="150"/>
      <w:bookmarkEnd w:id="151"/>
      <w:bookmarkEnd w:id="152"/>
      <w:bookmarkEnd w:id="153"/>
      <w:bookmarkEnd w:id="154"/>
      <w:bookmarkEnd w:id="155"/>
      <w:bookmarkEnd w:id="156"/>
    </w:p>
    <w:p>
      <w:pPr>
        <w:pStyle w:val="4"/>
        <w:rPr>
          <w:color w:val="auto"/>
        </w:rPr>
      </w:pPr>
      <w:r>
        <w:rPr>
          <w:color w:val="auto"/>
        </w:rPr>
        <w:t>4.1.1</w:t>
      </w:r>
      <w:r>
        <w:rPr>
          <w:rFonts w:hint="eastAsia"/>
          <w:color w:val="auto"/>
        </w:rPr>
        <w:t>总体目标</w:t>
      </w:r>
    </w:p>
    <w:p>
      <w:pPr>
        <w:pStyle w:val="8"/>
        <w:ind w:firstLine="0" w:firstLineChars="0"/>
        <w:rPr>
          <w:color w:val="auto"/>
        </w:rPr>
      </w:pPr>
      <w:r>
        <w:rPr>
          <w:color w:val="auto"/>
        </w:rPr>
        <w:tab/>
      </w:r>
      <w:r>
        <w:rPr>
          <w:color w:val="auto"/>
        </w:rPr>
        <w:t>通过对深圳市改革开放重要史迹保护利用，</w:t>
      </w:r>
      <w:r>
        <w:rPr>
          <w:rFonts w:hint="eastAsia"/>
          <w:color w:val="auto"/>
        </w:rPr>
        <w:t>弘扬以爱国主义为核心的民族精神和以改革创新为核心的时代精神，传承敢闯敢试、敢为人先、埋头苦干的特区精神</w:t>
      </w:r>
      <w:r>
        <w:rPr>
          <w:color w:val="auto"/>
        </w:rPr>
        <w:t>。</w:t>
      </w:r>
    </w:p>
    <w:p>
      <w:pPr>
        <w:pStyle w:val="8"/>
        <w:ind w:firstLine="0" w:firstLineChars="0"/>
        <w:rPr>
          <w:color w:val="auto"/>
        </w:rPr>
      </w:pPr>
      <w:r>
        <w:rPr>
          <w:color w:val="auto"/>
        </w:rPr>
        <w:tab/>
      </w:r>
      <w:r>
        <w:rPr>
          <w:color w:val="auto"/>
        </w:rPr>
        <w:t>通过对改革开放重要史迹与其他现有各文物保护单位、旅游资源的综合整合、保护与利用，能够在“十四五”期间使深圳的文物史迹得到系统性保护与利用，推动改革创新文化与红色旅游相结合。</w:t>
      </w:r>
    </w:p>
    <w:p>
      <w:pPr>
        <w:pStyle w:val="8"/>
        <w:rPr>
          <w:color w:val="auto"/>
        </w:rPr>
      </w:pPr>
      <w:r>
        <w:rPr>
          <w:color w:val="auto"/>
        </w:rPr>
        <w:t>提升深圳改革开放重要史迹保护、利用和管理水平，最大化发挥改革开放重要史迹的社会效益与经济效益。</w:t>
      </w:r>
    </w:p>
    <w:p>
      <w:pPr>
        <w:pStyle w:val="4"/>
        <w:rPr>
          <w:color w:val="auto"/>
        </w:rPr>
      </w:pPr>
      <w:r>
        <w:rPr>
          <w:color w:val="auto"/>
        </w:rPr>
        <w:t>4.1.2</w:t>
      </w:r>
      <w:r>
        <w:rPr>
          <w:rFonts w:hint="eastAsia"/>
          <w:color w:val="auto"/>
        </w:rPr>
        <w:t>具体目标</w:t>
      </w:r>
    </w:p>
    <w:p>
      <w:pPr>
        <w:pStyle w:val="8"/>
        <w:rPr>
          <w:color w:val="auto"/>
        </w:rPr>
      </w:pPr>
      <w:r>
        <w:rPr>
          <w:color w:val="auto"/>
        </w:rPr>
        <w:t>通过采取有效措施，加大改革开放重要史迹本体保的重点工程项目和抢救性保护项目的工作力度，使深圳的重要史迹得到有效保护，全面提升重要史迹文物工作保护管理水平。</w:t>
      </w:r>
    </w:p>
    <w:p>
      <w:pPr>
        <w:pStyle w:val="8"/>
        <w:rPr>
          <w:color w:val="auto"/>
        </w:rPr>
      </w:pPr>
      <w:r>
        <w:rPr>
          <w:color w:val="auto"/>
        </w:rPr>
        <w:t>推动由改革开放重要史迹的个体到片区保护与利用，落实集中连片保护项目、利用与展示具体细则计划。</w:t>
      </w:r>
    </w:p>
    <w:p>
      <w:pPr>
        <w:pStyle w:val="8"/>
        <w:rPr>
          <w:color w:val="auto"/>
        </w:rPr>
      </w:pPr>
      <w:r>
        <w:rPr>
          <w:color w:val="auto"/>
        </w:rPr>
        <w:t>建立科学完备的改革开放重要史迹保护管理体系和展示利用体系，打造特区精神的改革开放重要史迹，建立改革开放重要史迹保护示范区，提高展示服务水平，为发挥社会教育作用打下坚实基础。</w:t>
      </w:r>
    </w:p>
    <w:p>
      <w:pPr>
        <w:pStyle w:val="3"/>
        <w:rPr>
          <w:color w:val="auto"/>
        </w:rPr>
      </w:pPr>
      <w:bookmarkStart w:id="157" w:name="_Toc3593"/>
      <w:bookmarkStart w:id="158" w:name="_Toc18008"/>
      <w:bookmarkStart w:id="159" w:name="_Toc158260894"/>
      <w:bookmarkStart w:id="160" w:name="_Toc25822"/>
      <w:bookmarkStart w:id="161" w:name="_Toc2467"/>
      <w:bookmarkStart w:id="162" w:name="_Toc114072195"/>
      <w:bookmarkStart w:id="163" w:name="_Toc81838547"/>
      <w:bookmarkStart w:id="164" w:name="_Toc8185"/>
      <w:bookmarkStart w:id="165" w:name="_Toc10148"/>
      <w:r>
        <w:rPr>
          <w:color w:val="auto"/>
        </w:rPr>
        <w:t>4.2</w:t>
      </w:r>
      <w:r>
        <w:rPr>
          <w:rFonts w:hint="eastAsia"/>
          <w:color w:val="auto"/>
        </w:rPr>
        <w:t>规划原则</w:t>
      </w:r>
      <w:bookmarkEnd w:id="157"/>
      <w:bookmarkEnd w:id="158"/>
      <w:bookmarkEnd w:id="159"/>
      <w:bookmarkEnd w:id="160"/>
      <w:bookmarkEnd w:id="161"/>
      <w:bookmarkEnd w:id="162"/>
      <w:bookmarkEnd w:id="163"/>
      <w:bookmarkEnd w:id="164"/>
      <w:bookmarkEnd w:id="165"/>
    </w:p>
    <w:p>
      <w:pPr>
        <w:pStyle w:val="8"/>
        <w:rPr>
          <w:color w:val="auto"/>
        </w:rPr>
      </w:pPr>
      <w:r>
        <w:rPr>
          <w:color w:val="auto"/>
        </w:rPr>
        <w:t>坚持</w:t>
      </w:r>
      <w:r>
        <w:rPr>
          <w:rFonts w:hint="eastAsia"/>
          <w:color w:val="auto"/>
        </w:rPr>
        <w:t>“保护第一、加强管理、挖掘价值、有效利用、让文物活起来”的新时代</w:t>
      </w:r>
      <w:r>
        <w:rPr>
          <w:color w:val="auto"/>
        </w:rPr>
        <w:t>文物工作方针。</w:t>
      </w:r>
    </w:p>
    <w:p>
      <w:pPr>
        <w:pStyle w:val="8"/>
        <w:rPr>
          <w:color w:val="auto"/>
        </w:rPr>
      </w:pPr>
      <w:r>
        <w:rPr>
          <w:color w:val="auto"/>
        </w:rPr>
        <w:t>以改革开放重要史迹保护为核心，实施体系化保护利用。分层级制定保护与利用措施，充分了解史迹的历史与现状情况，综合考虑深圳经济社会发展的需求。</w:t>
      </w:r>
    </w:p>
    <w:p>
      <w:pPr>
        <w:pStyle w:val="8"/>
        <w:rPr>
          <w:color w:val="auto"/>
        </w:rPr>
      </w:pPr>
      <w:r>
        <w:rPr>
          <w:color w:val="auto"/>
        </w:rPr>
        <w:t>坚持突出重点、分级分类，优先着手实施重点工程及抢救性保护项目，保存改革开放重要史迹的真实性和完整性，保留史迹的原有价值。</w:t>
      </w:r>
    </w:p>
    <w:p>
      <w:pPr>
        <w:pStyle w:val="8"/>
        <w:rPr>
          <w:color w:val="auto"/>
        </w:rPr>
      </w:pPr>
      <w:r>
        <w:rPr>
          <w:color w:val="auto"/>
        </w:rPr>
        <w:t>统筹协调改革开放史迹与现有文物、文化资源优势与旅游资源相融合，打破单独个体保护壁垒，由点及面，整合保护利用展示资源，形成集中式片区性保护。</w:t>
      </w:r>
    </w:p>
    <w:p>
      <w:pPr>
        <w:pStyle w:val="3"/>
        <w:rPr>
          <w:color w:val="auto"/>
        </w:rPr>
      </w:pPr>
      <w:bookmarkStart w:id="166" w:name="_Toc30907"/>
      <w:bookmarkStart w:id="167" w:name="_Toc1306090472"/>
      <w:bookmarkStart w:id="168" w:name="_Toc28367"/>
      <w:bookmarkStart w:id="169" w:name="_Toc29912"/>
      <w:bookmarkStart w:id="170" w:name="_Toc114072196"/>
      <w:bookmarkStart w:id="171" w:name="_Toc18193"/>
      <w:bookmarkStart w:id="172" w:name="_Toc28490"/>
      <w:bookmarkStart w:id="173" w:name="_Toc29162"/>
      <w:bookmarkStart w:id="174" w:name="_Toc81838548"/>
      <w:r>
        <w:rPr>
          <w:color w:val="auto"/>
        </w:rPr>
        <w:t>4.3</w:t>
      </w:r>
      <w:r>
        <w:rPr>
          <w:rFonts w:hint="eastAsia"/>
          <w:color w:val="auto"/>
        </w:rPr>
        <w:t>规划定位</w:t>
      </w:r>
      <w:bookmarkEnd w:id="166"/>
      <w:bookmarkEnd w:id="167"/>
      <w:bookmarkEnd w:id="168"/>
      <w:bookmarkEnd w:id="169"/>
      <w:bookmarkEnd w:id="170"/>
      <w:bookmarkEnd w:id="171"/>
      <w:bookmarkEnd w:id="172"/>
      <w:bookmarkEnd w:id="173"/>
      <w:bookmarkEnd w:id="174"/>
    </w:p>
    <w:p>
      <w:pPr>
        <w:pStyle w:val="8"/>
        <w:ind w:firstLine="482"/>
        <w:rPr>
          <w:color w:val="auto"/>
        </w:rPr>
      </w:pPr>
      <w:r>
        <w:rPr>
          <w:b/>
          <w:color w:val="auto"/>
        </w:rPr>
        <w:t>全国改革开放重要史迹保护</w:t>
      </w:r>
      <w:r>
        <w:rPr>
          <w:rFonts w:hint="eastAsia"/>
          <w:b/>
          <w:color w:val="auto"/>
        </w:rPr>
        <w:t>利用</w:t>
      </w:r>
      <w:r>
        <w:rPr>
          <w:b/>
          <w:color w:val="auto"/>
        </w:rPr>
        <w:t>示范区：</w:t>
      </w:r>
      <w:r>
        <w:rPr>
          <w:color w:val="auto"/>
        </w:rPr>
        <w:t>保护利用改革开放重要史迹资源</w:t>
      </w:r>
      <w:r>
        <w:rPr>
          <w:rFonts w:hint="eastAsia"/>
          <w:color w:val="auto"/>
        </w:rPr>
        <w:t>，</w:t>
      </w:r>
      <w:r>
        <w:rPr>
          <w:color w:val="auto"/>
        </w:rPr>
        <w:t>发挥经济特区的优势</w:t>
      </w:r>
      <w:r>
        <w:rPr>
          <w:rFonts w:hint="eastAsia"/>
          <w:color w:val="auto"/>
        </w:rPr>
        <w:t>，</w:t>
      </w:r>
      <w:r>
        <w:rPr>
          <w:color w:val="auto"/>
        </w:rPr>
        <w:t>积极推进改革开放重要史迹的集中</w:t>
      </w:r>
      <w:r>
        <w:rPr>
          <w:rFonts w:hint="eastAsia"/>
          <w:color w:val="auto"/>
        </w:rPr>
        <w:t>连</w:t>
      </w:r>
      <w:r>
        <w:rPr>
          <w:color w:val="auto"/>
        </w:rPr>
        <w:t>片保护利用，为全国改革开放时期的重要史迹保护展示及利用提供示范。</w:t>
      </w:r>
    </w:p>
    <w:p>
      <w:pPr>
        <w:pStyle w:val="8"/>
        <w:ind w:firstLine="482"/>
        <w:rPr>
          <w:color w:val="auto"/>
        </w:rPr>
      </w:pPr>
      <w:r>
        <w:rPr>
          <w:b/>
          <w:color w:val="auto"/>
        </w:rPr>
        <w:t>全国改革创新精神</w:t>
      </w:r>
      <w:r>
        <w:rPr>
          <w:rFonts w:hint="eastAsia"/>
          <w:b/>
          <w:color w:val="auto"/>
        </w:rPr>
        <w:t>传承</w:t>
      </w:r>
      <w:r>
        <w:rPr>
          <w:b/>
          <w:color w:val="auto"/>
        </w:rPr>
        <w:t>教育基地：</w:t>
      </w:r>
      <w:r>
        <w:rPr>
          <w:color w:val="auto"/>
        </w:rPr>
        <w:t>推进改革创新精神教育普及化，培育民族精神的重要基地，大力发扬改革创新精神，使深圳成为改革创新精神和坚定不移深化改革和扩大开放的标杆，成为改革开放基本国策的鲜活学习案例。</w:t>
      </w:r>
    </w:p>
    <w:p>
      <w:pPr>
        <w:pStyle w:val="8"/>
        <w:ind w:firstLine="482"/>
        <w:rPr>
          <w:color w:val="auto"/>
        </w:rPr>
      </w:pPr>
      <w:r>
        <w:rPr>
          <w:rFonts w:hint="eastAsia"/>
          <w:b/>
          <w:color w:val="auto"/>
        </w:rPr>
        <w:t>国家改革开放博物馆之城：</w:t>
      </w:r>
      <w:r>
        <w:rPr>
          <w:rFonts w:hint="eastAsia"/>
          <w:color w:val="auto"/>
        </w:rPr>
        <w:t>深圳不仅作为改革开放的排头兵，用自己的发展证明了改革开放是一条强国之路、富民之路，更是包罗了改革开放各个时期的发展，成为改革开放时代的“博物馆之城”。本规划紧密结合九部委印发的《关于推进博物馆改革发展的指导意见》，旨在挖掘深圳独特改革开放时代印记，密切联系深圳改革开放重要史迹，将深圳打造为集中展现改革开放主题的“博物馆之城”。</w:t>
      </w:r>
    </w:p>
    <w:p>
      <w:pPr>
        <w:pStyle w:val="8"/>
        <w:rPr>
          <w:color w:val="auto"/>
        </w:rPr>
      </w:pPr>
    </w:p>
    <w:p>
      <w:pPr>
        <w:pStyle w:val="8"/>
        <w:rPr>
          <w:color w:val="auto"/>
        </w:rPr>
      </w:pPr>
    </w:p>
    <w:p>
      <w:pPr>
        <w:pStyle w:val="8"/>
        <w:rPr>
          <w:color w:val="auto"/>
        </w:rPr>
      </w:pPr>
      <w:r>
        <w:rPr>
          <w:color w:val="auto"/>
        </w:rPr>
        <w:tab/>
      </w:r>
    </w:p>
    <w:p>
      <w:pPr>
        <w:pStyle w:val="8"/>
        <w:rPr>
          <w:color w:val="auto"/>
        </w:rPr>
        <w:sectPr>
          <w:pgSz w:w="23811" w:h="16838" w:orient="landscape"/>
          <w:pgMar w:top="1800" w:right="1440" w:bottom="1800" w:left="1440" w:header="851" w:footer="992" w:gutter="0"/>
          <w:cols w:space="1051" w:num="2"/>
          <w:docGrid w:type="lines" w:linePitch="312" w:charSpace="0"/>
        </w:sectPr>
      </w:pPr>
    </w:p>
    <w:p>
      <w:pPr>
        <w:pStyle w:val="2"/>
        <w:rPr>
          <w:color w:val="auto"/>
        </w:rPr>
      </w:pPr>
      <w:bookmarkStart w:id="175" w:name="_Toc28265"/>
      <w:bookmarkStart w:id="176" w:name="_Toc10343"/>
      <w:bookmarkStart w:id="177" w:name="_Toc1032"/>
      <w:bookmarkStart w:id="178" w:name="_Toc3303"/>
      <w:bookmarkStart w:id="179" w:name="_Toc30398"/>
      <w:bookmarkStart w:id="180" w:name="_Toc15978"/>
      <w:bookmarkStart w:id="181" w:name="_Toc114072197"/>
      <w:bookmarkStart w:id="182" w:name="_Toc2032206917"/>
      <w:r>
        <w:rPr>
          <w:rFonts w:hint="eastAsia"/>
          <w:color w:val="auto"/>
        </w:rPr>
        <w:t>第五章</w:t>
      </w:r>
      <w:r>
        <w:rPr>
          <w:color w:val="auto"/>
        </w:rPr>
        <w:t xml:space="preserve"> </w:t>
      </w:r>
      <w:r>
        <w:rPr>
          <w:rFonts w:hint="eastAsia"/>
          <w:color w:val="auto"/>
        </w:rPr>
        <w:t>保护与管理规划</w:t>
      </w:r>
      <w:bookmarkEnd w:id="175"/>
      <w:bookmarkEnd w:id="176"/>
      <w:bookmarkEnd w:id="177"/>
      <w:bookmarkEnd w:id="178"/>
      <w:bookmarkEnd w:id="179"/>
      <w:bookmarkEnd w:id="180"/>
      <w:bookmarkEnd w:id="181"/>
      <w:bookmarkEnd w:id="182"/>
    </w:p>
    <w:p>
      <w:pPr>
        <w:pStyle w:val="3"/>
        <w:rPr>
          <w:color w:val="auto"/>
        </w:rPr>
      </w:pPr>
      <w:bookmarkStart w:id="183" w:name="_Toc31178"/>
      <w:bookmarkStart w:id="184" w:name="_Toc2066"/>
      <w:bookmarkStart w:id="185" w:name="_Toc114072198"/>
      <w:bookmarkStart w:id="186" w:name="_Toc7056"/>
      <w:bookmarkStart w:id="187" w:name="_Toc1721732131"/>
      <w:bookmarkStart w:id="188" w:name="_Toc30195"/>
      <w:bookmarkStart w:id="189" w:name="_Toc81838552"/>
      <w:bookmarkStart w:id="190" w:name="_Toc8926"/>
      <w:bookmarkStart w:id="191" w:name="_Toc4760"/>
      <w:r>
        <w:rPr>
          <w:color w:val="auto"/>
        </w:rPr>
        <w:t>5.1</w:t>
      </w:r>
      <w:r>
        <w:rPr>
          <w:rFonts w:hint="eastAsia"/>
          <w:color w:val="auto"/>
        </w:rPr>
        <w:t>重要史迹保护策略</w:t>
      </w:r>
      <w:bookmarkEnd w:id="183"/>
      <w:bookmarkEnd w:id="184"/>
      <w:bookmarkEnd w:id="185"/>
      <w:bookmarkEnd w:id="186"/>
      <w:bookmarkEnd w:id="187"/>
      <w:bookmarkEnd w:id="188"/>
      <w:bookmarkEnd w:id="189"/>
      <w:bookmarkEnd w:id="190"/>
      <w:bookmarkEnd w:id="191"/>
    </w:p>
    <w:p>
      <w:pPr>
        <w:pStyle w:val="4"/>
        <w:rPr>
          <w:color w:val="auto"/>
        </w:rPr>
      </w:pPr>
      <w:r>
        <w:rPr>
          <w:rFonts w:hint="eastAsia"/>
          <w:color w:val="auto"/>
        </w:rPr>
        <w:t>5</w:t>
      </w:r>
      <w:r>
        <w:rPr>
          <w:color w:val="auto"/>
        </w:rPr>
        <w:t>.1.1</w:t>
      </w:r>
      <w:r>
        <w:rPr>
          <w:rFonts w:hint="eastAsia"/>
          <w:color w:val="auto"/>
        </w:rPr>
        <w:t>文物类重要史迹保护措施</w:t>
      </w:r>
    </w:p>
    <w:p>
      <w:pPr>
        <w:pStyle w:val="8"/>
        <w:rPr>
          <w:color w:val="auto"/>
        </w:rPr>
      </w:pPr>
      <w:r>
        <w:rPr>
          <w:rFonts w:hint="eastAsia"/>
          <w:color w:val="auto"/>
        </w:rPr>
        <w:t>适用对象：被评为文物保护单位的史迹点。</w:t>
      </w:r>
    </w:p>
    <w:p>
      <w:pPr>
        <w:pStyle w:val="8"/>
        <w:ind w:firstLine="482"/>
        <w:rPr>
          <w:b/>
          <w:color w:val="auto"/>
        </w:rPr>
      </w:pPr>
      <w:r>
        <w:rPr>
          <w:rFonts w:hint="eastAsia"/>
          <w:b/>
          <w:color w:val="auto"/>
        </w:rPr>
        <w:t>（1）建筑类重要史迹的分级保护策略</w:t>
      </w:r>
    </w:p>
    <w:p>
      <w:pPr>
        <w:pStyle w:val="8"/>
        <w:rPr>
          <w:color w:val="auto"/>
        </w:rPr>
      </w:pPr>
      <w:r>
        <w:rPr>
          <w:rFonts w:hint="eastAsia"/>
          <w:color w:val="auto"/>
        </w:rPr>
        <w:t>文保单位类史迹保护应按照原状进行保存，不能损毁、改建、添建或拆除。严格保护建筑的格局、形制、外观等，除主体建筑外，还应注重保护附属建筑、庭院等历史空间和各类生活设施。保留特殊历史事件造成的损伤痕迹。反映建筑自身年代、地域、民族特色的重要特征如构造做法、材料工艺等，同样要严格保护。日常维护和保养要体现“整旧如旧”的原则，使用上可作为博物馆、或者参观场所。在进行日常维护保养时，应在有科学依据和充分历史文献考证的条件下进行修复，修复方式有局部修复和全部修复两种。需委托有相应资质的单位进行设计施工和监理。在建筑遗产周围划分出一定的建设控制带，这个地带通常应根据文物历史价值、艺术特点和原始设计意图划定。是否允许在这个地带内进行修建，</w:t>
      </w:r>
      <w:r>
        <w:rPr>
          <w:color w:val="auto"/>
        </w:rPr>
        <w:t>应征得有关部门的同意</w:t>
      </w:r>
      <w:r>
        <w:rPr>
          <w:rFonts w:hint="eastAsia"/>
          <w:color w:val="auto"/>
        </w:rPr>
        <w:t>。一切建设活动不能破坏建筑遗产的环境风貌。严禁在建筑遗产上设置户外广告、招牌、空调外机、遮雨棚等外部设施，要与建筑的历史风貌相协调。需定期对建筑遗产的保护和使用状况进行检查，检查结果记录在档案。政府对严格保护类建筑遗产定期发放保护补助费用。住房和建设主管部门应督促建筑的修缮保养工作。</w:t>
      </w:r>
    </w:p>
    <w:p>
      <w:pPr>
        <w:pStyle w:val="8"/>
        <w:rPr>
          <w:color w:val="auto"/>
        </w:rPr>
      </w:pPr>
      <w:r>
        <w:rPr>
          <w:rFonts w:hint="eastAsia"/>
          <w:color w:val="auto"/>
        </w:rPr>
        <w:t>重要历史价值类史迹立面、结构体系、基本平面布局等不得改变，其他部分允许改变，但不能损害核心价值要素。当建筑遗产的使用性质、内部设计功能的改动对建筑产生严重影响时，市或区房管部门应作出恢复或调整建筑使用性质、内部设计等功能的决定。新建、改扩建等工程应在立面、结构、色彩等方面与建筑遗产本身相协调，不能破坏建筑原有的环境风貌。委托有相应资质的施工方进行日常的维护修缮。落实防火防盗等安全措施。</w:t>
      </w:r>
    </w:p>
    <w:p>
      <w:pPr>
        <w:pStyle w:val="8"/>
        <w:rPr>
          <w:color w:val="auto"/>
        </w:rPr>
      </w:pPr>
      <w:r>
        <w:rPr>
          <w:rFonts w:hint="eastAsia"/>
          <w:color w:val="auto"/>
        </w:rPr>
        <w:t>一般类史迹保护应不得改变建筑的主要立面和结构体系。可进行内部功能和空间的相关改动。但核心纪念要素不得改动。需定期进行日常的维护修缮，保证建筑的日常运行，控制建筑遗产活化的实践活动，确保不会造成建筑历史价值的缺失。</w:t>
      </w:r>
    </w:p>
    <w:p>
      <w:pPr>
        <w:pStyle w:val="33"/>
        <w:rPr>
          <w:color w:val="auto"/>
        </w:rPr>
      </w:pPr>
      <w:r>
        <w:rPr>
          <w:rFonts w:hint="eastAsia"/>
          <w:color w:val="auto"/>
        </w:rPr>
        <w:t>表</w:t>
      </w:r>
      <w:r>
        <w:rPr>
          <w:color w:val="auto"/>
        </w:rPr>
        <w:t>5</w:t>
      </w:r>
      <w:r>
        <w:rPr>
          <w:rFonts w:hint="eastAsia"/>
          <w:color w:val="auto"/>
        </w:rPr>
        <w:t>-</w:t>
      </w:r>
      <w:r>
        <w:rPr>
          <w:color w:val="auto"/>
        </w:rPr>
        <w:t xml:space="preserve">1 </w:t>
      </w:r>
      <w:r>
        <w:rPr>
          <w:rFonts w:hint="eastAsia"/>
          <w:color w:val="auto"/>
        </w:rPr>
        <w:t>建筑遗产类史迹点分布表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2126"/>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122" w:type="dxa"/>
            <w:vAlign w:val="center"/>
          </w:tcPr>
          <w:p>
            <w:pPr>
              <w:pStyle w:val="8"/>
              <w:ind w:firstLine="0" w:firstLineChars="0"/>
              <w:rPr>
                <w:color w:val="auto"/>
                <w:sz w:val="21"/>
                <w:szCs w:val="21"/>
              </w:rPr>
            </w:pPr>
            <w:r>
              <w:rPr>
                <w:rFonts w:hint="eastAsia"/>
                <w:color w:val="auto"/>
                <w:sz w:val="21"/>
                <w:szCs w:val="21"/>
              </w:rPr>
              <w:t>文物类重要史迹</w:t>
            </w:r>
          </w:p>
        </w:tc>
        <w:tc>
          <w:tcPr>
            <w:tcW w:w="2126" w:type="dxa"/>
            <w:vAlign w:val="center"/>
          </w:tcPr>
          <w:p>
            <w:pPr>
              <w:pStyle w:val="8"/>
              <w:ind w:firstLine="0" w:firstLineChars="0"/>
              <w:rPr>
                <w:color w:val="auto"/>
                <w:sz w:val="21"/>
                <w:szCs w:val="21"/>
              </w:rPr>
            </w:pPr>
            <w:r>
              <w:rPr>
                <w:rFonts w:hint="eastAsia"/>
                <w:color w:val="auto"/>
                <w:sz w:val="21"/>
                <w:szCs w:val="21"/>
              </w:rPr>
              <w:t>大鹏新区（1处）</w:t>
            </w:r>
          </w:p>
        </w:tc>
        <w:tc>
          <w:tcPr>
            <w:tcW w:w="5682" w:type="dxa"/>
            <w:vAlign w:val="center"/>
          </w:tcPr>
          <w:p>
            <w:pPr>
              <w:pStyle w:val="8"/>
              <w:ind w:firstLine="0" w:firstLineChars="0"/>
              <w:rPr>
                <w:color w:val="auto"/>
                <w:sz w:val="21"/>
                <w:szCs w:val="21"/>
              </w:rPr>
            </w:pPr>
            <w:r>
              <w:rPr>
                <w:rFonts w:hint="eastAsia"/>
                <w:color w:val="auto"/>
                <w:sz w:val="21"/>
                <w:szCs w:val="21"/>
              </w:rPr>
              <w:t>袁庚祖居（市保）</w:t>
            </w:r>
          </w:p>
        </w:tc>
      </w:tr>
    </w:tbl>
    <w:p>
      <w:pPr>
        <w:pStyle w:val="8"/>
        <w:rPr>
          <w:color w:val="auto"/>
        </w:rPr>
      </w:pPr>
    </w:p>
    <w:p>
      <w:pPr>
        <w:pStyle w:val="8"/>
        <w:ind w:firstLine="482"/>
        <w:rPr>
          <w:b/>
          <w:color w:val="auto"/>
        </w:rPr>
      </w:pPr>
      <w:r>
        <w:rPr>
          <w:rFonts w:hint="eastAsia"/>
          <w:b/>
          <w:color w:val="auto"/>
        </w:rPr>
        <w:t>（2）标识类重要史迹的分级保护策略</w:t>
      </w:r>
    </w:p>
    <w:p>
      <w:pPr>
        <w:pStyle w:val="8"/>
        <w:rPr>
          <w:color w:val="auto"/>
        </w:rPr>
      </w:pPr>
      <w:r>
        <w:rPr>
          <w:rFonts w:hint="eastAsia"/>
          <w:color w:val="auto"/>
        </w:rPr>
        <w:t>标识类史迹保护需进行</w:t>
      </w:r>
      <w:r>
        <w:rPr>
          <w:color w:val="auto"/>
        </w:rPr>
        <w:t>严格的定期保养维护工作，</w:t>
      </w:r>
      <w:r>
        <w:rPr>
          <w:rFonts w:hint="eastAsia"/>
          <w:color w:val="auto"/>
        </w:rPr>
        <w:t>史迹</w:t>
      </w:r>
      <w:r>
        <w:rPr>
          <w:color w:val="auto"/>
        </w:rPr>
        <w:t>周边设好相应的防护栏，禁止人群</w:t>
      </w:r>
      <w:r>
        <w:rPr>
          <w:rFonts w:hint="eastAsia"/>
          <w:color w:val="auto"/>
        </w:rPr>
        <w:t>对</w:t>
      </w:r>
      <w:r>
        <w:rPr>
          <w:color w:val="auto"/>
        </w:rPr>
        <w:t>构筑物的触摸。</w:t>
      </w:r>
      <w:r>
        <w:rPr>
          <w:rFonts w:hint="eastAsia"/>
          <w:color w:val="auto"/>
        </w:rPr>
        <w:t>不得</w:t>
      </w:r>
      <w:r>
        <w:rPr>
          <w:color w:val="auto"/>
        </w:rPr>
        <w:t>对史迹进行</w:t>
      </w:r>
      <w:r>
        <w:rPr>
          <w:rFonts w:hint="eastAsia"/>
          <w:color w:val="auto"/>
        </w:rPr>
        <w:t>平面布局</w:t>
      </w:r>
      <w:r>
        <w:rPr>
          <w:color w:val="auto"/>
        </w:rPr>
        <w:t>等方面的改动。</w:t>
      </w:r>
      <w:r>
        <w:rPr>
          <w:rFonts w:hint="eastAsia"/>
          <w:color w:val="auto"/>
        </w:rPr>
        <w:t>保养</w:t>
      </w:r>
      <w:r>
        <w:rPr>
          <w:color w:val="auto"/>
        </w:rPr>
        <w:t>维护工作须</w:t>
      </w:r>
      <w:r>
        <w:rPr>
          <w:rFonts w:hint="eastAsia"/>
          <w:color w:val="auto"/>
        </w:rPr>
        <w:t>由</w:t>
      </w:r>
      <w:r>
        <w:rPr>
          <w:color w:val="auto"/>
        </w:rPr>
        <w:t>专业人士进行。</w:t>
      </w:r>
      <w:r>
        <w:rPr>
          <w:rFonts w:hint="eastAsia"/>
          <w:color w:val="auto"/>
        </w:rPr>
        <w:t>在保养过程中工作人员佩戴专业的防护类手套，以免手上的汗液或其他杂质腐蚀到雕塑。用干净柔软的布料、毛刷、吸尘器清除史迹表面的灰尘，对于出现</w:t>
      </w:r>
      <w:r>
        <w:rPr>
          <w:color w:val="auto"/>
        </w:rPr>
        <w:t>化学损坏的部分，采用相应的化学材料进行修复。对于</w:t>
      </w:r>
      <w:r>
        <w:rPr>
          <w:rFonts w:hint="eastAsia"/>
          <w:color w:val="auto"/>
        </w:rPr>
        <w:t>出现</w:t>
      </w:r>
      <w:r>
        <w:rPr>
          <w:color w:val="auto"/>
        </w:rPr>
        <w:t>物理性损坏的部分，</w:t>
      </w:r>
      <w:r>
        <w:rPr>
          <w:rFonts w:hint="eastAsia"/>
          <w:color w:val="auto"/>
        </w:rPr>
        <w:t>需详细</w:t>
      </w:r>
      <w:r>
        <w:rPr>
          <w:color w:val="auto"/>
        </w:rPr>
        <w:t>明确</w:t>
      </w:r>
      <w:r>
        <w:rPr>
          <w:rFonts w:hint="eastAsia"/>
          <w:color w:val="auto"/>
        </w:rPr>
        <w:t>破损情况</w:t>
      </w:r>
      <w:r>
        <w:rPr>
          <w:color w:val="auto"/>
        </w:rPr>
        <w:t>，</w:t>
      </w:r>
      <w:r>
        <w:rPr>
          <w:rFonts w:hint="eastAsia"/>
          <w:color w:val="auto"/>
        </w:rPr>
        <w:t>进行细节部位</w:t>
      </w:r>
      <w:r>
        <w:rPr>
          <w:color w:val="auto"/>
        </w:rPr>
        <w:t>的修补。</w:t>
      </w:r>
    </w:p>
    <w:p>
      <w:pPr>
        <w:pStyle w:val="33"/>
        <w:rPr>
          <w:color w:val="auto"/>
        </w:rPr>
      </w:pPr>
      <w:r>
        <w:rPr>
          <w:rFonts w:hint="eastAsia"/>
          <w:color w:val="auto"/>
        </w:rPr>
        <w:t>表</w:t>
      </w:r>
      <w:r>
        <w:rPr>
          <w:color w:val="auto"/>
        </w:rPr>
        <w:t>5</w:t>
      </w:r>
      <w:r>
        <w:rPr>
          <w:rFonts w:hint="eastAsia"/>
          <w:color w:val="auto"/>
        </w:rPr>
        <w:t>-</w:t>
      </w:r>
      <w:r>
        <w:rPr>
          <w:color w:val="auto"/>
        </w:rPr>
        <w:t xml:space="preserve">2 </w:t>
      </w:r>
      <w:r>
        <w:rPr>
          <w:rFonts w:hint="eastAsia"/>
          <w:color w:val="auto"/>
        </w:rPr>
        <w:t>标</w:t>
      </w:r>
      <w:r>
        <w:rPr>
          <w:rFonts w:hint="eastAsia"/>
          <w:bCs/>
          <w:color w:val="auto"/>
        </w:rPr>
        <w:t>识</w:t>
      </w:r>
      <w:r>
        <w:rPr>
          <w:rFonts w:hint="eastAsia"/>
          <w:color w:val="auto"/>
        </w:rPr>
        <w:t>类史迹分级保护分类表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701"/>
        <w:gridCol w:w="6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restart"/>
            <w:vAlign w:val="center"/>
          </w:tcPr>
          <w:p>
            <w:pPr>
              <w:pStyle w:val="8"/>
              <w:ind w:firstLine="0" w:firstLineChars="0"/>
              <w:rPr>
                <w:color w:val="auto"/>
                <w:sz w:val="21"/>
                <w:szCs w:val="21"/>
              </w:rPr>
            </w:pPr>
            <w:r>
              <w:rPr>
                <w:rFonts w:hint="eastAsia"/>
                <w:color w:val="auto"/>
                <w:sz w:val="21"/>
                <w:szCs w:val="21"/>
              </w:rPr>
              <w:t>文物类重要史迹</w:t>
            </w:r>
          </w:p>
        </w:tc>
        <w:tc>
          <w:tcPr>
            <w:tcW w:w="1701" w:type="dxa"/>
            <w:vAlign w:val="center"/>
          </w:tcPr>
          <w:p>
            <w:pPr>
              <w:pStyle w:val="8"/>
              <w:ind w:firstLine="0" w:firstLineChars="0"/>
              <w:rPr>
                <w:color w:val="auto"/>
                <w:sz w:val="21"/>
                <w:szCs w:val="21"/>
              </w:rPr>
            </w:pPr>
            <w:r>
              <w:rPr>
                <w:rFonts w:hint="eastAsia"/>
                <w:color w:val="auto"/>
                <w:sz w:val="21"/>
                <w:szCs w:val="21"/>
              </w:rPr>
              <w:t>南山区（</w:t>
            </w:r>
            <w:r>
              <w:rPr>
                <w:color w:val="auto"/>
                <w:sz w:val="21"/>
                <w:szCs w:val="21"/>
              </w:rPr>
              <w:t>2</w:t>
            </w:r>
            <w:r>
              <w:rPr>
                <w:rFonts w:hint="eastAsia"/>
                <w:color w:val="auto"/>
                <w:sz w:val="21"/>
                <w:szCs w:val="21"/>
              </w:rPr>
              <w:t>处）</w:t>
            </w:r>
          </w:p>
        </w:tc>
        <w:tc>
          <w:tcPr>
            <w:tcW w:w="6391" w:type="dxa"/>
            <w:vAlign w:val="center"/>
          </w:tcPr>
          <w:p>
            <w:pPr>
              <w:pStyle w:val="8"/>
              <w:ind w:firstLine="0" w:firstLineChars="0"/>
              <w:rPr>
                <w:color w:val="auto"/>
                <w:sz w:val="21"/>
                <w:szCs w:val="21"/>
              </w:rPr>
            </w:pPr>
            <w:r>
              <w:rPr>
                <w:rFonts w:hint="eastAsia"/>
                <w:color w:val="auto"/>
                <w:sz w:val="21"/>
                <w:szCs w:val="21"/>
              </w:rPr>
              <w:t>微波山时间广场（内有标语牌为市保单位）、前海石公园（内有前海石为市保单位）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continue"/>
            <w:vAlign w:val="center"/>
          </w:tcPr>
          <w:p>
            <w:pPr>
              <w:pStyle w:val="8"/>
              <w:ind w:firstLine="0" w:firstLineChars="0"/>
              <w:rPr>
                <w:color w:val="auto"/>
                <w:sz w:val="21"/>
                <w:szCs w:val="21"/>
              </w:rPr>
            </w:pPr>
          </w:p>
        </w:tc>
        <w:tc>
          <w:tcPr>
            <w:tcW w:w="1701" w:type="dxa"/>
            <w:vAlign w:val="center"/>
          </w:tcPr>
          <w:p>
            <w:pPr>
              <w:pStyle w:val="8"/>
              <w:ind w:firstLine="0" w:firstLineChars="0"/>
              <w:rPr>
                <w:color w:val="auto"/>
                <w:sz w:val="21"/>
                <w:szCs w:val="21"/>
              </w:rPr>
            </w:pPr>
            <w:r>
              <w:rPr>
                <w:rFonts w:hint="eastAsia"/>
                <w:color w:val="auto"/>
                <w:sz w:val="21"/>
                <w:szCs w:val="21"/>
              </w:rPr>
              <w:t>福田区（2处）</w:t>
            </w:r>
          </w:p>
        </w:tc>
        <w:tc>
          <w:tcPr>
            <w:tcW w:w="6391" w:type="dxa"/>
            <w:vAlign w:val="center"/>
          </w:tcPr>
          <w:p>
            <w:pPr>
              <w:pStyle w:val="8"/>
              <w:ind w:firstLine="0" w:firstLineChars="0"/>
              <w:rPr>
                <w:color w:val="auto"/>
                <w:sz w:val="21"/>
                <w:szCs w:val="21"/>
              </w:rPr>
            </w:pPr>
            <w:r>
              <w:rPr>
                <w:rFonts w:hint="eastAsia"/>
                <w:color w:val="auto"/>
                <w:sz w:val="21"/>
                <w:szCs w:val="21"/>
              </w:rPr>
              <w:t>莲花山公园（</w:t>
            </w:r>
            <w:r>
              <w:rPr>
                <w:rFonts w:hint="eastAsia"/>
                <w:color w:val="auto"/>
                <w:sz w:val="21"/>
                <w:szCs w:val="21"/>
                <w:lang w:eastAsia="zh-CN"/>
              </w:rPr>
              <w:t>邓小平铜像</w:t>
            </w:r>
            <w:r>
              <w:rPr>
                <w:rFonts w:hint="eastAsia"/>
                <w:color w:val="auto"/>
                <w:sz w:val="21"/>
                <w:szCs w:val="21"/>
              </w:rPr>
              <w:t>）（</w:t>
            </w:r>
            <w:r>
              <w:rPr>
                <w:rFonts w:hint="eastAsia"/>
                <w:color w:val="auto"/>
                <w:sz w:val="21"/>
                <w:szCs w:val="21"/>
                <w:lang w:eastAsia="zh-CN"/>
              </w:rPr>
              <w:t>省保</w:t>
            </w:r>
            <w:r>
              <w:rPr>
                <w:rFonts w:hint="eastAsia"/>
                <w:color w:val="auto"/>
                <w:sz w:val="21"/>
                <w:szCs w:val="21"/>
              </w:rPr>
              <w:t>单位）、孺子牛雕像（</w:t>
            </w:r>
            <w:r>
              <w:rPr>
                <w:rFonts w:hint="eastAsia"/>
                <w:color w:val="auto"/>
                <w:sz w:val="21"/>
                <w:szCs w:val="21"/>
                <w:lang w:eastAsia="zh-CN"/>
              </w:rPr>
              <w:t>省保</w:t>
            </w:r>
            <w:r>
              <w:rPr>
                <w:rFonts w:hint="eastAsia"/>
                <w:color w:val="auto"/>
                <w:sz w:val="21"/>
                <w:szCs w:val="21"/>
              </w:rPr>
              <w:t>单位）</w:t>
            </w:r>
          </w:p>
        </w:tc>
      </w:tr>
    </w:tbl>
    <w:p>
      <w:pPr>
        <w:pStyle w:val="8"/>
        <w:ind w:firstLine="482"/>
        <w:rPr>
          <w:b/>
          <w:color w:val="auto"/>
        </w:rPr>
      </w:pPr>
    </w:p>
    <w:p>
      <w:pPr>
        <w:pStyle w:val="4"/>
        <w:rPr>
          <w:color w:val="auto"/>
        </w:rPr>
      </w:pPr>
      <w:r>
        <w:rPr>
          <w:rFonts w:hint="eastAsia"/>
          <w:color w:val="auto"/>
        </w:rPr>
        <w:t>5</w:t>
      </w:r>
      <w:r>
        <w:rPr>
          <w:color w:val="auto"/>
        </w:rPr>
        <w:t>.1.2</w:t>
      </w:r>
      <w:r>
        <w:rPr>
          <w:rFonts w:hint="eastAsia"/>
          <w:color w:val="auto"/>
        </w:rPr>
        <w:t>历史建筑类重要史迹保护措施</w:t>
      </w:r>
    </w:p>
    <w:p>
      <w:pPr>
        <w:pStyle w:val="8"/>
        <w:rPr>
          <w:color w:val="auto"/>
        </w:rPr>
      </w:pPr>
      <w:r>
        <w:rPr>
          <w:rFonts w:hint="eastAsia"/>
          <w:color w:val="auto"/>
        </w:rPr>
        <w:t>适用对象：被评为历史建筑的史迹点。</w:t>
      </w:r>
    </w:p>
    <w:p>
      <w:pPr>
        <w:pStyle w:val="8"/>
        <w:jc w:val="center"/>
        <w:rPr>
          <w:color w:val="auto"/>
        </w:rPr>
      </w:pPr>
      <w:r>
        <w:rPr>
          <w:rFonts w:hint="eastAsia"/>
          <w:color w:val="auto"/>
        </w:rPr>
        <w:t>表</w:t>
      </w:r>
      <w:r>
        <w:rPr>
          <w:color w:val="auto"/>
        </w:rPr>
        <w:t>5</w:t>
      </w:r>
      <w:r>
        <w:rPr>
          <w:rFonts w:hint="eastAsia"/>
          <w:color w:val="auto"/>
        </w:rPr>
        <w:t>-</w:t>
      </w:r>
      <w:r>
        <w:rPr>
          <w:color w:val="auto"/>
        </w:rPr>
        <w:t xml:space="preserve">3 </w:t>
      </w:r>
      <w:r>
        <w:rPr>
          <w:rFonts w:hint="eastAsia"/>
          <w:color w:val="auto"/>
        </w:rPr>
        <w:t>历史建筑类史迹点分布表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1701"/>
        <w:gridCol w:w="6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Merge w:val="restart"/>
            <w:vAlign w:val="center"/>
          </w:tcPr>
          <w:p>
            <w:pPr>
              <w:pStyle w:val="8"/>
              <w:ind w:firstLine="0" w:firstLineChars="0"/>
              <w:rPr>
                <w:color w:val="auto"/>
                <w:sz w:val="21"/>
                <w:szCs w:val="21"/>
              </w:rPr>
            </w:pPr>
            <w:r>
              <w:rPr>
                <w:rFonts w:hint="eastAsia"/>
                <w:color w:val="auto"/>
                <w:sz w:val="21"/>
                <w:szCs w:val="21"/>
              </w:rPr>
              <w:t>历史建筑类重要史迹</w:t>
            </w:r>
          </w:p>
        </w:tc>
        <w:tc>
          <w:tcPr>
            <w:tcW w:w="1701" w:type="dxa"/>
            <w:vAlign w:val="center"/>
          </w:tcPr>
          <w:p>
            <w:pPr>
              <w:pStyle w:val="8"/>
              <w:ind w:firstLine="0" w:firstLineChars="0"/>
              <w:rPr>
                <w:color w:val="auto"/>
                <w:sz w:val="21"/>
                <w:szCs w:val="21"/>
              </w:rPr>
            </w:pPr>
            <w:r>
              <w:rPr>
                <w:rFonts w:hint="eastAsia"/>
                <w:color w:val="auto"/>
                <w:sz w:val="21"/>
                <w:szCs w:val="21"/>
              </w:rPr>
              <w:t>福田区（6处）</w:t>
            </w:r>
          </w:p>
        </w:tc>
        <w:tc>
          <w:tcPr>
            <w:tcW w:w="6107" w:type="dxa"/>
            <w:vAlign w:val="center"/>
          </w:tcPr>
          <w:p>
            <w:pPr>
              <w:pStyle w:val="8"/>
              <w:ind w:firstLine="0" w:firstLineChars="0"/>
              <w:rPr>
                <w:color w:val="auto"/>
                <w:sz w:val="21"/>
                <w:szCs w:val="21"/>
              </w:rPr>
            </w:pPr>
            <w:r>
              <w:rPr>
                <w:rFonts w:hint="eastAsia"/>
                <w:color w:val="auto"/>
                <w:sz w:val="21"/>
                <w:szCs w:val="21"/>
              </w:rPr>
              <w:t>电子大厦（第一批）、上海宾馆（第一批）、深圳博物馆旧馆（第一批）、深圳图书馆旧馆（第二批）、深圳科学馆（第二批）、新闻大厦（第二批）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Merge w:val="continue"/>
            <w:vAlign w:val="center"/>
          </w:tcPr>
          <w:p>
            <w:pPr>
              <w:pStyle w:val="8"/>
              <w:ind w:firstLine="0" w:firstLineChars="0"/>
              <w:rPr>
                <w:color w:val="auto"/>
                <w:sz w:val="21"/>
                <w:szCs w:val="21"/>
              </w:rPr>
            </w:pPr>
          </w:p>
        </w:tc>
        <w:tc>
          <w:tcPr>
            <w:tcW w:w="1701" w:type="dxa"/>
            <w:vAlign w:val="center"/>
          </w:tcPr>
          <w:p>
            <w:pPr>
              <w:pStyle w:val="8"/>
              <w:ind w:firstLine="0" w:firstLineChars="0"/>
              <w:rPr>
                <w:color w:val="auto"/>
                <w:sz w:val="21"/>
                <w:szCs w:val="21"/>
              </w:rPr>
            </w:pPr>
            <w:r>
              <w:rPr>
                <w:rFonts w:hint="eastAsia"/>
                <w:color w:val="auto"/>
                <w:sz w:val="21"/>
                <w:szCs w:val="21"/>
              </w:rPr>
              <w:t>罗湖区（6处）</w:t>
            </w:r>
          </w:p>
        </w:tc>
        <w:tc>
          <w:tcPr>
            <w:tcW w:w="6107" w:type="dxa"/>
            <w:vAlign w:val="center"/>
          </w:tcPr>
          <w:p>
            <w:pPr>
              <w:pStyle w:val="8"/>
              <w:ind w:firstLine="0" w:firstLineChars="0"/>
              <w:rPr>
                <w:color w:val="auto"/>
                <w:sz w:val="21"/>
                <w:szCs w:val="21"/>
              </w:rPr>
            </w:pPr>
            <w:r>
              <w:rPr>
                <w:rFonts w:hint="eastAsia"/>
                <w:color w:val="auto"/>
                <w:sz w:val="21"/>
                <w:szCs w:val="21"/>
              </w:rPr>
              <w:t>罗湖口岸联检大楼（第一批）、国贸大厦（第一批）、地王大厦（第一批）、竹园宾馆（第二批）、深圳迎宾馆（第二批）、深圳证券交易所（第二批）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Merge w:val="continue"/>
            <w:vAlign w:val="center"/>
          </w:tcPr>
          <w:p>
            <w:pPr>
              <w:pStyle w:val="8"/>
              <w:ind w:firstLine="0" w:firstLineChars="0"/>
              <w:rPr>
                <w:color w:val="auto"/>
                <w:sz w:val="21"/>
                <w:szCs w:val="21"/>
              </w:rPr>
            </w:pPr>
          </w:p>
        </w:tc>
        <w:tc>
          <w:tcPr>
            <w:tcW w:w="1701" w:type="dxa"/>
            <w:vAlign w:val="center"/>
          </w:tcPr>
          <w:p>
            <w:pPr>
              <w:pStyle w:val="8"/>
              <w:ind w:firstLine="0" w:firstLineChars="0"/>
              <w:rPr>
                <w:color w:val="auto"/>
                <w:sz w:val="21"/>
                <w:szCs w:val="21"/>
              </w:rPr>
            </w:pPr>
            <w:r>
              <w:rPr>
                <w:rFonts w:hint="eastAsia"/>
                <w:color w:val="auto"/>
                <w:sz w:val="21"/>
                <w:szCs w:val="21"/>
              </w:rPr>
              <w:t>南山区（3处）</w:t>
            </w:r>
          </w:p>
        </w:tc>
        <w:tc>
          <w:tcPr>
            <w:tcW w:w="6107" w:type="dxa"/>
            <w:vAlign w:val="center"/>
          </w:tcPr>
          <w:p>
            <w:pPr>
              <w:pStyle w:val="8"/>
              <w:ind w:firstLine="0" w:firstLineChars="0"/>
              <w:rPr>
                <w:color w:val="auto"/>
                <w:sz w:val="21"/>
                <w:szCs w:val="21"/>
              </w:rPr>
            </w:pPr>
            <w:r>
              <w:rPr>
                <w:rFonts w:hint="eastAsia"/>
                <w:color w:val="auto"/>
                <w:sz w:val="21"/>
                <w:szCs w:val="21"/>
              </w:rPr>
              <w:t>蛇口大成面粉厂（第二批）、广东浮法玻璃厂（第二批）、二线关同乐检查站（第二批）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Merge w:val="continue"/>
            <w:vAlign w:val="center"/>
          </w:tcPr>
          <w:p>
            <w:pPr>
              <w:pStyle w:val="8"/>
              <w:ind w:firstLine="0" w:firstLineChars="0"/>
              <w:rPr>
                <w:color w:val="auto"/>
                <w:sz w:val="21"/>
                <w:szCs w:val="21"/>
              </w:rPr>
            </w:pPr>
          </w:p>
        </w:tc>
        <w:tc>
          <w:tcPr>
            <w:tcW w:w="1701" w:type="dxa"/>
            <w:vAlign w:val="center"/>
          </w:tcPr>
          <w:p>
            <w:pPr>
              <w:pStyle w:val="8"/>
              <w:ind w:firstLine="0" w:firstLineChars="0"/>
              <w:rPr>
                <w:color w:val="auto"/>
                <w:sz w:val="21"/>
                <w:szCs w:val="21"/>
              </w:rPr>
            </w:pPr>
            <w:r>
              <w:rPr>
                <w:rFonts w:hint="eastAsia"/>
                <w:color w:val="auto"/>
                <w:sz w:val="21"/>
                <w:szCs w:val="21"/>
              </w:rPr>
              <w:t>光明区（1处）</w:t>
            </w:r>
          </w:p>
        </w:tc>
        <w:tc>
          <w:tcPr>
            <w:tcW w:w="6107" w:type="dxa"/>
            <w:vAlign w:val="center"/>
          </w:tcPr>
          <w:p>
            <w:pPr>
              <w:pStyle w:val="8"/>
              <w:ind w:firstLine="0" w:firstLineChars="0"/>
              <w:rPr>
                <w:color w:val="auto"/>
                <w:sz w:val="21"/>
                <w:szCs w:val="21"/>
              </w:rPr>
            </w:pPr>
            <w:r>
              <w:rPr>
                <w:rFonts w:hint="eastAsia"/>
                <w:color w:val="auto"/>
                <w:sz w:val="21"/>
                <w:szCs w:val="21"/>
              </w:rPr>
              <w:t>光明糖厂（第一批）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Merge w:val="continue"/>
            <w:vAlign w:val="center"/>
          </w:tcPr>
          <w:p>
            <w:pPr>
              <w:pStyle w:val="8"/>
              <w:ind w:firstLine="0" w:firstLineChars="0"/>
              <w:rPr>
                <w:color w:val="auto"/>
                <w:sz w:val="21"/>
                <w:szCs w:val="21"/>
              </w:rPr>
            </w:pPr>
          </w:p>
        </w:tc>
        <w:tc>
          <w:tcPr>
            <w:tcW w:w="1701" w:type="dxa"/>
            <w:vAlign w:val="center"/>
          </w:tcPr>
          <w:p>
            <w:pPr>
              <w:pStyle w:val="8"/>
              <w:ind w:firstLine="0" w:firstLineChars="0"/>
              <w:rPr>
                <w:color w:val="auto"/>
                <w:sz w:val="21"/>
                <w:szCs w:val="21"/>
              </w:rPr>
            </w:pPr>
            <w:r>
              <w:rPr>
                <w:rFonts w:hint="eastAsia"/>
                <w:color w:val="auto"/>
                <w:sz w:val="21"/>
                <w:szCs w:val="21"/>
              </w:rPr>
              <w:t>大鹏新区（1处）</w:t>
            </w:r>
          </w:p>
        </w:tc>
        <w:tc>
          <w:tcPr>
            <w:tcW w:w="6107" w:type="dxa"/>
            <w:vAlign w:val="center"/>
          </w:tcPr>
          <w:p>
            <w:pPr>
              <w:pStyle w:val="8"/>
              <w:ind w:firstLine="0" w:firstLineChars="0"/>
              <w:rPr>
                <w:color w:val="auto"/>
                <w:sz w:val="21"/>
                <w:szCs w:val="21"/>
              </w:rPr>
            </w:pPr>
            <w:r>
              <w:rPr>
                <w:rFonts w:hint="eastAsia"/>
                <w:color w:val="auto"/>
                <w:sz w:val="21"/>
                <w:szCs w:val="21"/>
              </w:rPr>
              <w:t>鹤薮小学（第一批）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Merge w:val="continue"/>
            <w:vAlign w:val="center"/>
          </w:tcPr>
          <w:p>
            <w:pPr>
              <w:pStyle w:val="8"/>
              <w:ind w:firstLine="0" w:firstLineChars="0"/>
              <w:rPr>
                <w:color w:val="auto"/>
                <w:sz w:val="21"/>
                <w:szCs w:val="21"/>
              </w:rPr>
            </w:pPr>
          </w:p>
        </w:tc>
        <w:tc>
          <w:tcPr>
            <w:tcW w:w="1701" w:type="dxa"/>
            <w:vAlign w:val="center"/>
          </w:tcPr>
          <w:p>
            <w:pPr>
              <w:pStyle w:val="8"/>
              <w:ind w:firstLine="0" w:firstLineChars="0"/>
              <w:rPr>
                <w:color w:val="auto"/>
                <w:sz w:val="21"/>
                <w:szCs w:val="21"/>
              </w:rPr>
            </w:pPr>
            <w:r>
              <w:rPr>
                <w:rFonts w:hint="eastAsia"/>
                <w:color w:val="auto"/>
                <w:sz w:val="21"/>
                <w:szCs w:val="21"/>
              </w:rPr>
              <w:t>盐田区（1处）</w:t>
            </w:r>
          </w:p>
        </w:tc>
        <w:tc>
          <w:tcPr>
            <w:tcW w:w="6107" w:type="dxa"/>
            <w:vAlign w:val="center"/>
          </w:tcPr>
          <w:p>
            <w:pPr>
              <w:pStyle w:val="8"/>
              <w:ind w:firstLine="0" w:firstLineChars="0"/>
              <w:rPr>
                <w:color w:val="auto"/>
                <w:sz w:val="21"/>
                <w:szCs w:val="21"/>
              </w:rPr>
            </w:pPr>
            <w:r>
              <w:rPr>
                <w:rFonts w:hint="eastAsia"/>
                <w:color w:val="auto"/>
                <w:sz w:val="21"/>
                <w:szCs w:val="21"/>
              </w:rPr>
              <w:t>中英街历史博物馆（（第一批））</w:t>
            </w:r>
          </w:p>
        </w:tc>
      </w:tr>
    </w:tbl>
    <w:p>
      <w:pPr>
        <w:pStyle w:val="8"/>
        <w:rPr>
          <w:color w:val="auto"/>
        </w:rPr>
      </w:pPr>
    </w:p>
    <w:p>
      <w:pPr>
        <w:pStyle w:val="8"/>
        <w:ind w:firstLine="482"/>
        <w:rPr>
          <w:b/>
          <w:color w:val="auto"/>
        </w:rPr>
      </w:pPr>
      <w:r>
        <w:rPr>
          <w:rFonts w:hint="eastAsia"/>
          <w:b/>
          <w:color w:val="auto"/>
        </w:rPr>
        <w:t>（</w:t>
      </w:r>
      <w:r>
        <w:rPr>
          <w:b/>
          <w:color w:val="auto"/>
        </w:rPr>
        <w:t>1</w:t>
      </w:r>
      <w:r>
        <w:rPr>
          <w:rFonts w:hint="eastAsia"/>
          <w:b/>
          <w:color w:val="auto"/>
        </w:rPr>
        <w:t>）公共建筑类史迹保护措施</w:t>
      </w:r>
    </w:p>
    <w:p>
      <w:pPr>
        <w:pStyle w:val="8"/>
        <w:rPr>
          <w:color w:val="auto"/>
        </w:rPr>
      </w:pPr>
      <w:r>
        <w:rPr>
          <w:rFonts w:hint="eastAsia"/>
          <w:color w:val="auto"/>
        </w:rPr>
        <w:t>保护重点：保护建筑的规模、布局、环境，保留建筑中有价值的历史遗迹和历史信息，重视建筑的维修保养，单体建筑要根据年限进行经常性维修。</w:t>
      </w:r>
    </w:p>
    <w:p>
      <w:pPr>
        <w:pStyle w:val="8"/>
        <w:rPr>
          <w:color w:val="auto"/>
        </w:rPr>
      </w:pPr>
      <w:r>
        <w:rPr>
          <w:rFonts w:hint="eastAsia"/>
          <w:color w:val="auto"/>
        </w:rPr>
        <w:t>保护措施：</w:t>
      </w:r>
    </w:p>
    <w:p>
      <w:pPr>
        <w:pStyle w:val="8"/>
        <w:rPr>
          <w:color w:val="auto"/>
        </w:rPr>
      </w:pPr>
      <w:r>
        <w:rPr>
          <w:rFonts w:hint="eastAsia"/>
          <w:color w:val="auto"/>
        </w:rPr>
        <w:t>日常保养维护与监测着重日常或定期检查保养，是遏制房屋老化、恶化，及时化解建筑使用过程中出现的问题。日常维护的内容包括：定期维护建筑清洁卫生，如清扫瓦顶屋顶、清楚庭院污物，清洁室内外构件等。定期检查防潮防渗工作，对屋顶进行清洗、除草，杜绝屋顶渗水现象，修筑疏通渠道，保证排水畅通。定期检查各类构件，有误腐蚀和白蚁现象。及时修补结构空洞、裂缝，减少风雨、鸟兽、灰尘的侵蚀污染。定期维护防灾设施，如防火、防雷、消防设备等。</w:t>
      </w:r>
    </w:p>
    <w:p>
      <w:pPr>
        <w:pStyle w:val="8"/>
        <w:rPr>
          <w:color w:val="auto"/>
        </w:rPr>
      </w:pPr>
      <w:r>
        <w:rPr>
          <w:rFonts w:hint="eastAsia"/>
          <w:color w:val="auto"/>
        </w:rPr>
        <w:t>现状修整：局部性修缮应根据历史建筑的保护级别和保护要求，对局部整治、加固、装饰、调整等施工所涉及的范围内的重点保护部位，提出详细的、有针对性的保护措施和对损坏部位的修缮方案。如外立面整治、局部损坏的修复或结构构件加固、局部楼层的室内装饰、局部区域内的平面调整等。</w:t>
      </w:r>
    </w:p>
    <w:p>
      <w:pPr>
        <w:pStyle w:val="8"/>
        <w:rPr>
          <w:color w:val="auto"/>
        </w:rPr>
      </w:pPr>
      <w:r>
        <w:rPr>
          <w:rFonts w:hint="eastAsia"/>
          <w:color w:val="auto"/>
        </w:rPr>
        <w:t>重点维修：先对历史建筑的综合价值进行判断，进行必要的现场勘探，对建筑病害进行分类和原因分析，确定相关的修缮目标、范围和方案。对建筑构件、施工工艺做法在改历史建筑中的分布情况通过文字和图表形式进行全面描述，对使用的主要材料的材质、品种、规格、尺寸、图案、颜色等特征进行准确描述。对相关的构造做法、病害和坏损情况、修复或复原要点通过文字、表格、图纸等对修复或复原要点提出明确要求。</w:t>
      </w:r>
    </w:p>
    <w:p>
      <w:pPr>
        <w:pStyle w:val="8"/>
        <w:rPr>
          <w:color w:val="auto"/>
        </w:rPr>
      </w:pPr>
      <w:r>
        <w:rPr>
          <w:rFonts w:hint="eastAsia"/>
          <w:color w:val="auto"/>
        </w:rPr>
        <w:t>“三防”措施：三防措施主要是防火、防虫、防腐。防火</w:t>
      </w:r>
      <w:r>
        <w:rPr>
          <w:color w:val="auto"/>
        </w:rPr>
        <w:t>主要通过防火涂料、防火墙、消防栓等，保证建筑的防火安全，万一发生</w:t>
      </w:r>
      <w:r>
        <w:rPr>
          <w:rFonts w:hint="eastAsia"/>
          <w:color w:val="auto"/>
        </w:rPr>
        <w:t>火灾</w:t>
      </w:r>
      <w:r>
        <w:rPr>
          <w:color w:val="auto"/>
        </w:rPr>
        <w:t>，</w:t>
      </w:r>
      <w:r>
        <w:rPr>
          <w:rFonts w:hint="eastAsia"/>
          <w:color w:val="auto"/>
        </w:rPr>
        <w:t>可</w:t>
      </w:r>
      <w:r>
        <w:rPr>
          <w:color w:val="auto"/>
        </w:rPr>
        <w:t>通过紧急疏散通道进行应急，保证建筑安全。</w:t>
      </w:r>
      <w:r>
        <w:rPr>
          <w:rFonts w:hint="eastAsia"/>
          <w:color w:val="auto"/>
        </w:rPr>
        <w:t>防虫主要</w:t>
      </w:r>
      <w:r>
        <w:rPr>
          <w:color w:val="auto"/>
        </w:rPr>
        <w:t>依据现场菌群、虫害的生物特性和木材的不同含水率情况和建筑维修规范的相关规定，选择水溶或油溶性药剂，用喷、撒、埋、浸</w:t>
      </w:r>
      <w:r>
        <w:rPr>
          <w:rFonts w:hint="eastAsia"/>
          <w:color w:val="auto"/>
        </w:rPr>
        <w:t>等</w:t>
      </w:r>
      <w:r>
        <w:rPr>
          <w:color w:val="auto"/>
        </w:rPr>
        <w:t>方式，将药物进行</w:t>
      </w:r>
      <w:r>
        <w:rPr>
          <w:rFonts w:hint="eastAsia"/>
          <w:color w:val="auto"/>
        </w:rPr>
        <w:t>处理</w:t>
      </w:r>
      <w:r>
        <w:rPr>
          <w:color w:val="auto"/>
        </w:rPr>
        <w:t>，对建筑死角进行跟踪式防治</w:t>
      </w:r>
      <w:r>
        <w:rPr>
          <w:rFonts w:hint="eastAsia"/>
          <w:color w:val="auto"/>
        </w:rPr>
        <w:t>。防腐处理主要采用</w:t>
      </w:r>
      <w:r>
        <w:rPr>
          <w:color w:val="auto"/>
        </w:rPr>
        <w:t>涂刷</w:t>
      </w:r>
      <w:r>
        <w:rPr>
          <w:rFonts w:hint="eastAsia"/>
          <w:color w:val="auto"/>
        </w:rPr>
        <w:t>法</w:t>
      </w:r>
      <w:r>
        <w:rPr>
          <w:color w:val="auto"/>
        </w:rPr>
        <w:t>，浸泡法、喷淋法对木材进行防腐和化学加固，遇到难浸</w:t>
      </w:r>
      <w:r>
        <w:rPr>
          <w:rFonts w:hint="eastAsia"/>
          <w:color w:val="auto"/>
        </w:rPr>
        <w:t>注树种</w:t>
      </w:r>
      <w:r>
        <w:rPr>
          <w:color w:val="auto"/>
        </w:rPr>
        <w:t>，则需要在处理方法上采取相应措施</w:t>
      </w:r>
      <w:r>
        <w:rPr>
          <w:rFonts w:hint="eastAsia"/>
          <w:color w:val="auto"/>
        </w:rPr>
        <w:t>。</w:t>
      </w:r>
    </w:p>
    <w:p>
      <w:pPr>
        <w:pStyle w:val="33"/>
        <w:rPr>
          <w:color w:val="auto"/>
        </w:rPr>
      </w:pPr>
      <w:r>
        <w:rPr>
          <w:rFonts w:hint="eastAsia"/>
          <w:color w:val="auto"/>
        </w:rPr>
        <w:t>表</w:t>
      </w:r>
      <w:r>
        <w:rPr>
          <w:color w:val="auto"/>
        </w:rPr>
        <w:t>5</w:t>
      </w:r>
      <w:r>
        <w:rPr>
          <w:rFonts w:hint="eastAsia"/>
          <w:color w:val="auto"/>
        </w:rPr>
        <w:t>-</w:t>
      </w:r>
      <w:r>
        <w:rPr>
          <w:color w:val="auto"/>
        </w:rPr>
        <w:t>4</w:t>
      </w:r>
      <w:r>
        <w:rPr>
          <w:rFonts w:hint="eastAsia"/>
          <w:color w:val="auto"/>
        </w:rPr>
        <w:t>公共建筑类重要史迹保护评估表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6"/>
        <w:gridCol w:w="2540"/>
        <w:gridCol w:w="1701"/>
        <w:gridCol w:w="1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39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8"/>
              <w:ind w:firstLine="0" w:firstLineChars="0"/>
              <w:jc w:val="center"/>
              <w:rPr>
                <w:b/>
                <w:color w:val="auto"/>
                <w:sz w:val="21"/>
                <w:szCs w:val="21"/>
              </w:rPr>
            </w:pPr>
            <w:r>
              <w:rPr>
                <w:rFonts w:hint="eastAsia"/>
                <w:b/>
                <w:color w:val="auto"/>
                <w:sz w:val="21"/>
                <w:szCs w:val="21"/>
              </w:rPr>
              <w:t>重要史迹点</w:t>
            </w:r>
          </w:p>
        </w:tc>
        <w:tc>
          <w:tcPr>
            <w:tcW w:w="254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8"/>
              <w:ind w:firstLine="0" w:firstLineChars="0"/>
              <w:jc w:val="center"/>
              <w:rPr>
                <w:b/>
                <w:color w:val="auto"/>
                <w:sz w:val="21"/>
                <w:szCs w:val="21"/>
              </w:rPr>
            </w:pPr>
            <w:r>
              <w:rPr>
                <w:rFonts w:hint="eastAsia"/>
                <w:b/>
                <w:color w:val="auto"/>
                <w:sz w:val="21"/>
                <w:szCs w:val="21"/>
              </w:rPr>
              <w:t>日常保养维护与监测</w:t>
            </w:r>
          </w:p>
        </w:tc>
        <w:tc>
          <w:tcPr>
            <w:tcW w:w="170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8"/>
              <w:ind w:firstLine="0" w:firstLineChars="0"/>
              <w:jc w:val="center"/>
              <w:rPr>
                <w:b/>
                <w:color w:val="auto"/>
                <w:sz w:val="21"/>
                <w:szCs w:val="21"/>
              </w:rPr>
            </w:pPr>
            <w:r>
              <w:rPr>
                <w:rFonts w:hint="eastAsia"/>
                <w:b/>
                <w:color w:val="auto"/>
                <w:sz w:val="21"/>
                <w:szCs w:val="21"/>
              </w:rPr>
              <w:t>现状修整</w:t>
            </w:r>
          </w:p>
        </w:tc>
        <w:tc>
          <w:tcPr>
            <w:tcW w:w="171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8"/>
              <w:ind w:firstLine="0" w:firstLineChars="0"/>
              <w:jc w:val="center"/>
              <w:rPr>
                <w:b/>
                <w:color w:val="auto"/>
                <w:sz w:val="21"/>
                <w:szCs w:val="21"/>
              </w:rPr>
            </w:pPr>
            <w:r>
              <w:rPr>
                <w:rFonts w:hint="eastAsia"/>
                <w:b/>
                <w:color w:val="auto"/>
                <w:sz w:val="21"/>
                <w:szCs w:val="21"/>
              </w:rPr>
              <w:t>重点维修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9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rPr>
                <w:color w:val="auto"/>
                <w:sz w:val="21"/>
                <w:szCs w:val="21"/>
              </w:rPr>
            </w:pPr>
            <w:r>
              <w:rPr>
                <w:rFonts w:hint="eastAsia"/>
                <w:color w:val="auto"/>
                <w:sz w:val="21"/>
                <w:szCs w:val="21"/>
              </w:rPr>
              <w:t>二线关同乐检查站</w:t>
            </w: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rFonts w:ascii="宋体" w:hAnsi="宋体"/>
                <w:color w:val="auto"/>
                <w:sz w:val="21"/>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color w:val="auto"/>
                <w:sz w:val="21"/>
                <w:szCs w:val="21"/>
              </w:rPr>
            </w:pPr>
            <w:r>
              <w:rPr>
                <w:rFonts w:hint="eastAsia"/>
                <w:color w:val="auto"/>
                <w:sz w:val="21"/>
                <w:szCs w:val="21"/>
              </w:rPr>
              <w:t>○</w:t>
            </w:r>
          </w:p>
        </w:tc>
        <w:tc>
          <w:tcPr>
            <w:tcW w:w="17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9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rPr>
                <w:color w:val="auto"/>
                <w:sz w:val="21"/>
                <w:szCs w:val="21"/>
              </w:rPr>
            </w:pPr>
            <w:r>
              <w:rPr>
                <w:rFonts w:hint="eastAsia"/>
                <w:color w:val="auto"/>
                <w:sz w:val="21"/>
                <w:szCs w:val="21"/>
              </w:rPr>
              <w:t>地王大厦</w:t>
            </w: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color w:val="auto"/>
                <w:sz w:val="21"/>
                <w:szCs w:val="21"/>
              </w:rPr>
            </w:pPr>
            <w:r>
              <w:rPr>
                <w:rFonts w:hint="eastAsia"/>
                <w:color w:val="auto"/>
                <w:sz w:val="21"/>
                <w:szCs w:val="21"/>
              </w:rPr>
              <w:t>○</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rFonts w:ascii="宋体" w:hAnsi="宋体"/>
                <w:color w:val="auto"/>
                <w:sz w:val="21"/>
                <w:szCs w:val="21"/>
              </w:rPr>
            </w:pPr>
          </w:p>
        </w:tc>
        <w:tc>
          <w:tcPr>
            <w:tcW w:w="17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9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rPr>
                <w:color w:val="auto"/>
                <w:sz w:val="21"/>
                <w:szCs w:val="21"/>
              </w:rPr>
            </w:pPr>
            <w:r>
              <w:rPr>
                <w:rFonts w:hint="eastAsia"/>
                <w:color w:val="auto"/>
                <w:sz w:val="21"/>
                <w:szCs w:val="21"/>
              </w:rPr>
              <w:t>深圳迎宾馆（桂园、兰园别墅）</w:t>
            </w: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color w:val="auto"/>
                <w:sz w:val="21"/>
                <w:szCs w:val="21"/>
              </w:rPr>
            </w:pPr>
            <w:r>
              <w:rPr>
                <w:rFonts w:hint="eastAsia"/>
                <w:color w:val="auto"/>
                <w:sz w:val="21"/>
                <w:szCs w:val="21"/>
              </w:rPr>
              <w:t>○</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rFonts w:ascii="宋体" w:hAnsi="宋体"/>
                <w:color w:val="auto"/>
                <w:sz w:val="21"/>
                <w:szCs w:val="21"/>
              </w:rPr>
            </w:pPr>
          </w:p>
        </w:tc>
        <w:tc>
          <w:tcPr>
            <w:tcW w:w="17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9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rPr>
                <w:color w:val="auto"/>
                <w:sz w:val="21"/>
                <w:szCs w:val="21"/>
              </w:rPr>
            </w:pPr>
            <w:r>
              <w:rPr>
                <w:rFonts w:hint="eastAsia"/>
                <w:color w:val="auto"/>
                <w:sz w:val="21"/>
                <w:szCs w:val="21"/>
              </w:rPr>
              <w:t>深圳证券交易所（老楼）</w:t>
            </w: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color w:val="auto"/>
                <w:sz w:val="21"/>
                <w:szCs w:val="21"/>
              </w:rPr>
            </w:pPr>
            <w:r>
              <w:rPr>
                <w:rFonts w:hint="eastAsia"/>
                <w:color w:val="auto"/>
                <w:sz w:val="21"/>
                <w:szCs w:val="21"/>
              </w:rPr>
              <w:t>○</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rFonts w:ascii="宋体" w:hAnsi="宋体"/>
                <w:color w:val="auto"/>
                <w:sz w:val="21"/>
                <w:szCs w:val="21"/>
              </w:rPr>
            </w:pPr>
          </w:p>
        </w:tc>
        <w:tc>
          <w:tcPr>
            <w:tcW w:w="17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9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rPr>
                <w:color w:val="auto"/>
                <w:sz w:val="21"/>
                <w:szCs w:val="21"/>
              </w:rPr>
            </w:pPr>
            <w:r>
              <w:rPr>
                <w:rFonts w:hint="eastAsia"/>
                <w:color w:val="auto"/>
                <w:sz w:val="21"/>
                <w:szCs w:val="21"/>
              </w:rPr>
              <w:t>竹园宾馆</w:t>
            </w: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color w:val="auto"/>
                <w:sz w:val="21"/>
                <w:szCs w:val="21"/>
              </w:rPr>
            </w:pPr>
            <w:r>
              <w:rPr>
                <w:rFonts w:hint="eastAsia"/>
                <w:color w:val="auto"/>
                <w:sz w:val="21"/>
                <w:szCs w:val="21"/>
              </w:rPr>
              <w:t>○</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color w:val="auto"/>
                <w:sz w:val="21"/>
                <w:szCs w:val="21"/>
              </w:rPr>
            </w:pPr>
            <w:r>
              <w:rPr>
                <w:rFonts w:hint="eastAsia"/>
                <w:color w:val="auto"/>
                <w:sz w:val="21"/>
                <w:szCs w:val="21"/>
              </w:rPr>
              <w:t>○</w:t>
            </w:r>
          </w:p>
        </w:tc>
        <w:tc>
          <w:tcPr>
            <w:tcW w:w="17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9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rPr>
                <w:color w:val="auto"/>
                <w:sz w:val="21"/>
                <w:szCs w:val="21"/>
              </w:rPr>
            </w:pPr>
            <w:r>
              <w:rPr>
                <w:rFonts w:hint="eastAsia"/>
                <w:color w:val="auto"/>
                <w:sz w:val="21"/>
                <w:szCs w:val="21"/>
              </w:rPr>
              <w:t>深圳国贸大厦</w:t>
            </w: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color w:val="auto"/>
                <w:sz w:val="21"/>
                <w:szCs w:val="21"/>
              </w:rPr>
            </w:pPr>
            <w:r>
              <w:rPr>
                <w:rFonts w:hint="eastAsia"/>
                <w:color w:val="auto"/>
                <w:sz w:val="21"/>
                <w:szCs w:val="21"/>
              </w:rPr>
              <w:t>○</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rFonts w:ascii="宋体" w:hAnsi="宋体"/>
                <w:color w:val="auto"/>
                <w:sz w:val="21"/>
                <w:szCs w:val="21"/>
              </w:rPr>
            </w:pPr>
          </w:p>
        </w:tc>
        <w:tc>
          <w:tcPr>
            <w:tcW w:w="17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9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rPr>
                <w:color w:val="auto"/>
                <w:sz w:val="21"/>
                <w:szCs w:val="21"/>
              </w:rPr>
            </w:pPr>
            <w:r>
              <w:rPr>
                <w:rFonts w:hint="eastAsia"/>
                <w:color w:val="auto"/>
                <w:sz w:val="21"/>
                <w:szCs w:val="21"/>
              </w:rPr>
              <w:t>深圳罗湖口岸</w:t>
            </w: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color w:val="auto"/>
                <w:sz w:val="21"/>
                <w:szCs w:val="21"/>
              </w:rPr>
            </w:pPr>
            <w:r>
              <w:rPr>
                <w:rFonts w:hint="eastAsia"/>
                <w:color w:val="auto"/>
                <w:sz w:val="21"/>
                <w:szCs w:val="21"/>
              </w:rPr>
              <w:t>○</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color w:val="auto"/>
                <w:sz w:val="21"/>
                <w:szCs w:val="21"/>
              </w:rPr>
            </w:pPr>
            <w:r>
              <w:rPr>
                <w:rFonts w:hint="eastAsia"/>
                <w:color w:val="auto"/>
                <w:sz w:val="21"/>
                <w:szCs w:val="21"/>
              </w:rPr>
              <w:t>○</w:t>
            </w:r>
          </w:p>
        </w:tc>
        <w:tc>
          <w:tcPr>
            <w:tcW w:w="17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9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rPr>
                <w:color w:val="auto"/>
                <w:sz w:val="21"/>
                <w:szCs w:val="21"/>
              </w:rPr>
            </w:pPr>
            <w:r>
              <w:rPr>
                <w:rFonts w:hint="eastAsia"/>
                <w:color w:val="auto"/>
                <w:sz w:val="21"/>
                <w:szCs w:val="21"/>
              </w:rPr>
              <w:t>电子大厦</w:t>
            </w: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color w:val="auto"/>
                <w:sz w:val="21"/>
                <w:szCs w:val="21"/>
              </w:rPr>
            </w:pPr>
            <w:r>
              <w:rPr>
                <w:rFonts w:hint="eastAsia"/>
                <w:color w:val="auto"/>
                <w:sz w:val="21"/>
                <w:szCs w:val="21"/>
              </w:rPr>
              <w:t>○</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color w:val="auto"/>
                <w:sz w:val="21"/>
                <w:szCs w:val="21"/>
              </w:rPr>
            </w:pPr>
            <w:r>
              <w:rPr>
                <w:rFonts w:hint="eastAsia"/>
                <w:color w:val="auto"/>
                <w:sz w:val="21"/>
                <w:szCs w:val="21"/>
              </w:rPr>
              <w:t>○</w:t>
            </w:r>
          </w:p>
        </w:tc>
        <w:tc>
          <w:tcPr>
            <w:tcW w:w="17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9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rPr>
                <w:color w:val="auto"/>
                <w:sz w:val="21"/>
                <w:szCs w:val="21"/>
              </w:rPr>
            </w:pPr>
            <w:r>
              <w:rPr>
                <w:rFonts w:hint="eastAsia"/>
                <w:color w:val="auto"/>
                <w:sz w:val="21"/>
                <w:szCs w:val="21"/>
              </w:rPr>
              <w:t>深圳科学馆旧馆</w:t>
            </w: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color w:val="auto"/>
                <w:sz w:val="21"/>
                <w:szCs w:val="21"/>
              </w:rPr>
            </w:pPr>
            <w:r>
              <w:rPr>
                <w:rFonts w:hint="eastAsia"/>
                <w:color w:val="auto"/>
                <w:sz w:val="21"/>
                <w:szCs w:val="21"/>
              </w:rPr>
              <w:t>○</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rFonts w:ascii="宋体" w:hAnsi="宋体"/>
                <w:color w:val="auto"/>
                <w:sz w:val="21"/>
                <w:szCs w:val="21"/>
              </w:rPr>
            </w:pPr>
          </w:p>
        </w:tc>
        <w:tc>
          <w:tcPr>
            <w:tcW w:w="17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9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rPr>
                <w:color w:val="auto"/>
                <w:sz w:val="21"/>
                <w:szCs w:val="21"/>
              </w:rPr>
            </w:pPr>
            <w:r>
              <w:rPr>
                <w:rFonts w:hint="eastAsia"/>
                <w:color w:val="auto"/>
                <w:sz w:val="21"/>
                <w:szCs w:val="21"/>
              </w:rPr>
              <w:t>深圳新闻大厦</w:t>
            </w: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color w:val="auto"/>
                <w:sz w:val="21"/>
                <w:szCs w:val="21"/>
              </w:rPr>
            </w:pPr>
            <w:r>
              <w:rPr>
                <w:rFonts w:hint="eastAsia"/>
                <w:color w:val="auto"/>
                <w:sz w:val="21"/>
                <w:szCs w:val="21"/>
              </w:rPr>
              <w:t>○</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rFonts w:ascii="宋体" w:hAnsi="宋体"/>
                <w:color w:val="auto"/>
                <w:sz w:val="21"/>
                <w:szCs w:val="21"/>
              </w:rPr>
            </w:pPr>
          </w:p>
        </w:tc>
        <w:tc>
          <w:tcPr>
            <w:tcW w:w="17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9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rPr>
                <w:color w:val="auto"/>
                <w:sz w:val="21"/>
                <w:szCs w:val="21"/>
              </w:rPr>
            </w:pPr>
            <w:r>
              <w:rPr>
                <w:rFonts w:hint="eastAsia"/>
                <w:color w:val="auto"/>
                <w:sz w:val="21"/>
                <w:szCs w:val="21"/>
              </w:rPr>
              <w:t>深圳图书馆旧馆</w:t>
            </w: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color w:val="auto"/>
                <w:sz w:val="21"/>
                <w:szCs w:val="21"/>
              </w:rPr>
            </w:pPr>
            <w:r>
              <w:rPr>
                <w:rFonts w:hint="eastAsia"/>
                <w:color w:val="auto"/>
                <w:sz w:val="21"/>
                <w:szCs w:val="21"/>
              </w:rPr>
              <w:t>○</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color w:val="auto"/>
                <w:sz w:val="21"/>
                <w:szCs w:val="21"/>
              </w:rPr>
            </w:pPr>
            <w:r>
              <w:rPr>
                <w:rFonts w:hint="eastAsia"/>
                <w:color w:val="auto"/>
                <w:sz w:val="21"/>
                <w:szCs w:val="21"/>
              </w:rPr>
              <w:t>○</w:t>
            </w:r>
          </w:p>
        </w:tc>
        <w:tc>
          <w:tcPr>
            <w:tcW w:w="17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9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rPr>
                <w:color w:val="auto"/>
                <w:sz w:val="21"/>
                <w:szCs w:val="21"/>
              </w:rPr>
            </w:pPr>
            <w:r>
              <w:rPr>
                <w:rFonts w:hint="eastAsia"/>
                <w:color w:val="auto"/>
                <w:sz w:val="21"/>
                <w:szCs w:val="21"/>
              </w:rPr>
              <w:t>深圳博物馆旧馆</w:t>
            </w: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color w:val="auto"/>
                <w:sz w:val="21"/>
                <w:szCs w:val="21"/>
              </w:rPr>
            </w:pPr>
            <w:r>
              <w:rPr>
                <w:rFonts w:hint="eastAsia"/>
                <w:color w:val="auto"/>
                <w:sz w:val="21"/>
                <w:szCs w:val="21"/>
              </w:rPr>
              <w:t>○</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rFonts w:ascii="宋体" w:hAnsi="宋体"/>
                <w:color w:val="auto"/>
                <w:sz w:val="21"/>
                <w:szCs w:val="21"/>
              </w:rPr>
            </w:pPr>
          </w:p>
        </w:tc>
        <w:tc>
          <w:tcPr>
            <w:tcW w:w="17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9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rPr>
                <w:color w:val="auto"/>
                <w:sz w:val="21"/>
                <w:szCs w:val="21"/>
              </w:rPr>
            </w:pPr>
            <w:r>
              <w:rPr>
                <w:rFonts w:hint="eastAsia"/>
                <w:color w:val="auto"/>
                <w:sz w:val="21"/>
                <w:szCs w:val="21"/>
              </w:rPr>
              <w:t>鹤薮小学</w:t>
            </w: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color w:val="auto"/>
                <w:sz w:val="21"/>
                <w:szCs w:val="21"/>
              </w:rPr>
            </w:pPr>
            <w:r>
              <w:rPr>
                <w:rFonts w:hint="eastAsia"/>
                <w:color w:val="auto"/>
                <w:sz w:val="21"/>
                <w:szCs w:val="21"/>
              </w:rPr>
              <w:t>○</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color w:val="auto"/>
                <w:sz w:val="21"/>
                <w:szCs w:val="21"/>
              </w:rPr>
            </w:pPr>
            <w:r>
              <w:rPr>
                <w:rFonts w:hint="eastAsia"/>
                <w:color w:val="auto"/>
                <w:sz w:val="21"/>
                <w:szCs w:val="21"/>
              </w:rPr>
              <w:t>○</w:t>
            </w:r>
          </w:p>
        </w:tc>
        <w:tc>
          <w:tcPr>
            <w:tcW w:w="17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9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rPr>
                <w:color w:val="auto"/>
                <w:sz w:val="21"/>
                <w:szCs w:val="21"/>
              </w:rPr>
            </w:pPr>
            <w:r>
              <w:rPr>
                <w:rFonts w:hint="eastAsia"/>
                <w:color w:val="auto"/>
                <w:sz w:val="21"/>
                <w:szCs w:val="21"/>
              </w:rPr>
              <w:t>中英街历史博物馆</w:t>
            </w: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color w:val="auto"/>
                <w:sz w:val="21"/>
                <w:szCs w:val="21"/>
              </w:rPr>
            </w:pPr>
            <w:r>
              <w:rPr>
                <w:rFonts w:hint="eastAsia"/>
                <w:color w:val="auto"/>
                <w:sz w:val="21"/>
                <w:szCs w:val="21"/>
              </w:rPr>
              <w:t>○</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rFonts w:ascii="宋体" w:hAnsi="宋体"/>
                <w:color w:val="auto"/>
                <w:sz w:val="21"/>
                <w:szCs w:val="21"/>
              </w:rPr>
            </w:pPr>
          </w:p>
        </w:tc>
        <w:tc>
          <w:tcPr>
            <w:tcW w:w="17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ind w:firstLine="0" w:firstLineChars="0"/>
              <w:jc w:val="center"/>
              <w:rPr>
                <w:rFonts w:ascii="宋体" w:hAnsi="宋体"/>
                <w:color w:val="auto"/>
                <w:sz w:val="21"/>
                <w:szCs w:val="21"/>
              </w:rPr>
            </w:pPr>
          </w:p>
        </w:tc>
      </w:tr>
    </w:tbl>
    <w:p>
      <w:pPr>
        <w:pStyle w:val="8"/>
        <w:ind w:firstLine="0" w:firstLineChars="0"/>
        <w:rPr>
          <w:color w:val="auto"/>
        </w:rPr>
      </w:pPr>
    </w:p>
    <w:p>
      <w:pPr>
        <w:pStyle w:val="8"/>
        <w:ind w:firstLine="482"/>
        <w:rPr>
          <w:b/>
          <w:color w:val="auto"/>
        </w:rPr>
      </w:pPr>
      <w:r>
        <w:rPr>
          <w:rFonts w:hint="eastAsia"/>
          <w:b/>
          <w:color w:val="auto"/>
        </w:rPr>
        <w:t>（</w:t>
      </w:r>
      <w:r>
        <w:rPr>
          <w:b/>
          <w:color w:val="auto"/>
        </w:rPr>
        <w:t>2</w:t>
      </w:r>
      <w:r>
        <w:rPr>
          <w:rFonts w:hint="eastAsia"/>
          <w:b/>
          <w:color w:val="auto"/>
        </w:rPr>
        <w:t>）现代工业建筑类重要史迹保护措施</w:t>
      </w:r>
    </w:p>
    <w:p>
      <w:pPr>
        <w:pStyle w:val="8"/>
        <w:rPr>
          <w:color w:val="auto"/>
        </w:rPr>
      </w:pPr>
      <w:r>
        <w:rPr>
          <w:rFonts w:hint="eastAsia"/>
          <w:color w:val="auto"/>
        </w:rPr>
        <w:t>主要包括大成面粉厂、广东浮法玻璃厂、光明街道糖厂。</w:t>
      </w:r>
    </w:p>
    <w:p>
      <w:pPr>
        <w:pStyle w:val="8"/>
        <w:rPr>
          <w:color w:val="auto"/>
        </w:rPr>
      </w:pPr>
      <w:r>
        <w:rPr>
          <w:rFonts w:hint="eastAsia"/>
          <w:color w:val="auto"/>
        </w:rPr>
        <w:t>保护重点：保护工业建筑的格局、结构、样式、风貌特征等，重点展示遗产的重要价值、保护理念、历史人文、科技工艺、景观风貌等。</w:t>
      </w:r>
    </w:p>
    <w:p>
      <w:pPr>
        <w:pStyle w:val="8"/>
        <w:rPr>
          <w:color w:val="auto"/>
        </w:rPr>
      </w:pPr>
      <w:r>
        <w:rPr>
          <w:rFonts w:hint="eastAsia"/>
          <w:color w:val="auto"/>
        </w:rPr>
        <w:t>保护措施：应设置专门部门或由专业监测建筑的保存情况，划定保护范围，采取有效措施，对工业建筑格局、结构、样式、风貌特征进行维护维持，确保核心物项不被破坏，如有较大改变时，应及时恢复，核心物项如有损毁应及时修复。要对相关的核心物项保护、遗存收集、维护修缮等收集相关资料并进行存档。</w:t>
      </w:r>
    </w:p>
    <w:p>
      <w:pPr>
        <w:pStyle w:val="8"/>
        <w:rPr>
          <w:color w:val="auto"/>
        </w:rPr>
      </w:pPr>
      <w:r>
        <w:rPr>
          <w:rFonts w:hint="eastAsia"/>
          <w:color w:val="auto"/>
        </w:rPr>
        <w:t>适用对象：对大成面粉厂、光明街道糖厂实施重点改造；对艺象</w:t>
      </w:r>
      <w:r>
        <w:rPr>
          <w:color w:val="auto"/>
        </w:rPr>
        <w:t>ID TOWN （原鸿华印染厂）、大亚湾核电站、广东浮法玻璃厂（价值工厂）</w:t>
      </w:r>
      <w:r>
        <w:rPr>
          <w:rFonts w:hint="eastAsia"/>
          <w:color w:val="auto"/>
        </w:rPr>
        <w:t>和</w:t>
      </w:r>
      <w:r>
        <w:rPr>
          <w:color w:val="auto"/>
        </w:rPr>
        <w:t>盐田港国际集装箱码头</w:t>
      </w:r>
      <w:r>
        <w:rPr>
          <w:rFonts w:hint="eastAsia"/>
          <w:color w:val="auto"/>
        </w:rPr>
        <w:t>实施现状改善。</w:t>
      </w:r>
    </w:p>
    <w:p>
      <w:pPr>
        <w:pStyle w:val="4"/>
        <w:rPr>
          <w:color w:val="auto"/>
        </w:rPr>
      </w:pPr>
      <w:r>
        <w:rPr>
          <w:rFonts w:hint="eastAsia"/>
          <w:color w:val="auto"/>
        </w:rPr>
        <w:t>5</w:t>
      </w:r>
      <w:r>
        <w:rPr>
          <w:color w:val="auto"/>
        </w:rPr>
        <w:t>.1.3</w:t>
      </w:r>
      <w:r>
        <w:rPr>
          <w:rFonts w:hint="eastAsia"/>
          <w:color w:val="auto"/>
        </w:rPr>
        <w:t>其他重要史迹保护措施</w:t>
      </w:r>
    </w:p>
    <w:p>
      <w:pPr>
        <w:pStyle w:val="8"/>
        <w:rPr>
          <w:color w:val="auto"/>
        </w:rPr>
      </w:pPr>
      <w:r>
        <w:rPr>
          <w:rFonts w:hint="eastAsia"/>
          <w:color w:val="auto"/>
        </w:rPr>
        <w:t>适用对象：其他尚未评为保护单位的史迹点。</w:t>
      </w:r>
    </w:p>
    <w:p>
      <w:pPr>
        <w:pStyle w:val="8"/>
        <w:jc w:val="center"/>
        <w:rPr>
          <w:color w:val="auto"/>
        </w:rPr>
      </w:pPr>
      <w:r>
        <w:rPr>
          <w:rFonts w:hint="eastAsia"/>
          <w:color w:val="auto"/>
        </w:rPr>
        <w:t>表</w:t>
      </w:r>
      <w:r>
        <w:rPr>
          <w:color w:val="auto"/>
        </w:rPr>
        <w:t>5</w:t>
      </w:r>
      <w:r>
        <w:rPr>
          <w:rFonts w:hint="eastAsia"/>
          <w:color w:val="auto"/>
        </w:rPr>
        <w:t>-</w:t>
      </w:r>
      <w:r>
        <w:rPr>
          <w:color w:val="auto"/>
        </w:rPr>
        <w:t xml:space="preserve"> 5 </w:t>
      </w:r>
      <w:r>
        <w:rPr>
          <w:rFonts w:hint="eastAsia"/>
          <w:color w:val="auto"/>
        </w:rPr>
        <w:t>其他重要史迹点分布表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1701"/>
        <w:gridCol w:w="6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Merge w:val="restart"/>
            <w:vAlign w:val="center"/>
          </w:tcPr>
          <w:p>
            <w:pPr>
              <w:pStyle w:val="8"/>
              <w:ind w:firstLine="0" w:firstLineChars="0"/>
              <w:rPr>
                <w:color w:val="auto"/>
                <w:sz w:val="21"/>
                <w:szCs w:val="21"/>
              </w:rPr>
            </w:pPr>
            <w:r>
              <w:rPr>
                <w:rFonts w:hint="eastAsia"/>
                <w:color w:val="auto"/>
                <w:sz w:val="21"/>
                <w:szCs w:val="21"/>
              </w:rPr>
              <w:t>其他重要史迹</w:t>
            </w:r>
          </w:p>
        </w:tc>
        <w:tc>
          <w:tcPr>
            <w:tcW w:w="1701" w:type="dxa"/>
            <w:vAlign w:val="center"/>
          </w:tcPr>
          <w:p>
            <w:pPr>
              <w:pStyle w:val="8"/>
              <w:ind w:firstLine="0" w:firstLineChars="0"/>
              <w:rPr>
                <w:color w:val="auto"/>
                <w:sz w:val="21"/>
                <w:szCs w:val="21"/>
              </w:rPr>
            </w:pPr>
            <w:r>
              <w:rPr>
                <w:rFonts w:hint="eastAsia"/>
                <w:color w:val="auto"/>
                <w:sz w:val="21"/>
                <w:szCs w:val="21"/>
              </w:rPr>
              <w:t>罗湖区（2处）</w:t>
            </w:r>
          </w:p>
        </w:tc>
        <w:tc>
          <w:tcPr>
            <w:tcW w:w="6107" w:type="dxa"/>
            <w:vAlign w:val="center"/>
          </w:tcPr>
          <w:p>
            <w:pPr>
              <w:pStyle w:val="8"/>
              <w:ind w:firstLine="0" w:firstLineChars="0"/>
              <w:rPr>
                <w:color w:val="auto"/>
                <w:sz w:val="21"/>
                <w:szCs w:val="21"/>
              </w:rPr>
            </w:pPr>
            <w:r>
              <w:rPr>
                <w:rFonts w:hint="eastAsia"/>
                <w:color w:val="auto"/>
                <w:sz w:val="21"/>
                <w:szCs w:val="21"/>
              </w:rPr>
              <w:t>深圳渔民村、深圳火车站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Merge w:val="continue"/>
            <w:vAlign w:val="center"/>
          </w:tcPr>
          <w:p>
            <w:pPr>
              <w:pStyle w:val="8"/>
              <w:ind w:firstLine="0" w:firstLineChars="0"/>
              <w:rPr>
                <w:color w:val="auto"/>
                <w:sz w:val="21"/>
                <w:szCs w:val="21"/>
              </w:rPr>
            </w:pPr>
          </w:p>
        </w:tc>
        <w:tc>
          <w:tcPr>
            <w:tcW w:w="1701" w:type="dxa"/>
            <w:vAlign w:val="center"/>
          </w:tcPr>
          <w:p>
            <w:pPr>
              <w:pStyle w:val="8"/>
              <w:ind w:firstLine="0" w:firstLineChars="0"/>
              <w:rPr>
                <w:color w:val="auto"/>
                <w:sz w:val="21"/>
                <w:szCs w:val="21"/>
              </w:rPr>
            </w:pPr>
            <w:r>
              <w:rPr>
                <w:rFonts w:hint="eastAsia"/>
                <w:color w:val="auto"/>
                <w:sz w:val="21"/>
                <w:szCs w:val="21"/>
              </w:rPr>
              <w:t>南山区（9处）</w:t>
            </w:r>
          </w:p>
        </w:tc>
        <w:tc>
          <w:tcPr>
            <w:tcW w:w="6107" w:type="dxa"/>
            <w:vAlign w:val="center"/>
          </w:tcPr>
          <w:p>
            <w:pPr>
              <w:pStyle w:val="8"/>
              <w:ind w:firstLine="0" w:firstLineChars="0"/>
              <w:rPr>
                <w:color w:val="auto"/>
                <w:sz w:val="21"/>
                <w:szCs w:val="21"/>
              </w:rPr>
            </w:pPr>
            <w:r>
              <w:rPr>
                <w:rFonts w:hint="eastAsia"/>
                <w:color w:val="auto"/>
                <w:sz w:val="21"/>
                <w:szCs w:val="21"/>
              </w:rPr>
              <w:t>“空谈误国、实干兴邦”标语牌、明华轮、南海酒店（希尔顿酒店）、三洋厂房（南海意库）、深圳大学（汇典楼、汇元楼、汇紫楼）、袁庚像、锦绣中华民俗村（华侨城）、世界之窗、深圳南头中学（校史馆）、深圳大学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Merge w:val="continue"/>
            <w:vAlign w:val="center"/>
          </w:tcPr>
          <w:p>
            <w:pPr>
              <w:pStyle w:val="8"/>
              <w:ind w:firstLine="0" w:firstLineChars="0"/>
              <w:rPr>
                <w:color w:val="auto"/>
                <w:sz w:val="21"/>
                <w:szCs w:val="21"/>
              </w:rPr>
            </w:pPr>
          </w:p>
        </w:tc>
        <w:tc>
          <w:tcPr>
            <w:tcW w:w="1701" w:type="dxa"/>
            <w:vAlign w:val="center"/>
          </w:tcPr>
          <w:p>
            <w:pPr>
              <w:pStyle w:val="8"/>
              <w:ind w:firstLine="0" w:firstLineChars="0"/>
              <w:rPr>
                <w:color w:val="auto"/>
                <w:sz w:val="21"/>
                <w:szCs w:val="21"/>
              </w:rPr>
            </w:pPr>
            <w:r>
              <w:rPr>
                <w:rFonts w:hint="eastAsia"/>
                <w:color w:val="auto"/>
                <w:sz w:val="21"/>
                <w:szCs w:val="21"/>
              </w:rPr>
              <w:t>大鹏新区（</w:t>
            </w:r>
            <w:r>
              <w:rPr>
                <w:color w:val="auto"/>
                <w:sz w:val="21"/>
                <w:szCs w:val="21"/>
              </w:rPr>
              <w:t>2</w:t>
            </w:r>
            <w:r>
              <w:rPr>
                <w:rFonts w:hint="eastAsia"/>
                <w:color w:val="auto"/>
                <w:sz w:val="21"/>
                <w:szCs w:val="21"/>
              </w:rPr>
              <w:t>处）</w:t>
            </w:r>
          </w:p>
        </w:tc>
        <w:tc>
          <w:tcPr>
            <w:tcW w:w="6107" w:type="dxa"/>
            <w:vAlign w:val="center"/>
          </w:tcPr>
          <w:p>
            <w:pPr>
              <w:pStyle w:val="8"/>
              <w:ind w:firstLine="0" w:firstLineChars="0"/>
              <w:rPr>
                <w:color w:val="auto"/>
                <w:sz w:val="21"/>
                <w:szCs w:val="21"/>
              </w:rPr>
            </w:pPr>
            <w:r>
              <w:rPr>
                <w:rFonts w:hint="eastAsia"/>
                <w:color w:val="auto"/>
                <w:sz w:val="21"/>
                <w:szCs w:val="21"/>
              </w:rPr>
              <w:t>艺象I</w:t>
            </w:r>
            <w:r>
              <w:rPr>
                <w:color w:val="auto"/>
                <w:sz w:val="21"/>
                <w:szCs w:val="21"/>
              </w:rPr>
              <w:t>D TOWN</w:t>
            </w:r>
            <w:r>
              <w:rPr>
                <w:rFonts w:hint="eastAsia"/>
                <w:color w:val="auto"/>
                <w:sz w:val="21"/>
                <w:szCs w:val="21"/>
              </w:rPr>
              <w:t>（原鸿华印染厂）、大亚湾核电站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Merge w:val="continue"/>
            <w:vAlign w:val="center"/>
          </w:tcPr>
          <w:p>
            <w:pPr>
              <w:pStyle w:val="8"/>
              <w:ind w:firstLine="0" w:firstLineChars="0"/>
              <w:rPr>
                <w:color w:val="auto"/>
                <w:sz w:val="21"/>
                <w:szCs w:val="21"/>
              </w:rPr>
            </w:pPr>
          </w:p>
        </w:tc>
        <w:tc>
          <w:tcPr>
            <w:tcW w:w="1701" w:type="dxa"/>
            <w:vAlign w:val="center"/>
          </w:tcPr>
          <w:p>
            <w:pPr>
              <w:pStyle w:val="8"/>
              <w:ind w:firstLine="0" w:firstLineChars="0"/>
              <w:rPr>
                <w:color w:val="auto"/>
                <w:sz w:val="21"/>
                <w:szCs w:val="21"/>
              </w:rPr>
            </w:pPr>
            <w:r>
              <w:rPr>
                <w:rFonts w:hint="eastAsia"/>
                <w:color w:val="auto"/>
                <w:sz w:val="21"/>
                <w:szCs w:val="21"/>
              </w:rPr>
              <w:t>盐田区（</w:t>
            </w:r>
            <w:r>
              <w:rPr>
                <w:color w:val="auto"/>
                <w:sz w:val="21"/>
                <w:szCs w:val="21"/>
              </w:rPr>
              <w:t>2</w:t>
            </w:r>
            <w:r>
              <w:rPr>
                <w:rFonts w:hint="eastAsia"/>
                <w:color w:val="auto"/>
                <w:sz w:val="21"/>
                <w:szCs w:val="21"/>
              </w:rPr>
              <w:t>处）</w:t>
            </w:r>
          </w:p>
        </w:tc>
        <w:tc>
          <w:tcPr>
            <w:tcW w:w="6107" w:type="dxa"/>
            <w:vAlign w:val="center"/>
          </w:tcPr>
          <w:p>
            <w:pPr>
              <w:pStyle w:val="8"/>
              <w:ind w:firstLine="0" w:firstLineChars="0"/>
              <w:rPr>
                <w:color w:val="auto"/>
                <w:sz w:val="21"/>
                <w:szCs w:val="21"/>
              </w:rPr>
            </w:pPr>
            <w:r>
              <w:rPr>
                <w:rFonts w:hint="eastAsia"/>
                <w:color w:val="auto"/>
                <w:sz w:val="21"/>
                <w:szCs w:val="21"/>
              </w:rPr>
              <w:t>盐田港国际集装箱码头、沙头角保税区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Merge w:val="continue"/>
            <w:vAlign w:val="center"/>
          </w:tcPr>
          <w:p>
            <w:pPr>
              <w:pStyle w:val="8"/>
              <w:ind w:firstLine="0" w:firstLineChars="0"/>
              <w:rPr>
                <w:color w:val="auto"/>
                <w:sz w:val="21"/>
                <w:szCs w:val="21"/>
              </w:rPr>
            </w:pPr>
          </w:p>
        </w:tc>
        <w:tc>
          <w:tcPr>
            <w:tcW w:w="1701" w:type="dxa"/>
            <w:vAlign w:val="center"/>
          </w:tcPr>
          <w:p>
            <w:pPr>
              <w:pStyle w:val="8"/>
              <w:ind w:firstLine="0" w:firstLineChars="0"/>
              <w:rPr>
                <w:color w:val="auto"/>
                <w:sz w:val="21"/>
                <w:szCs w:val="21"/>
              </w:rPr>
            </w:pPr>
            <w:r>
              <w:rPr>
                <w:rFonts w:hint="eastAsia"/>
                <w:color w:val="auto"/>
                <w:sz w:val="21"/>
                <w:szCs w:val="21"/>
              </w:rPr>
              <w:t>龙岗区（2处）</w:t>
            </w:r>
          </w:p>
        </w:tc>
        <w:tc>
          <w:tcPr>
            <w:tcW w:w="6107" w:type="dxa"/>
            <w:vAlign w:val="center"/>
          </w:tcPr>
          <w:p>
            <w:pPr>
              <w:pStyle w:val="8"/>
              <w:ind w:firstLine="0" w:firstLineChars="0"/>
              <w:rPr>
                <w:color w:val="auto"/>
                <w:sz w:val="21"/>
                <w:szCs w:val="21"/>
              </w:rPr>
            </w:pPr>
            <w:r>
              <w:rPr>
                <w:rFonts w:hint="eastAsia"/>
                <w:color w:val="auto"/>
                <w:sz w:val="21"/>
                <w:szCs w:val="21"/>
              </w:rPr>
              <w:t>大芬油画村、南岭村（村委办公楼）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Merge w:val="continue"/>
            <w:vAlign w:val="center"/>
          </w:tcPr>
          <w:p>
            <w:pPr>
              <w:pStyle w:val="8"/>
              <w:ind w:firstLine="0" w:firstLineChars="0"/>
              <w:rPr>
                <w:color w:val="auto"/>
                <w:sz w:val="21"/>
                <w:szCs w:val="21"/>
              </w:rPr>
            </w:pPr>
          </w:p>
        </w:tc>
        <w:tc>
          <w:tcPr>
            <w:tcW w:w="1701" w:type="dxa"/>
            <w:vAlign w:val="center"/>
          </w:tcPr>
          <w:p>
            <w:pPr>
              <w:pStyle w:val="8"/>
              <w:ind w:firstLine="0" w:firstLineChars="0"/>
              <w:rPr>
                <w:color w:val="auto"/>
                <w:sz w:val="21"/>
                <w:szCs w:val="21"/>
              </w:rPr>
            </w:pPr>
            <w:r>
              <w:rPr>
                <w:rFonts w:hint="eastAsia"/>
                <w:color w:val="auto"/>
                <w:sz w:val="21"/>
                <w:szCs w:val="21"/>
              </w:rPr>
              <w:t>宝安区（1处）</w:t>
            </w:r>
          </w:p>
        </w:tc>
        <w:tc>
          <w:tcPr>
            <w:tcW w:w="6107" w:type="dxa"/>
            <w:vAlign w:val="center"/>
          </w:tcPr>
          <w:p>
            <w:pPr>
              <w:pStyle w:val="8"/>
              <w:ind w:firstLine="0" w:firstLineChars="0"/>
              <w:rPr>
                <w:color w:val="auto"/>
                <w:sz w:val="21"/>
                <w:szCs w:val="21"/>
              </w:rPr>
            </w:pPr>
            <w:r>
              <w:rPr>
                <w:rFonts w:hint="eastAsia"/>
                <w:color w:val="auto"/>
                <w:sz w:val="21"/>
                <w:szCs w:val="21"/>
              </w:rPr>
              <w:t>深圳劳务工博物馆</w:t>
            </w:r>
          </w:p>
        </w:tc>
      </w:tr>
    </w:tbl>
    <w:p>
      <w:pPr>
        <w:pStyle w:val="8"/>
        <w:ind w:firstLine="482"/>
        <w:rPr>
          <w:b/>
          <w:color w:val="auto"/>
        </w:rPr>
      </w:pPr>
      <w:r>
        <w:rPr>
          <w:rFonts w:hint="eastAsia"/>
          <w:b/>
          <w:color w:val="auto"/>
        </w:rPr>
        <w:t>（1）建筑类史迹</w:t>
      </w:r>
    </w:p>
    <w:p>
      <w:pPr>
        <w:pStyle w:val="8"/>
        <w:rPr>
          <w:color w:val="auto"/>
        </w:rPr>
      </w:pPr>
      <w:r>
        <w:rPr>
          <w:rFonts w:hint="eastAsia"/>
          <w:color w:val="auto"/>
        </w:rPr>
        <w:t>一般类史迹保护应不得改变建筑的主要立面和结构体系，可进行内部功能和空间的相关改动，但核心纪念要素不得改动，需定期进行日常的维护修缮，保证建筑的日常运行，控制建筑遗产活化的实践活动，确保不会造成建筑历史价值的缺失。</w:t>
      </w:r>
    </w:p>
    <w:p>
      <w:pPr>
        <w:pStyle w:val="8"/>
        <w:rPr>
          <w:color w:val="auto"/>
        </w:rPr>
      </w:pPr>
      <w:r>
        <w:rPr>
          <w:rFonts w:hint="eastAsia"/>
          <w:color w:val="auto"/>
        </w:rPr>
        <w:t>保护重点：建筑的结构体系、外立面、平面布局、重要历史价值要素。</w:t>
      </w:r>
    </w:p>
    <w:p>
      <w:pPr>
        <w:pStyle w:val="8"/>
        <w:rPr>
          <w:color w:val="auto"/>
        </w:rPr>
      </w:pPr>
      <w:r>
        <w:rPr>
          <w:rFonts w:hint="eastAsia"/>
          <w:color w:val="auto"/>
        </w:rPr>
        <w:t>保护措施：</w:t>
      </w:r>
    </w:p>
    <w:p>
      <w:pPr>
        <w:pStyle w:val="8"/>
        <w:rPr>
          <w:color w:val="auto"/>
        </w:rPr>
      </w:pPr>
      <w:r>
        <w:rPr>
          <w:rFonts w:hint="eastAsia"/>
          <w:color w:val="auto"/>
        </w:rPr>
        <w:t>日常保护维护与监测：应对房屋的建筑、结构、设备设施、附加设施等完损情况进行全面检查，应对房屋定期的或季节性的查勘所提供的损坏项目进行重点复核。对需修房屋的部位、范围、数量、修缮方法、用料标准、旧料利用和改善要求等作详细的查勘记录。</w:t>
      </w:r>
    </w:p>
    <w:p>
      <w:pPr>
        <w:pStyle w:val="8"/>
        <w:rPr>
          <w:color w:val="auto"/>
        </w:rPr>
      </w:pPr>
      <w:r>
        <w:rPr>
          <w:rFonts w:hint="eastAsia"/>
          <w:color w:val="auto"/>
        </w:rPr>
        <w:t>现状修整：对建筑的荷载、使用条件、节点连接、屋面、外墙面、外墙面涂饰层、阳台、雨棚等构件进行检查，及时进行构件的更新替换。</w:t>
      </w:r>
    </w:p>
    <w:p>
      <w:pPr>
        <w:pStyle w:val="8"/>
        <w:rPr>
          <w:color w:val="auto"/>
        </w:rPr>
      </w:pPr>
      <w:r>
        <w:rPr>
          <w:rFonts w:hint="eastAsia"/>
          <w:color w:val="auto"/>
        </w:rPr>
        <w:t>结构加固：对结构的各构件损坏，经过验算之后，其强度、刚度或高厚比不符合要求的部分，优先采取补强措施，损坏严重时可拆除重砌。因地基基础原因造成砌体结构房屋变形，应先处理地基基础，再进行砌体结构的修缮。</w:t>
      </w:r>
    </w:p>
    <w:p>
      <w:pPr>
        <w:pStyle w:val="8"/>
        <w:rPr>
          <w:color w:val="auto"/>
        </w:rPr>
      </w:pPr>
      <w:r>
        <w:rPr>
          <w:rFonts w:hint="eastAsia"/>
          <w:color w:val="auto"/>
        </w:rPr>
        <w:t>内部功能设施改善：对房屋原有装饰完好部分，应充分进行利用。在查勘各种装饰损坏时，应同时检查其基层的牢固程度，当不能满足要求时，应先进行加固。房屋装饰修缮不应损坏原有房屋结构。</w:t>
      </w:r>
    </w:p>
    <w:p>
      <w:pPr>
        <w:pStyle w:val="8"/>
        <w:ind w:firstLine="482"/>
        <w:rPr>
          <w:b/>
          <w:color w:val="auto"/>
        </w:rPr>
      </w:pPr>
      <w:r>
        <w:rPr>
          <w:rFonts w:hint="eastAsia"/>
          <w:b/>
          <w:color w:val="auto"/>
        </w:rPr>
        <w:t>（2）标识类史迹</w:t>
      </w:r>
    </w:p>
    <w:p>
      <w:pPr>
        <w:pStyle w:val="8"/>
        <w:rPr>
          <w:color w:val="auto"/>
        </w:rPr>
      </w:pPr>
      <w:r>
        <w:rPr>
          <w:rFonts w:hint="eastAsia"/>
          <w:color w:val="auto"/>
        </w:rPr>
        <w:t>一般类史迹保护定期进行日常保养。定期对史迹做好日常清洁，做好对有害物质的防护，如强腐蚀性物质。关注史迹点的化学和物理破损情况，并进行相应的修补。</w:t>
      </w:r>
    </w:p>
    <w:p>
      <w:pPr>
        <w:pStyle w:val="4"/>
        <w:rPr>
          <w:color w:val="auto"/>
        </w:rPr>
      </w:pPr>
      <w:r>
        <w:rPr>
          <w:rFonts w:hint="eastAsia"/>
          <w:color w:val="auto"/>
        </w:rPr>
        <w:t>5</w:t>
      </w:r>
      <w:r>
        <w:rPr>
          <w:color w:val="auto"/>
        </w:rPr>
        <w:t>.1.4</w:t>
      </w:r>
      <w:r>
        <w:rPr>
          <w:rFonts w:hint="eastAsia"/>
          <w:color w:val="auto"/>
        </w:rPr>
        <w:t>历史环境保护与整治措施</w:t>
      </w:r>
    </w:p>
    <w:p>
      <w:pPr>
        <w:pStyle w:val="8"/>
        <w:ind w:firstLine="482"/>
        <w:rPr>
          <w:b/>
          <w:color w:val="auto"/>
        </w:rPr>
      </w:pPr>
      <w:r>
        <w:rPr>
          <w:rFonts w:hint="eastAsia"/>
          <w:b/>
          <w:color w:val="auto"/>
        </w:rPr>
        <w:t>（1）社区环境保护措施</w:t>
      </w:r>
    </w:p>
    <w:p>
      <w:pPr>
        <w:pStyle w:val="8"/>
        <w:rPr>
          <w:color w:val="auto"/>
        </w:rPr>
      </w:pPr>
      <w:r>
        <w:rPr>
          <w:rFonts w:hint="eastAsia"/>
          <w:color w:val="auto"/>
        </w:rPr>
        <w:t>适用对象：深圳渔民村。</w:t>
      </w:r>
    </w:p>
    <w:p>
      <w:pPr>
        <w:pStyle w:val="8"/>
        <w:rPr>
          <w:color w:val="auto"/>
        </w:rPr>
      </w:pPr>
      <w:r>
        <w:rPr>
          <w:rFonts w:hint="eastAsia"/>
          <w:color w:val="auto"/>
        </w:rPr>
        <w:t>保护措施：改善居住条件，提出在提升建筑安全、居住舒适性等方面的引导措施。完善道路交通，在不改变街道空间尺度和风貌的情况下，提出社区的路网规划、交通组织及管理、停车设施规划、公交车站设置、可能的旅游线路组织。提升人居环境，在不改变街道空间尺度和风貌的情况下，提出社区基础设施改善、公共服务提升措施，安排防灾设施。</w:t>
      </w:r>
    </w:p>
    <w:p>
      <w:pPr>
        <w:pStyle w:val="8"/>
        <w:rPr>
          <w:color w:val="auto"/>
        </w:rPr>
      </w:pPr>
      <w:r>
        <w:rPr>
          <w:rFonts w:hint="eastAsia"/>
          <w:color w:val="auto"/>
        </w:rPr>
        <w:t>保证社区与周围自然生态景观环境的完整性，提高对周边自然景观环境的利用整合。在村落内部空间布局方面，保证原有格局的延续。疏通村落水系景观，贯通空间视觉通廊。改善公共设施，满足使用要求，应避免随意改造和放置，公共设施的样式与位置应反复推敲，应与社区的传统和生活氛围相协调。</w:t>
      </w:r>
    </w:p>
    <w:p>
      <w:pPr>
        <w:pStyle w:val="8"/>
        <w:ind w:firstLine="482"/>
        <w:rPr>
          <w:b/>
          <w:color w:val="auto"/>
        </w:rPr>
      </w:pPr>
      <w:r>
        <w:rPr>
          <w:rFonts w:hint="eastAsia"/>
          <w:b/>
          <w:color w:val="auto"/>
        </w:rPr>
        <w:t>（2）街区环境保护措施</w:t>
      </w:r>
    </w:p>
    <w:p>
      <w:pPr>
        <w:pStyle w:val="8"/>
        <w:rPr>
          <w:color w:val="auto"/>
        </w:rPr>
      </w:pPr>
      <w:r>
        <w:rPr>
          <w:rFonts w:hint="eastAsia"/>
          <w:color w:val="auto"/>
        </w:rPr>
        <w:t>适用对象：大芬油画村（胜发店铺、第一个油画工坊）、深圳大学城。</w:t>
      </w:r>
    </w:p>
    <w:p>
      <w:pPr>
        <w:pStyle w:val="8"/>
        <w:rPr>
          <w:color w:val="auto"/>
        </w:rPr>
      </w:pPr>
      <w:r>
        <w:rPr>
          <w:rFonts w:hint="eastAsia"/>
          <w:color w:val="auto"/>
        </w:rPr>
        <w:t>保护措施：大芬油画村对街区内道路和其他设施进行定时定期清洁，加强街区内公共设施的管理维护。控制街区内的建筑物或构筑物的新建，不得破坏街区原有的风貌环境。保护街区内的建筑、道路、绿化布局，提高对周边自然环境的利用整合。深圳大学城可结合后续规划，保证街区环境风格的统一完整。</w:t>
      </w:r>
    </w:p>
    <w:p>
      <w:pPr>
        <w:pStyle w:val="8"/>
        <w:ind w:firstLine="482"/>
        <w:rPr>
          <w:b/>
          <w:color w:val="auto"/>
        </w:rPr>
      </w:pPr>
      <w:r>
        <w:rPr>
          <w:rFonts w:hint="eastAsia"/>
          <w:b/>
          <w:color w:val="auto"/>
        </w:rPr>
        <w:t>（3）广场、绿地等公共空间保护措施</w:t>
      </w:r>
    </w:p>
    <w:p>
      <w:pPr>
        <w:pStyle w:val="8"/>
        <w:rPr>
          <w:color w:val="auto"/>
        </w:rPr>
      </w:pPr>
      <w:r>
        <w:rPr>
          <w:rFonts w:hint="eastAsia"/>
          <w:color w:val="auto"/>
        </w:rPr>
        <w:t>适用对象：微波山时间广场、前海石公园、莲花山公园。</w:t>
      </w:r>
    </w:p>
    <w:p>
      <w:pPr>
        <w:pStyle w:val="8"/>
        <w:rPr>
          <w:color w:val="auto"/>
        </w:rPr>
      </w:pPr>
      <w:r>
        <w:rPr>
          <w:rFonts w:hint="eastAsia"/>
          <w:color w:val="auto"/>
        </w:rPr>
        <w:t>保护措施：对广场公园内的道路、设施等进行定期清洁，发现损坏的构件及时更换，注重广场和公园内设施的日常维护。对公园内的植被草地等进行日常修剪、除虫维护。对于坏死的植被及时进行植被治疗或移植。对广场公园内的水电等设备进行日常检查维护，发现问题及时进行维修，做好防火防灾相关保护工作。</w:t>
      </w:r>
    </w:p>
    <w:p>
      <w:pPr>
        <w:pStyle w:val="8"/>
        <w:ind w:firstLine="482"/>
        <w:rPr>
          <w:b/>
          <w:color w:val="auto"/>
        </w:rPr>
      </w:pPr>
      <w:r>
        <w:rPr>
          <w:rFonts w:hint="eastAsia"/>
          <w:b/>
          <w:color w:val="auto"/>
        </w:rPr>
        <w:t>（4）生态环境保护措施</w:t>
      </w:r>
    </w:p>
    <w:p>
      <w:pPr>
        <w:pStyle w:val="8"/>
        <w:rPr>
          <w:color w:val="auto"/>
        </w:rPr>
      </w:pPr>
      <w:r>
        <w:rPr>
          <w:rFonts w:hint="eastAsia"/>
          <w:color w:val="auto"/>
        </w:rPr>
        <w:t>适用对象：沙头角保税区、中英街历史博物馆、盐田港国际集装箱码头、大亚湾核电站、艺象I</w:t>
      </w:r>
      <w:r>
        <w:rPr>
          <w:color w:val="auto"/>
        </w:rPr>
        <w:t>D TOWN</w:t>
      </w:r>
      <w:r>
        <w:rPr>
          <w:rFonts w:hint="eastAsia"/>
          <w:color w:val="auto"/>
        </w:rPr>
        <w:t>（原鸿华印染厂）</w:t>
      </w:r>
    </w:p>
    <w:p>
      <w:pPr>
        <w:pStyle w:val="8"/>
        <w:rPr>
          <w:color w:val="auto"/>
        </w:rPr>
      </w:pPr>
      <w:r>
        <w:rPr>
          <w:rFonts w:hint="eastAsia"/>
          <w:color w:val="auto"/>
        </w:rPr>
        <w:t>保护措施：这4处史迹点滨海，周边生态景观丰富，在日常使用过程中需注意是否对沿海生态产生影响。需要维护地表植被，对环境内的植物，草皮、树木等做到尽力维护。划出保护范围，大面积绿化范围内禁止采石、取土、开矿、放牧、砍伐以及其它对保护对象有损害的活动。由相关部门进行科学核定开发程度，</w:t>
      </w:r>
      <w:r>
        <w:rPr>
          <w:color w:val="auto"/>
        </w:rPr>
        <w:t>以保证这些</w:t>
      </w:r>
      <w:r>
        <w:rPr>
          <w:rFonts w:hint="eastAsia"/>
          <w:color w:val="auto"/>
        </w:rPr>
        <w:t>生态</w:t>
      </w:r>
      <w:r>
        <w:rPr>
          <w:color w:val="auto"/>
        </w:rPr>
        <w:t>资源的</w:t>
      </w:r>
      <w:r>
        <w:rPr>
          <w:rFonts w:hint="eastAsia"/>
          <w:color w:val="auto"/>
        </w:rPr>
        <w:t>持续</w:t>
      </w:r>
      <w:r>
        <w:rPr>
          <w:color w:val="auto"/>
        </w:rPr>
        <w:t>利用</w:t>
      </w:r>
      <w:r>
        <w:rPr>
          <w:rFonts w:hint="eastAsia"/>
          <w:color w:val="auto"/>
        </w:rPr>
        <w:t>。</w:t>
      </w:r>
    </w:p>
    <w:p>
      <w:pPr>
        <w:pStyle w:val="4"/>
        <w:rPr>
          <w:color w:val="auto"/>
        </w:rPr>
      </w:pPr>
      <w:r>
        <w:rPr>
          <w:rFonts w:hint="eastAsia"/>
          <w:color w:val="auto"/>
        </w:rPr>
        <w:t>5</w:t>
      </w:r>
      <w:r>
        <w:rPr>
          <w:color w:val="auto"/>
        </w:rPr>
        <w:t>.1.5</w:t>
      </w:r>
      <w:r>
        <w:rPr>
          <w:rFonts w:hint="eastAsia"/>
          <w:color w:val="auto"/>
        </w:rPr>
        <w:t>重要史迹本体保护与环境整治工程重点项目</w:t>
      </w:r>
    </w:p>
    <w:p>
      <w:pPr>
        <w:pStyle w:val="8"/>
        <w:rPr>
          <w:color w:val="auto"/>
        </w:rPr>
      </w:pPr>
      <w:r>
        <w:rPr>
          <w:rFonts w:hint="eastAsia"/>
          <w:color w:val="auto"/>
        </w:rPr>
        <w:t>综合考虑各重要史迹本体保护急迫性、环境整治优先度与相关城乡发展、展示利用计划，拟重点实施以下保护工程：</w:t>
      </w:r>
    </w:p>
    <w:p>
      <w:pPr>
        <w:pStyle w:val="8"/>
        <w:ind w:firstLine="0" w:firstLineChars="0"/>
        <w:rPr>
          <w:b/>
          <w:color w:val="auto"/>
        </w:rPr>
      </w:pPr>
      <w:r>
        <w:rPr>
          <w:rFonts w:hint="eastAsia"/>
          <w:b/>
          <w:color w:val="auto"/>
        </w:rPr>
        <w:t>（1）光明街道糖厂保护整治项目</w:t>
      </w:r>
    </w:p>
    <w:p>
      <w:pPr>
        <w:pStyle w:val="8"/>
        <w:rPr>
          <w:color w:val="auto"/>
        </w:rPr>
      </w:pPr>
      <w:r>
        <w:rPr>
          <w:rFonts w:hint="eastAsia"/>
          <w:color w:val="auto"/>
        </w:rPr>
        <w:t>光明糖厂位于光明区光明街道翠湖社区，</w:t>
      </w:r>
      <w:r>
        <w:rPr>
          <w:color w:val="auto"/>
        </w:rPr>
        <w:t>1972 年建成，占地面积约 35000 平方米，内有压碎车间、压榨车间、锅炉房、蒸汽车间、制炼车间、储糖车间，各车间之间通过管道连接。车间均为单层、砖结构，部分外墙贴有瓷砖</w:t>
      </w:r>
      <w:r>
        <w:rPr>
          <w:rFonts w:hint="eastAsia"/>
          <w:color w:val="auto"/>
        </w:rPr>
        <w:t>。目前光明糖厂已废弃，厂区杂草丛生，建筑损毁严重。建议根据历史原貌对其进行保护修缮，采取外立面整治、结构加固等措施。</w:t>
      </w:r>
    </w:p>
    <w:p>
      <w:pPr>
        <w:pStyle w:val="8"/>
        <w:ind w:firstLine="0" w:firstLineChars="0"/>
        <w:rPr>
          <w:b/>
          <w:color w:val="auto"/>
        </w:rPr>
      </w:pPr>
      <w:r>
        <w:rPr>
          <w:rFonts w:hint="eastAsia"/>
          <w:b/>
          <w:color w:val="auto"/>
        </w:rPr>
        <w:t>（2）大成面粉厂保护整治项目</w:t>
      </w:r>
    </w:p>
    <w:p>
      <w:pPr>
        <w:pStyle w:val="8"/>
        <w:rPr>
          <w:color w:val="auto"/>
        </w:rPr>
      </w:pPr>
      <w:r>
        <w:rPr>
          <w:rFonts w:hint="eastAsia"/>
          <w:color w:val="auto"/>
        </w:rPr>
        <w:t>大成面粉厂位于太子湾项目东北角、港湾大道以南，前身为</w:t>
      </w:r>
      <w:r>
        <w:rPr>
          <w:color w:val="auto"/>
        </w:rPr>
        <w:t>1980年成立的远东(中国)面粉厂，现存5座厂房建筑及10个巨型的圆柱形筒仓建筑群，筒仓建筑群上印刷有“大成面粉”、“铁人面粉”八个大字。</w:t>
      </w:r>
      <w:r>
        <w:rPr>
          <w:rFonts w:hint="eastAsia"/>
          <w:color w:val="auto"/>
        </w:rPr>
        <w:t>占地面积3</w:t>
      </w:r>
      <w:r>
        <w:rPr>
          <w:color w:val="auto"/>
        </w:rPr>
        <w:t>3000</w:t>
      </w:r>
      <w:r>
        <w:rPr>
          <w:rFonts w:hint="eastAsia"/>
          <w:color w:val="auto"/>
        </w:rPr>
        <w:t>㎡。</w:t>
      </w:r>
    </w:p>
    <w:p>
      <w:pPr>
        <w:pStyle w:val="8"/>
        <w:rPr>
          <w:color w:val="auto"/>
          <w:highlight w:val="yellow"/>
        </w:rPr>
      </w:pPr>
      <w:r>
        <w:rPr>
          <w:rFonts w:hint="eastAsia"/>
          <w:color w:val="auto"/>
        </w:rPr>
        <w:t>建议根据后续规划，对大成面粉厂的圆柱形筒仓建筑群进行保护，对原有结构进行加固修整。在原有基础上尽可能保留原始环境风貌，进行相关整治。加强人员巡查，建立并完善专门档案。</w:t>
      </w:r>
    </w:p>
    <w:p>
      <w:pPr>
        <w:pStyle w:val="8"/>
        <w:ind w:firstLine="0" w:firstLineChars="0"/>
        <w:rPr>
          <w:b/>
          <w:color w:val="auto"/>
        </w:rPr>
      </w:pPr>
      <w:r>
        <w:rPr>
          <w:rFonts w:hint="eastAsia"/>
          <w:b/>
          <w:color w:val="auto"/>
        </w:rPr>
        <w:t>（3） “空谈误国、实干兴邦”标语牌保护整治项目</w:t>
      </w:r>
    </w:p>
    <w:p>
      <w:pPr>
        <w:pStyle w:val="8"/>
        <w:rPr>
          <w:color w:val="auto"/>
        </w:rPr>
      </w:pPr>
      <w:r>
        <w:rPr>
          <w:rFonts w:hint="eastAsia"/>
          <w:color w:val="auto"/>
        </w:rPr>
        <w:t>“空谈误国，实干兴邦”标语牌占地</w:t>
      </w:r>
      <w:r>
        <w:rPr>
          <w:color w:val="auto"/>
        </w:rPr>
        <w:t>500</w:t>
      </w:r>
      <w:r>
        <w:rPr>
          <w:rFonts w:hint="eastAsia"/>
          <w:color w:val="auto"/>
        </w:rPr>
        <w:t>㎡，位于南山区南海大道与工业六路交汇处，现所有权为集体，史迹类型为构筑物。该标语牌体现了邓小平南方谈话精神实质。</w:t>
      </w:r>
    </w:p>
    <w:p>
      <w:pPr>
        <w:pStyle w:val="8"/>
        <w:rPr>
          <w:color w:val="auto"/>
        </w:rPr>
      </w:pPr>
      <w:r>
        <w:rPr>
          <w:rFonts w:hint="eastAsia"/>
          <w:color w:val="auto"/>
        </w:rPr>
        <w:t>标语牌保护需进行严格的定期保养维护工作，史迹周边设好相应的防护栏，禁止人群对构筑物的触摸。不得对史迹进行平面布局等方面的改动。</w:t>
      </w:r>
    </w:p>
    <w:p>
      <w:pPr>
        <w:pStyle w:val="8"/>
        <w:ind w:firstLine="0" w:firstLineChars="0"/>
        <w:rPr>
          <w:b/>
          <w:color w:val="auto"/>
        </w:rPr>
      </w:pPr>
      <w:r>
        <w:rPr>
          <w:rFonts w:hint="eastAsia"/>
          <w:b/>
          <w:color w:val="auto"/>
        </w:rPr>
        <w:t>（4）微波山时间广场保护项目</w:t>
      </w:r>
    </w:p>
    <w:p>
      <w:pPr>
        <w:pStyle w:val="8"/>
        <w:rPr>
          <w:color w:val="auto"/>
        </w:rPr>
      </w:pPr>
      <w:r>
        <w:rPr>
          <w:rFonts w:hint="eastAsia"/>
          <w:color w:val="auto"/>
        </w:rPr>
        <w:t>微波山时间广场占地面积约</w:t>
      </w:r>
      <w:r>
        <w:rPr>
          <w:color w:val="auto"/>
        </w:rPr>
        <w:t>30000</w:t>
      </w:r>
      <w:r>
        <w:rPr>
          <w:rFonts w:hint="eastAsia"/>
          <w:color w:val="auto"/>
        </w:rPr>
        <w:t>㎡，位于南山区工业一路</w:t>
      </w:r>
      <w:r>
        <w:rPr>
          <w:color w:val="auto"/>
        </w:rPr>
        <w:t>/</w:t>
      </w:r>
      <w:r>
        <w:rPr>
          <w:rFonts w:hint="eastAsia"/>
          <w:color w:val="auto"/>
        </w:rPr>
        <w:t>南海大道。现所有权为集体，史迹类型为重要历史事件或纪念设施。微波山：</w:t>
      </w:r>
      <w:r>
        <w:rPr>
          <w:color w:val="auto"/>
        </w:rPr>
        <w:t>1979</w:t>
      </w:r>
      <w:r>
        <w:rPr>
          <w:rFonts w:hint="eastAsia"/>
          <w:color w:val="auto"/>
        </w:rPr>
        <w:t>年，改革开放的</w:t>
      </w:r>
      <w:r>
        <w:rPr>
          <w:color w:val="auto"/>
        </w:rPr>
        <w:t>“</w:t>
      </w:r>
      <w:r>
        <w:rPr>
          <w:rFonts w:hint="eastAsia"/>
          <w:color w:val="auto"/>
        </w:rPr>
        <w:t>第一炮</w:t>
      </w:r>
      <w:r>
        <w:rPr>
          <w:color w:val="auto"/>
        </w:rPr>
        <w:t>”</w:t>
      </w:r>
      <w:r>
        <w:rPr>
          <w:rFonts w:hint="eastAsia"/>
          <w:color w:val="auto"/>
        </w:rPr>
        <w:t>；</w:t>
      </w:r>
      <w:r>
        <w:rPr>
          <w:color w:val="auto"/>
        </w:rPr>
        <w:t>“</w:t>
      </w:r>
      <w:r>
        <w:rPr>
          <w:rFonts w:hint="eastAsia"/>
          <w:color w:val="auto"/>
        </w:rPr>
        <w:t>时间就是金钱，效率就是生命</w:t>
      </w:r>
      <w:r>
        <w:rPr>
          <w:color w:val="auto"/>
        </w:rPr>
        <w:t>”</w:t>
      </w:r>
      <w:r>
        <w:rPr>
          <w:rFonts w:hint="eastAsia"/>
          <w:color w:val="auto"/>
        </w:rPr>
        <w:t>：</w:t>
      </w:r>
      <w:r>
        <w:rPr>
          <w:color w:val="auto"/>
        </w:rPr>
        <w:t>“</w:t>
      </w:r>
      <w:r>
        <w:rPr>
          <w:rFonts w:hint="eastAsia"/>
          <w:color w:val="auto"/>
        </w:rPr>
        <w:t>知名度最高，对国人最有影响的口号</w:t>
      </w:r>
      <w:r>
        <w:rPr>
          <w:color w:val="auto"/>
        </w:rPr>
        <w:t>”</w:t>
      </w:r>
      <w:r>
        <w:rPr>
          <w:rFonts w:hint="eastAsia"/>
          <w:color w:val="auto"/>
        </w:rPr>
        <w:t>。在时间广场的地面上，刻有不同时期深圳及蛇口改革开放的重要历史事件和时间节点。</w:t>
      </w:r>
    </w:p>
    <w:p>
      <w:pPr>
        <w:pStyle w:val="8"/>
        <w:rPr>
          <w:color w:val="auto"/>
        </w:rPr>
      </w:pPr>
      <w:r>
        <w:rPr>
          <w:rFonts w:hint="eastAsia"/>
          <w:color w:val="auto"/>
        </w:rPr>
        <w:t>对标语牌进行相关的保养维护工作，进行保护范围划定和建设控制地带划定。对周边广场环境进行整治。对设计方案要求按照文物保护法相关规定做好文物保护工作。</w:t>
      </w:r>
    </w:p>
    <w:p>
      <w:pPr>
        <w:pStyle w:val="8"/>
        <w:ind w:firstLine="0" w:firstLineChars="0"/>
        <w:rPr>
          <w:b/>
          <w:color w:val="auto"/>
        </w:rPr>
      </w:pPr>
      <w:r>
        <w:rPr>
          <w:rFonts w:hint="eastAsia"/>
          <w:b/>
          <w:color w:val="auto"/>
        </w:rPr>
        <w:t>（5）南海酒店保护项目</w:t>
      </w:r>
    </w:p>
    <w:p>
      <w:pPr>
        <w:pStyle w:val="8"/>
        <w:rPr>
          <w:color w:val="auto"/>
        </w:rPr>
      </w:pPr>
      <w:r>
        <w:rPr>
          <w:rFonts w:hint="eastAsia"/>
          <w:color w:val="auto"/>
        </w:rPr>
        <w:t>南海酒店位于深南山区蛇口太子路，现所有权为集体，史迹类型为重要历史事件或纪念设施。由集团、银行等联合投资，是深圳首家由“中国政府评定的五星级酒店”。建筑设计独特，深圳地标建筑。为吸引留住油田的投资开发者，促进南海油田的开发而建。充分体现了开拓创新的深圳精神。</w:t>
      </w:r>
    </w:p>
    <w:p>
      <w:pPr>
        <w:pStyle w:val="8"/>
        <w:rPr>
          <w:color w:val="auto"/>
        </w:rPr>
      </w:pPr>
      <w:r>
        <w:rPr>
          <w:rFonts w:hint="eastAsia"/>
          <w:color w:val="auto"/>
        </w:rPr>
        <w:t>对酒店的主体结构和外立面做好保存维护工作，加强安保和人员巡查，建立并完善专门档案。</w:t>
      </w:r>
      <w:r>
        <w:rPr>
          <w:color w:val="auto"/>
        </w:rPr>
        <w:t xml:space="preserve"> </w:t>
      </w:r>
    </w:p>
    <w:p>
      <w:pPr>
        <w:pStyle w:val="8"/>
        <w:ind w:firstLine="0" w:firstLineChars="0"/>
        <w:rPr>
          <w:b/>
          <w:color w:val="auto"/>
        </w:rPr>
      </w:pPr>
      <w:r>
        <w:rPr>
          <w:rFonts w:hint="eastAsia"/>
          <w:b/>
          <w:color w:val="auto"/>
        </w:rPr>
        <w:t>（6）二线关同乐检查站保护整治项目</w:t>
      </w:r>
    </w:p>
    <w:p>
      <w:pPr>
        <w:pStyle w:val="8"/>
        <w:rPr>
          <w:color w:val="auto"/>
        </w:rPr>
      </w:pPr>
      <w:r>
        <w:rPr>
          <w:rFonts w:hint="eastAsia"/>
          <w:color w:val="auto"/>
        </w:rPr>
        <w:t>二线关同乐检查站是</w:t>
      </w:r>
      <w:r>
        <w:rPr>
          <w:color w:val="auto"/>
        </w:rPr>
        <w:t>深圳特区管理线</w:t>
      </w:r>
      <w:r>
        <w:rPr>
          <w:rFonts w:hint="eastAsia"/>
          <w:color w:val="auto"/>
        </w:rPr>
        <w:t>的关口之一。二线关</w:t>
      </w:r>
      <w:r>
        <w:rPr>
          <w:color w:val="auto"/>
        </w:rPr>
        <w:t>这道线全长 83.5 公里，把深圳分为特区内和特区外，俗称关内和关外。特区管理线是深圳经济特区建设的历史见证。二线关共有 16 个陆路关口、1 个水上关口及 23 个耕作口。同乐关位于南山区西丽片区，是深圳联系广州、东莞方向的重要交通通道。</w:t>
      </w:r>
    </w:p>
    <w:p>
      <w:pPr>
        <w:pStyle w:val="8"/>
        <w:rPr>
          <w:color w:val="auto"/>
        </w:rPr>
      </w:pPr>
      <w:r>
        <w:rPr>
          <w:rFonts w:hint="eastAsia"/>
          <w:color w:val="auto"/>
        </w:rPr>
        <w:t>检查站现在处于闲置状态，文旅部门将其纳入博物馆改造规划中</w:t>
      </w:r>
      <w:r>
        <w:rPr>
          <w:rFonts w:hint="eastAsia"/>
          <w:color w:val="auto"/>
          <w:lang w:eastAsia="zh-CN"/>
        </w:rPr>
        <w:t>，</w:t>
      </w:r>
      <w:r>
        <w:rPr>
          <w:rFonts w:hint="eastAsia"/>
          <w:color w:val="auto"/>
          <w:lang w:val="en-US" w:eastAsia="zh-CN"/>
        </w:rPr>
        <w:t>并</w:t>
      </w:r>
      <w:r>
        <w:rPr>
          <w:rFonts w:hint="eastAsia"/>
          <w:color w:val="auto"/>
        </w:rPr>
        <w:t>对检查站的重要</w:t>
      </w:r>
      <w:r>
        <w:rPr>
          <w:rFonts w:hint="eastAsia"/>
          <w:color w:val="auto"/>
          <w:lang w:val="en-US" w:eastAsia="zh-CN"/>
        </w:rPr>
        <w:t>检查流线空间</w:t>
      </w:r>
      <w:r>
        <w:rPr>
          <w:rFonts w:hint="eastAsia"/>
          <w:color w:val="auto"/>
        </w:rPr>
        <w:t>进行保护。</w:t>
      </w:r>
    </w:p>
    <w:p>
      <w:pPr>
        <w:pStyle w:val="8"/>
        <w:ind w:firstLine="0" w:firstLineChars="0"/>
        <w:rPr>
          <w:b/>
          <w:color w:val="auto"/>
        </w:rPr>
      </w:pPr>
      <w:r>
        <w:rPr>
          <w:rFonts w:hint="eastAsia"/>
          <w:b/>
          <w:color w:val="auto"/>
        </w:rPr>
        <w:t>（7）前海石公园保护项目</w:t>
      </w:r>
    </w:p>
    <w:p>
      <w:pPr>
        <w:pStyle w:val="8"/>
        <w:rPr>
          <w:color w:val="auto"/>
          <w:highlight w:val="yellow"/>
        </w:rPr>
      </w:pPr>
      <w:r>
        <w:rPr>
          <w:rFonts w:hint="eastAsia"/>
          <w:color w:val="auto"/>
        </w:rPr>
        <w:t>前海石公园位于前海深港合作区前湾一路外海堤，用地面积约8</w:t>
      </w:r>
      <w:r>
        <w:rPr>
          <w:color w:val="auto"/>
        </w:rPr>
        <w:t>4000</w:t>
      </w:r>
      <w:r>
        <w:rPr>
          <w:rFonts w:hint="eastAsia"/>
          <w:color w:val="auto"/>
        </w:rPr>
        <w:t>㎡，前海石是前海最具代表性的标志物，见证了前海从一片滩涂到一座现代化新城的蜕变。建议在现有基础上，增强对前海石本体的保护，划定保护范围，和建设控制地带，注意日常维护保养，加强人员巡查。</w:t>
      </w:r>
    </w:p>
    <w:p>
      <w:pPr>
        <w:pStyle w:val="8"/>
        <w:ind w:firstLine="0" w:firstLineChars="0"/>
        <w:rPr>
          <w:b/>
          <w:color w:val="auto"/>
        </w:rPr>
      </w:pPr>
      <w:r>
        <w:rPr>
          <w:rFonts w:hint="eastAsia"/>
          <w:b/>
          <w:color w:val="auto"/>
        </w:rPr>
        <w:t>（8）沙头角保税区保护整治项目</w:t>
      </w:r>
    </w:p>
    <w:p>
      <w:pPr>
        <w:pStyle w:val="8"/>
        <w:rPr>
          <w:color w:val="auto"/>
        </w:rPr>
      </w:pPr>
      <w:r>
        <w:rPr>
          <w:rFonts w:hint="eastAsia"/>
          <w:color w:val="auto"/>
        </w:rPr>
        <w:t>史迹点位于深圳市盐田区深盐路</w:t>
      </w:r>
      <w:r>
        <w:rPr>
          <w:color w:val="auto"/>
        </w:rPr>
        <w:t xml:space="preserve"> 2015 </w:t>
      </w:r>
      <w:r>
        <w:rPr>
          <w:rFonts w:hint="eastAsia"/>
          <w:color w:val="auto"/>
        </w:rPr>
        <w:t>号，现所有权为国家，史迹类别为重要历史事件纪念地或纪念设施。沙头角保税区是深圳特区三大保税区之一，于</w:t>
      </w:r>
      <w:r>
        <w:rPr>
          <w:color w:val="auto"/>
        </w:rPr>
        <w:t xml:space="preserve"> 1987 </w:t>
      </w:r>
      <w:r>
        <w:rPr>
          <w:rFonts w:hint="eastAsia"/>
          <w:color w:val="auto"/>
        </w:rPr>
        <w:t>年</w:t>
      </w:r>
      <w:r>
        <w:rPr>
          <w:color w:val="auto"/>
        </w:rPr>
        <w:t xml:space="preserve"> 12 </w:t>
      </w:r>
      <w:r>
        <w:rPr>
          <w:rFonts w:hint="eastAsia"/>
          <w:color w:val="auto"/>
        </w:rPr>
        <w:t>月</w:t>
      </w:r>
      <w:r>
        <w:rPr>
          <w:color w:val="auto"/>
        </w:rPr>
        <w:t xml:space="preserve"> 25 </w:t>
      </w:r>
      <w:r>
        <w:rPr>
          <w:rFonts w:hint="eastAsia"/>
          <w:color w:val="auto"/>
        </w:rPr>
        <w:t>日经深圳市人民政府批准创办，沙头角保税区是中国创办最早、土地面积最小、单位土地面积产值最大的保税区。为推动高水平、深层次地开放与发展，目前深圳盐田综合保税区正在建设当中，沙田保税区将被整合并入盐田综合保税区中。</w:t>
      </w:r>
    </w:p>
    <w:p>
      <w:pPr>
        <w:pStyle w:val="8"/>
        <w:rPr>
          <w:color w:val="auto"/>
        </w:rPr>
      </w:pPr>
      <w:r>
        <w:rPr>
          <w:rFonts w:hint="eastAsia"/>
          <w:color w:val="auto"/>
        </w:rPr>
        <w:t>在沙头角还未退区完成时，对现有的沙头角片区进行资料收集、相关模型的建设等数字化存档。对保留的一栋建筑进行主体结构和外立面、内部主要功能空间的保护。</w:t>
      </w:r>
    </w:p>
    <w:p>
      <w:pPr>
        <w:pStyle w:val="8"/>
        <w:rPr>
          <w:color w:val="auto"/>
        </w:rPr>
      </w:pPr>
    </w:p>
    <w:p>
      <w:pPr>
        <w:pStyle w:val="8"/>
        <w:rPr>
          <w:color w:val="auto"/>
        </w:rPr>
      </w:pPr>
    </w:p>
    <w:p>
      <w:pPr>
        <w:pStyle w:val="4"/>
        <w:rPr>
          <w:color w:val="auto"/>
        </w:rPr>
      </w:pPr>
      <w:r>
        <w:rPr>
          <w:rFonts w:hint="eastAsia"/>
          <w:color w:val="auto"/>
        </w:rPr>
        <w:t>5</w:t>
      </w:r>
      <w:r>
        <w:rPr>
          <w:color w:val="auto"/>
        </w:rPr>
        <w:t xml:space="preserve">.1.6 </w:t>
      </w:r>
      <w:r>
        <w:rPr>
          <w:rFonts w:hint="eastAsia"/>
          <w:color w:val="auto"/>
        </w:rPr>
        <w:t>重要史迹保护措施清单</w:t>
      </w:r>
    </w:p>
    <w:tbl>
      <w:tblPr>
        <w:tblStyle w:val="19"/>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7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E7E6E6" w:themeFill="background2"/>
            <w:vAlign w:val="center"/>
          </w:tcPr>
          <w:p>
            <w:pPr>
              <w:pStyle w:val="8"/>
              <w:spacing w:line="240" w:lineRule="auto"/>
              <w:ind w:firstLine="0" w:firstLineChars="0"/>
              <w:jc w:val="center"/>
              <w:rPr>
                <w:rFonts w:ascii="宋体" w:hAnsi="宋体"/>
                <w:b/>
                <w:color w:val="auto"/>
                <w:sz w:val="21"/>
                <w:szCs w:val="21"/>
              </w:rPr>
            </w:pPr>
            <w:r>
              <w:rPr>
                <w:rFonts w:hint="eastAsia" w:ascii="宋体" w:hAnsi="宋体"/>
                <w:b/>
                <w:color w:val="auto"/>
                <w:sz w:val="21"/>
                <w:szCs w:val="21"/>
              </w:rPr>
              <w:t>重要史迹</w:t>
            </w:r>
          </w:p>
        </w:tc>
        <w:tc>
          <w:tcPr>
            <w:tcW w:w="7938" w:type="dxa"/>
            <w:shd w:val="clear" w:color="auto" w:fill="E7E6E6" w:themeFill="background2"/>
            <w:vAlign w:val="center"/>
          </w:tcPr>
          <w:p>
            <w:pPr>
              <w:pStyle w:val="8"/>
              <w:spacing w:line="240" w:lineRule="auto"/>
              <w:ind w:firstLine="0" w:firstLineChars="0"/>
              <w:jc w:val="center"/>
              <w:rPr>
                <w:rFonts w:ascii="宋体" w:hAnsi="宋体"/>
                <w:b/>
                <w:color w:val="auto"/>
                <w:sz w:val="21"/>
                <w:szCs w:val="21"/>
              </w:rPr>
            </w:pPr>
            <w:r>
              <w:rPr>
                <w:rFonts w:hint="eastAsia" w:ascii="宋体" w:hAnsi="宋体"/>
                <w:b/>
                <w:color w:val="auto"/>
                <w:sz w:val="21"/>
                <w:szCs w:val="21"/>
              </w:rPr>
              <w:t>保护措施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大成面粉厂</w:t>
            </w:r>
            <w:r>
              <w:rPr>
                <w:rFonts w:ascii="宋体" w:hAnsi="宋体"/>
                <w:color w:val="auto"/>
                <w:sz w:val="21"/>
                <w:szCs w:val="21"/>
              </w:rPr>
              <w:t xml:space="preserve"> </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保护和恢复历史加工区，赋予加工的构筑物适当的新用途；结合深圳的蛇口码头发展的新需求，去除污染环境的相关措施；仓库等地对结构、大的平面布局等原址保护，原功能继续利用，可改造为相关的现代公共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广东浮法玻璃（价值工厂）</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对玻璃生产流线这类工业遗产核心进行整体保护，根据玻璃生产流线选择重要的构筑物进行保护。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“空谈误国，实干兴邦”标语牌</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严格的定期保养维护工作，史迹周边设好相应的防护栏，禁止人群对构筑物的触摸。不得对史迹进行平面布局等方面的改动。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明华轮</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对明华轮的主体结构进行保护，对与改革开放的相关空间进行展示保护。考虑明华轮的特殊建造材料和临水环境，注意做好防潮防腐蚀的维护保养工作。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南海酒店（希尔顿酒店）</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对酒店的主体结构和外立面做好保存维护工作，在明显地区设置标识，介绍与改革开放相关的历史。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三洋厂房（南海意库）</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对厂房的相关工业遗产主要结构进行保护，保护或还原相关的建筑风貌。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深圳大学（汇元楼、汇典楼与汇紫楼）</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对汇元楼、汇典楼、汇紫楼三座深圳大学最早的建筑进行结构和风貌保护，对周边环境等也进行相关维护。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微波山时间广场</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对标语牌进行相关的保养维护工作，进行保护范围划定和建设控制地带划定。对周边广场环境进行整治。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袁庚像</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进行定期的雕像保养维护工作，注意雨水、风等对雕像本身的侵蚀等影响，对周边环境进行保护清理。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锦绣中华民俗村（华侨城）</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对改革开放时期的初始格局和相关构筑物进行保护，对环境进行相关整治维护。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世界之窗</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对改革开放时期的初始格局和相关构筑物进行保护，对环境进行相关整治维护。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前海石公园</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对相关领导人视察的场景空间进行保护，甚至可以划定相关保护范围。对前海石进行石材的相关保养维护。对前海石公园的格局进行保护。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深圳市南头中学（校史馆）</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对校史馆进行建筑结构功能的维护。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二线关同乐检查站</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检查站现在处于闲置状态，文旅部门将其纳入博物馆改造规划中。</w:t>
            </w:r>
          </w:p>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改造中，对检查站的检查流线的重要场景空间以及相关重要场景进行保护。</w:t>
            </w:r>
            <w:r>
              <w:rPr>
                <w:rFonts w:ascii="宋体" w:hAnsi="宋体"/>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深圳大学城</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大学城范围较大，对大学城大的规划格局进行保护，对大学城内改革开放初期的标志性建筑进行保护。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地王大厦</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对大厦的主体结构和建筑外貌进行日常维护保养。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深圳迎宾馆（桂园、兰园别墅）</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是改革开放时期“南方谈话”的重要场所之一，对宾馆内的相关重大历史事件场景空间和领导人的居住空间进行保护。维护主体结构和相关环境设施等。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深圳证券交易所（老楼）</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对大厦的主体结构和建筑外貌进行日常维护保养。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竹园宾馆</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对与改革开放时期相关的空间场景进行保护，建筑的基础设施等不太完善，对建筑本身的结构和风貌进行修缮维护。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深圳国贸大厦</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对建筑的结构和外观风貌进行维护修缮，对建筑内部的结构布局等进行维护。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深圳渔民村</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对渔民村现有的空间布局、建筑风貌等进行维护修缮，维护村口的介绍展陈廊道，维护村史馆等与改革开放相关的重要空间。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深圳火车站</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对火车站的主体结构和建筑风貌进行维护修缮。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深圳罗湖口岸</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对联检大楼的主体结构和建筑风貌进行维护修缮。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莲花山公园（</w:t>
            </w:r>
            <w:r>
              <w:rPr>
                <w:rFonts w:hint="eastAsia" w:ascii="宋体" w:hAnsi="宋体"/>
                <w:color w:val="auto"/>
                <w:sz w:val="21"/>
                <w:szCs w:val="21"/>
                <w:lang w:eastAsia="zh-CN"/>
              </w:rPr>
              <w:t>邓小平铜像</w:t>
            </w:r>
            <w:r>
              <w:rPr>
                <w:rFonts w:hint="eastAsia" w:ascii="宋体" w:hAnsi="宋体"/>
                <w:color w:val="auto"/>
                <w:sz w:val="21"/>
                <w:szCs w:val="21"/>
              </w:rPr>
              <w:t>）</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进行定期的雕像保养维护工作，注意雨水、风等对雕像本身的侵蚀等影响，对周边环境进行保护清理。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电子大厦</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对大厦的主体结构和建筑外貌进行日常维护保养。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上海宾馆</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是深圳最早发展起来的第一批历史建筑，对建筑的大的空间格局，建筑外立面进行保养维护。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深圳科学馆旧馆</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是深圳改革开放首批建设的“八大文化设施”之一，对建筑的格局和外观风貌进行保养维护，对结构等进行日常修整。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深圳新闻大厦</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对大厦的主体结构和建筑外貌进行日常维护保养。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深圳图书馆旧馆</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是深圳市第一座图书馆，是改革开放重要的文化设施。</w:t>
            </w:r>
          </w:p>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对建筑的格局和外观风貌进行保养维护，对结构等进行日常修整。对建筑的荷载、使用条件、节点连接、屋面、外墙面、外墙面涂饰层、阳台、雨棚等构件进行检查，及时进行构件的更新替换。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孺子牛雕像</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严格的定期保养维护工作，史迹周边设好相应的防护栏，禁止人群对构筑物的触摸。不得对史迹进行平面布局等方面的改动。保养维护工作须由专业人士进行。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深圳博物馆旧馆</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应对房屋的建筑、结构、设备设施、附加设施等完损情况进行全面检查，应对房屋定期的或季节性的查勘所提供的损坏项目进行重点复核。对需修房屋的部位、范围、数量、修缮方法、用料标准、旧料利用和改善要求等作详细的查勘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艺象</w:t>
            </w:r>
            <w:r>
              <w:rPr>
                <w:rFonts w:ascii="宋体" w:hAnsi="宋体"/>
                <w:color w:val="auto"/>
                <w:sz w:val="21"/>
                <w:szCs w:val="21"/>
              </w:rPr>
              <w:t xml:space="preserve">ID TOWN </w:t>
            </w:r>
            <w:r>
              <w:rPr>
                <w:rFonts w:hint="eastAsia" w:ascii="宋体" w:hAnsi="宋体"/>
                <w:color w:val="auto"/>
                <w:sz w:val="21"/>
                <w:szCs w:val="21"/>
              </w:rPr>
              <w:t>（原鸿华印染厂）</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应设置专门部门或由专业监测建筑的保存情况，划定保护范围，采取有效措施，对工业建筑格局、结构、样式、风貌特征进行维护维持，确保核心物项不被破坏，如有较大改变时，应及时恢复，核心物项如有损毁应及时修复。要对相关的核心物项保护、遗存收集、维护修缮等收集相关资料并进行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袁庚祖居</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日常保养维护与监测着重日常或定期检查保养，遏制房屋老化、恶化。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大亚湾核电站</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对核电站的格局、结构、样式、风貌特征进行维护维持，确保核心物项不被破坏，如有较大改变时，应及时恢复，核心物项如有损毁应及时修复。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鹤薮小学</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对小学的建筑本体进行风貌、格局上的保护修缮。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中英街历史博物馆</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对建筑的格局和外观风貌进行保养维护，对结构等进行日常修整。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盐田港国际集装箱码头</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对码头的格局、结构、样式、风貌特征进行维护维持，确保核心物项不被破坏，如有较大改变时，应及时恢复，核心物项如有损毁应及时修复。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沙头角保税区</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在沙头角还未退区完成时，对现有的沙头角片区进行资料收集、相关模型的建设等数字化存档。</w:t>
            </w:r>
          </w:p>
          <w:p>
            <w:pPr>
              <w:pStyle w:val="8"/>
              <w:spacing w:line="240" w:lineRule="auto"/>
              <w:ind w:firstLine="0" w:firstLineChars="0"/>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大芬油画村（胜发店铺、第一个油画工坊）</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对油画村现有的村落格局、建筑风貌以及重要价值的建筑或空间进行日常保护修缮。</w:t>
            </w:r>
          </w:p>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对能体现村落特色的建筑进行现状修整。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南岭村（村委办公楼——会议室，社区党群服务中心）</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对村落现有的办公楼进行日常维护修缮即可。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深圳劳务工博物馆</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对建筑的格局和外观风貌进行保养维护，对结构等进行日常修整。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光明街道糖厂</w:t>
            </w:r>
          </w:p>
        </w:tc>
        <w:tc>
          <w:tcPr>
            <w:tcW w:w="7938" w:type="dxa"/>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糖厂现处于废弃状态，对糖厂进行原址恢复修缮。对工业建筑格局、结构、样式、风貌特征进行维护维持，核心物项及时恢复，并进行相关的遗存收集和归档。</w:t>
            </w:r>
          </w:p>
        </w:tc>
      </w:tr>
    </w:tbl>
    <w:p>
      <w:pPr>
        <w:pStyle w:val="8"/>
        <w:ind w:firstLine="0" w:firstLineChars="0"/>
        <w:rPr>
          <w:color w:val="auto"/>
        </w:rPr>
      </w:pPr>
    </w:p>
    <w:p>
      <w:pPr>
        <w:pStyle w:val="3"/>
        <w:rPr>
          <w:color w:val="auto"/>
        </w:rPr>
      </w:pPr>
      <w:bookmarkStart w:id="192" w:name="_Toc1957266039"/>
      <w:bookmarkStart w:id="193" w:name="_Toc114072199"/>
      <w:bookmarkStart w:id="194" w:name="_Toc81838553"/>
      <w:bookmarkStart w:id="195" w:name="_Toc10221"/>
      <w:bookmarkStart w:id="196" w:name="_Toc984"/>
      <w:bookmarkStart w:id="197" w:name="_Toc14444"/>
      <w:bookmarkStart w:id="198" w:name="_Toc636"/>
      <w:bookmarkStart w:id="199" w:name="_Toc18198"/>
      <w:bookmarkStart w:id="200" w:name="_Toc7842"/>
      <w:r>
        <w:rPr>
          <w:color w:val="auto"/>
        </w:rPr>
        <w:t>5.2</w:t>
      </w:r>
      <w:r>
        <w:rPr>
          <w:rFonts w:hint="eastAsia"/>
          <w:color w:val="auto"/>
        </w:rPr>
        <w:t>重要史迹管理规划</w:t>
      </w:r>
      <w:bookmarkEnd w:id="192"/>
      <w:bookmarkEnd w:id="193"/>
      <w:bookmarkEnd w:id="194"/>
      <w:bookmarkEnd w:id="195"/>
      <w:bookmarkEnd w:id="196"/>
      <w:bookmarkEnd w:id="197"/>
      <w:bookmarkEnd w:id="198"/>
      <w:bookmarkEnd w:id="199"/>
      <w:bookmarkEnd w:id="200"/>
    </w:p>
    <w:p>
      <w:pPr>
        <w:pStyle w:val="4"/>
        <w:rPr>
          <w:color w:val="auto"/>
        </w:rPr>
      </w:pPr>
      <w:r>
        <w:rPr>
          <w:color w:val="auto"/>
        </w:rPr>
        <w:t>5.2.1</w:t>
      </w:r>
      <w:r>
        <w:rPr>
          <w:rFonts w:hint="eastAsia"/>
          <w:color w:val="auto"/>
        </w:rPr>
        <w:t>目标和对策</w:t>
      </w:r>
    </w:p>
    <w:p>
      <w:pPr>
        <w:pStyle w:val="8"/>
        <w:rPr>
          <w:color w:val="auto"/>
        </w:rPr>
      </w:pPr>
      <w:r>
        <w:rPr>
          <w:rFonts w:hint="eastAsia"/>
          <w:color w:val="auto"/>
        </w:rPr>
        <w:t>目标：为了加强对深圳改革开放文物重要史迹的保护和管理，传承该时期的改革创新精神，促进本市社会经济发展与改革开放重要史迹保护利用相协调。深圳改革开放文物重要史迹工作应当贯彻文物工作方针，坚持保护与利用并重、科学规划、合理利用理念，确保深圳改革开放文物重要史迹的真实性、完整性、可持续利用及发展。</w:t>
      </w:r>
    </w:p>
    <w:p>
      <w:pPr>
        <w:pStyle w:val="8"/>
        <w:rPr>
          <w:color w:val="auto"/>
        </w:rPr>
      </w:pPr>
      <w:r>
        <w:rPr>
          <w:rFonts w:hint="eastAsia"/>
          <w:color w:val="auto"/>
        </w:rPr>
        <w:t>对策：</w:t>
      </w:r>
      <w:r>
        <w:rPr>
          <w:color w:val="auto"/>
        </w:rPr>
        <w:t>对本市改革开放时期的建筑物、构筑物等进行调查，形成调查资料。</w:t>
      </w:r>
      <w:r>
        <w:rPr>
          <w:rFonts w:hint="eastAsia"/>
          <w:color w:val="auto"/>
        </w:rPr>
        <w:t>根据调查资料，在充分征求专家及相关部门意见后，提出深圳改革开放文物重要史迹初选名单，向社会公示并征求意见。</w:t>
      </w:r>
    </w:p>
    <w:p>
      <w:pPr>
        <w:pStyle w:val="4"/>
        <w:rPr>
          <w:color w:val="auto"/>
        </w:rPr>
      </w:pPr>
      <w:r>
        <w:rPr>
          <w:color w:val="auto"/>
        </w:rPr>
        <w:t>5.2.2</w:t>
      </w:r>
      <w:r>
        <w:rPr>
          <w:rFonts w:hint="eastAsia"/>
          <w:color w:val="auto"/>
        </w:rPr>
        <w:t>法规建设</w:t>
      </w:r>
    </w:p>
    <w:p>
      <w:pPr>
        <w:pStyle w:val="8"/>
        <w:rPr>
          <w:color w:val="auto"/>
        </w:rPr>
      </w:pPr>
      <w:r>
        <w:rPr>
          <w:rFonts w:hint="eastAsia"/>
          <w:color w:val="auto"/>
        </w:rPr>
        <w:t>（1）产权单位、使用单位应当将深圳改革开放重要史迹保护、利用及管理所需的经费纳入预算，产权单位可向上级行政主管部门申请资金补助，行政主管部门应给予经费保障。公民、法人、其他组织机构可以通过捐赠等多渠道筹措资金，设立深圳改革开放重要史迹保护基金，专门用于改革开放重要史迹保护及利用。深圳改革开放重要史迹保护基金的募集、使用和管理，依照国家有关法律、行政法规和部门规章制度执行。</w:t>
      </w:r>
    </w:p>
    <w:p>
      <w:pPr>
        <w:pStyle w:val="8"/>
        <w:rPr>
          <w:color w:val="auto"/>
        </w:rPr>
      </w:pPr>
      <w:r>
        <w:rPr>
          <w:rFonts w:hint="eastAsia"/>
          <w:color w:val="auto"/>
        </w:rPr>
        <w:t>（2）深圳市人民政府应当为所在地的改革开放文物重要史迹制作统一的标志说明。标志说明应设置在醒目处，并应与重要史迹相协调，不得对重要史迹造成损害或影响重要史迹消防安全。重要史迹标志说明应当包括重要史迹的名称、内容介绍、保护内容、管理机构、公布机构等内容。任何组织和个人不得擅自移动、损毁、拆除改革开放文物重要史迹说明。</w:t>
      </w:r>
    </w:p>
    <w:p>
      <w:pPr>
        <w:pStyle w:val="8"/>
        <w:rPr>
          <w:color w:val="auto"/>
        </w:rPr>
      </w:pPr>
      <w:r>
        <w:rPr>
          <w:rFonts w:hint="eastAsia"/>
          <w:color w:val="auto"/>
        </w:rPr>
        <w:t>（3）对重要史迹造成危害、致使重要史迹核心价值受到损害的行为，任何单位和个人可以向相关管理部门举报，相关管理部门对危害重要史迹的行为应当及时调查并责令限期改正、恢复重要史迹原状，追究责任人的责任并给予不同程度的处罚。</w:t>
      </w:r>
    </w:p>
    <w:p>
      <w:pPr>
        <w:pStyle w:val="4"/>
        <w:rPr>
          <w:color w:val="auto"/>
        </w:rPr>
      </w:pPr>
      <w:r>
        <w:rPr>
          <w:color w:val="auto"/>
        </w:rPr>
        <w:t>5.2.3</w:t>
      </w:r>
      <w:r>
        <w:rPr>
          <w:rFonts w:hint="eastAsia"/>
          <w:color w:val="auto"/>
        </w:rPr>
        <w:t>管理体制</w:t>
      </w:r>
    </w:p>
    <w:p>
      <w:pPr>
        <w:pStyle w:val="8"/>
        <w:rPr>
          <w:color w:val="auto"/>
        </w:rPr>
      </w:pPr>
      <w:r>
        <w:rPr>
          <w:rFonts w:hint="eastAsia"/>
          <w:color w:val="auto"/>
        </w:rPr>
        <w:t>（1）设立深圳改革开放文物重要史迹保护委员会，按照本办法的规定负责重要史迹认定、调整及撤销等相关事项的评审，为市人民政府决策提供咨询意见。</w:t>
      </w:r>
    </w:p>
    <w:p>
      <w:pPr>
        <w:pStyle w:val="8"/>
        <w:rPr>
          <w:color w:val="auto"/>
        </w:rPr>
      </w:pPr>
      <w:r>
        <w:rPr>
          <w:rFonts w:hint="eastAsia"/>
          <w:color w:val="auto"/>
        </w:rPr>
        <w:t>（2）</w:t>
      </w:r>
      <w:r>
        <w:rPr>
          <w:rFonts w:hint="eastAsia"/>
          <w:color w:val="auto"/>
          <w:lang w:eastAsia="zh-CN"/>
        </w:rPr>
        <w:t>深圳市文化广电旅游体育局</w:t>
      </w:r>
      <w:r>
        <w:rPr>
          <w:rFonts w:hint="eastAsia"/>
          <w:color w:val="auto"/>
        </w:rPr>
        <w:t>主管深圳改革开放文物重要史迹工作，协调、解决深圳改革开放文物重要史迹保护、利用及管理中的重大问题，监督、检查深圳改革开放文物重要史迹工作。区文化、文物行政部门与深圳改革开放文物重要史迹产权单位和使用单位签订保护责任书，明确其应当承担的保护责任和义务。</w:t>
      </w:r>
    </w:p>
    <w:p>
      <w:pPr>
        <w:pStyle w:val="8"/>
        <w:rPr>
          <w:color w:val="auto"/>
        </w:rPr>
      </w:pPr>
      <w:r>
        <w:rPr>
          <w:rFonts w:hint="eastAsia"/>
          <w:color w:val="auto"/>
        </w:rPr>
        <w:t>（3）深圳改革开放文物重要史迹产权单位和使用单位，应当在管理部门的指导下，按照相关规定合理使用、利用重要史迹并做好保护工作，配合管理部门对重要史迹实施数字化管理。保护利用方案应报</w:t>
      </w:r>
      <w:r>
        <w:rPr>
          <w:rFonts w:hint="eastAsia"/>
          <w:color w:val="auto"/>
          <w:lang w:eastAsia="zh-CN"/>
        </w:rPr>
        <w:t>深圳市文化广电旅游体育局</w:t>
      </w:r>
      <w:r>
        <w:rPr>
          <w:rFonts w:hint="eastAsia"/>
          <w:color w:val="auto"/>
        </w:rPr>
        <w:t>和住房和建设主管部门批准后实施。</w:t>
      </w:r>
    </w:p>
    <w:p>
      <w:pPr>
        <w:pStyle w:val="4"/>
        <w:rPr>
          <w:color w:val="auto"/>
        </w:rPr>
      </w:pPr>
      <w:r>
        <w:rPr>
          <w:color w:val="auto"/>
        </w:rPr>
        <w:t>5.2.4</w:t>
      </w:r>
      <w:r>
        <w:rPr>
          <w:rFonts w:hint="eastAsia"/>
          <w:color w:val="auto"/>
        </w:rPr>
        <w:t>重要史迹安全</w:t>
      </w:r>
    </w:p>
    <w:p>
      <w:pPr>
        <w:pStyle w:val="8"/>
        <w:rPr>
          <w:color w:val="auto"/>
        </w:rPr>
      </w:pPr>
      <w:r>
        <w:rPr>
          <w:rFonts w:hint="eastAsia"/>
          <w:color w:val="auto"/>
        </w:rPr>
        <w:t>（1）为深圳改革开放文物重要史迹建立保护记录档案，并报区文化、文物行政部门和</w:t>
      </w:r>
      <w:r>
        <w:rPr>
          <w:rFonts w:hint="eastAsia"/>
          <w:color w:val="auto"/>
          <w:lang w:eastAsia="zh-CN"/>
        </w:rPr>
        <w:t>深圳市文化广电旅游体育局</w:t>
      </w:r>
      <w:r>
        <w:rPr>
          <w:rFonts w:hint="eastAsia"/>
          <w:color w:val="auto"/>
        </w:rPr>
        <w:t>备案。</w:t>
      </w:r>
      <w:r>
        <w:rPr>
          <w:rFonts w:hint="eastAsia"/>
          <w:color w:val="auto"/>
          <w:lang w:eastAsia="zh-CN"/>
        </w:rPr>
        <w:t>深圳市文化广电旅游体育局</w:t>
      </w:r>
      <w:r>
        <w:rPr>
          <w:rFonts w:hint="eastAsia"/>
          <w:color w:val="auto"/>
        </w:rPr>
        <w:t>应当建立深圳改革开放文物重要史迹保护记录档案数据库。</w:t>
      </w:r>
    </w:p>
    <w:p>
      <w:pPr>
        <w:pStyle w:val="8"/>
        <w:rPr>
          <w:color w:val="auto"/>
        </w:rPr>
      </w:pPr>
      <w:r>
        <w:rPr>
          <w:rFonts w:hint="eastAsia"/>
          <w:color w:val="auto"/>
        </w:rPr>
        <w:t>（2）区级人民政府为深圳改革开放文物重要史迹确定保护管理机构。使用单位应当对深圳改革开放文物重要史迹进行日常维护。发现重要史迹存在安全隐患或不当利用的，保护机构应当采取控制措施，并及时向区文化、文物行政部门和</w:t>
      </w:r>
      <w:r>
        <w:rPr>
          <w:rFonts w:hint="eastAsia"/>
          <w:color w:val="auto"/>
          <w:lang w:eastAsia="zh-CN"/>
        </w:rPr>
        <w:t>深圳市文化广电旅游体育局</w:t>
      </w:r>
      <w:r>
        <w:rPr>
          <w:rFonts w:hint="eastAsia"/>
          <w:color w:val="auto"/>
        </w:rPr>
        <w:t>报告。</w:t>
      </w:r>
    </w:p>
    <w:p>
      <w:pPr>
        <w:pStyle w:val="8"/>
        <w:rPr>
          <w:color w:val="auto"/>
        </w:rPr>
      </w:pPr>
      <w:r>
        <w:rPr>
          <w:rFonts w:hint="eastAsia"/>
          <w:color w:val="auto"/>
        </w:rPr>
        <w:t>（3）对于深圳改革开放文物重要史迹，不得从事下列有碍重要史迹保护、利用的行为及活动</w:t>
      </w:r>
      <w:r>
        <w:rPr>
          <w:color w:val="auto"/>
        </w:rPr>
        <w:t xml:space="preserve"> ：</w:t>
      </w:r>
    </w:p>
    <w:p>
      <w:pPr>
        <w:pStyle w:val="8"/>
        <w:rPr>
          <w:color w:val="auto"/>
        </w:rPr>
      </w:pPr>
      <w:r>
        <w:rPr>
          <w:rFonts w:hint="eastAsia"/>
          <w:color w:val="auto"/>
        </w:rPr>
        <w:t>（一）擅自改变重要史迹主体结构和外观主要特征；</w:t>
      </w:r>
    </w:p>
    <w:p>
      <w:pPr>
        <w:pStyle w:val="8"/>
        <w:rPr>
          <w:color w:val="auto"/>
        </w:rPr>
      </w:pPr>
      <w:r>
        <w:rPr>
          <w:rFonts w:hint="eastAsia"/>
          <w:color w:val="auto"/>
        </w:rPr>
        <w:t>（二）擅自变动体现深圳改革开放文物重要史迹本体价值的空间形态；</w:t>
      </w:r>
    </w:p>
    <w:p>
      <w:pPr>
        <w:pStyle w:val="8"/>
        <w:rPr>
          <w:color w:val="auto"/>
        </w:rPr>
      </w:pPr>
      <w:r>
        <w:rPr>
          <w:rFonts w:hint="eastAsia"/>
          <w:color w:val="auto"/>
        </w:rPr>
        <w:t>（三）擅自在重要史迹内堆放易燃、易爆和腐蚀性等危险和有害物品；</w:t>
      </w:r>
    </w:p>
    <w:p>
      <w:pPr>
        <w:pStyle w:val="8"/>
        <w:rPr>
          <w:color w:val="auto"/>
        </w:rPr>
      </w:pPr>
      <w:r>
        <w:rPr>
          <w:rFonts w:hint="eastAsia"/>
          <w:color w:val="auto"/>
        </w:rPr>
        <w:t>（四）其他有碍重要史迹保护或对社会发展造成不良影响的行为。</w:t>
      </w:r>
    </w:p>
    <w:p>
      <w:pPr>
        <w:pStyle w:val="8"/>
        <w:rPr>
          <w:color w:val="auto"/>
        </w:rPr>
      </w:pPr>
      <w:r>
        <w:rPr>
          <w:rFonts w:hint="eastAsia"/>
          <w:color w:val="auto"/>
        </w:rPr>
        <w:t>（4）任何单位和个人不得擅自改造、拆除深圳改革开放文物重要史迹。根据民生需求，如必须拆除，应报请</w:t>
      </w:r>
      <w:r>
        <w:rPr>
          <w:rFonts w:hint="eastAsia"/>
          <w:color w:val="auto"/>
          <w:lang w:eastAsia="zh-CN"/>
        </w:rPr>
        <w:t>深圳市文化广电旅游体育局</w:t>
      </w:r>
      <w:r>
        <w:rPr>
          <w:rFonts w:hint="eastAsia"/>
          <w:color w:val="auto"/>
        </w:rPr>
        <w:t>批准同意、并将其移出《深圳改革开放文物重要史迹预备名单》。对于意义重大、无法实施原址保护的深圳改革开放文物重要史迹，经报请</w:t>
      </w:r>
      <w:r>
        <w:rPr>
          <w:rFonts w:hint="eastAsia"/>
          <w:color w:val="auto"/>
          <w:lang w:eastAsia="zh-CN"/>
        </w:rPr>
        <w:t>深圳市文化广电旅游体育局</w:t>
      </w:r>
      <w:r>
        <w:rPr>
          <w:rFonts w:hint="eastAsia"/>
          <w:color w:val="auto"/>
        </w:rPr>
        <w:t>批准同意后，可进行迁移及异地保护，但需在原址设立必要的标志说明。</w:t>
      </w:r>
    </w:p>
    <w:p>
      <w:pPr>
        <w:pStyle w:val="8"/>
        <w:rPr>
          <w:color w:val="auto"/>
        </w:rPr>
      </w:pPr>
      <w:r>
        <w:rPr>
          <w:rFonts w:hint="eastAsia"/>
          <w:color w:val="auto"/>
        </w:rPr>
        <w:t>（5）</w:t>
      </w:r>
      <w:r>
        <w:rPr>
          <w:color w:val="auto"/>
        </w:rPr>
        <w:t>深圳改革开放文物重要史迹的保护利用方式应当结合深圳市城市建设需求、按照现行相关技术规范标准开展，经产权单位、使用单位同意并报</w:t>
      </w:r>
      <w:r>
        <w:rPr>
          <w:rFonts w:hint="eastAsia"/>
          <w:color w:val="auto"/>
          <w:lang w:eastAsia="zh-CN"/>
        </w:rPr>
        <w:t>深圳市文化广电旅游体育局</w:t>
      </w:r>
      <w:r>
        <w:rPr>
          <w:color w:val="auto"/>
        </w:rPr>
        <w:t>批准，以实现重要史迹与现代生活的有机结合。</w:t>
      </w:r>
      <w:r>
        <w:rPr>
          <w:rFonts w:hint="eastAsia"/>
          <w:color w:val="auto"/>
        </w:rPr>
        <w:t>严禁采取不利于深圳改革开放文物重要史迹可持续发展的保护利用方式。</w:t>
      </w:r>
    </w:p>
    <w:p>
      <w:pPr>
        <w:pStyle w:val="4"/>
        <w:rPr>
          <w:color w:val="auto"/>
        </w:rPr>
      </w:pPr>
      <w:r>
        <w:rPr>
          <w:rFonts w:hint="eastAsia"/>
          <w:color w:val="auto"/>
        </w:rPr>
        <w:t>5</w:t>
      </w:r>
      <w:r>
        <w:rPr>
          <w:color w:val="auto"/>
        </w:rPr>
        <w:t>.2.5</w:t>
      </w:r>
      <w:r>
        <w:rPr>
          <w:rFonts w:hint="eastAsia"/>
          <w:color w:val="auto"/>
        </w:rPr>
        <w:t>完善重要史迹的申报与公布制度</w:t>
      </w:r>
    </w:p>
    <w:p>
      <w:pPr>
        <w:pStyle w:val="8"/>
        <w:rPr>
          <w:color w:val="auto"/>
        </w:rPr>
      </w:pPr>
      <w:r>
        <w:rPr>
          <w:rFonts w:hint="eastAsia"/>
          <w:color w:val="auto"/>
        </w:rPr>
        <w:t>对重要史迹进行分批次公布、申报制度，支持相关重要史迹申报历史建筑、文物建筑的制度。对史迹的申报管理制度进行相关制定完善。</w:t>
      </w:r>
    </w:p>
    <w:p>
      <w:pPr>
        <w:pStyle w:val="4"/>
        <w:rPr>
          <w:color w:val="auto"/>
        </w:rPr>
      </w:pPr>
      <w:r>
        <w:rPr>
          <w:color w:val="auto"/>
        </w:rPr>
        <w:t>5.2.6</w:t>
      </w:r>
      <w:r>
        <w:rPr>
          <w:rFonts w:hint="eastAsia"/>
          <w:color w:val="auto"/>
        </w:rPr>
        <w:t>资料征集</w:t>
      </w:r>
    </w:p>
    <w:p>
      <w:pPr>
        <w:pStyle w:val="8"/>
        <w:rPr>
          <w:color w:val="auto"/>
        </w:rPr>
      </w:pPr>
      <w:r>
        <w:rPr>
          <w:rFonts w:hint="eastAsia"/>
          <w:color w:val="auto"/>
        </w:rPr>
        <w:t>（1）深圳改革开放文物重要史迹辟为旅游参观点的，应当充分发挥重要史迹的宣传教育作用，并制定完善的参观游览服务管理办法。</w:t>
      </w:r>
    </w:p>
    <w:p>
      <w:pPr>
        <w:pStyle w:val="8"/>
        <w:rPr>
          <w:color w:val="auto"/>
        </w:rPr>
      </w:pPr>
      <w:r>
        <w:rPr>
          <w:rFonts w:hint="eastAsia"/>
          <w:color w:val="auto"/>
        </w:rPr>
        <w:t>（2）加强对深圳改革开放文物重要史迹蕴含的创新、创业精神及思想进行宣传及传播，充分调动人民群众在重要史迹保护和利用中的积极作用，提升全民保护意识，营造良好保护氛围。</w:t>
      </w:r>
    </w:p>
    <w:p>
      <w:pPr>
        <w:pStyle w:val="8"/>
        <w:rPr>
          <w:color w:val="auto"/>
        </w:rPr>
      </w:pPr>
      <w:r>
        <w:rPr>
          <w:rFonts w:hint="eastAsia"/>
          <w:color w:val="auto"/>
        </w:rPr>
        <w:t>（3）使用单位及文物行政管理部门应当组织开展文化旅游的调查及保护利用学术研究工作，发掘并展示深圳改革开放文物重要史迹的社会、历史和文化价值，扩大社会影响。</w:t>
      </w:r>
    </w:p>
    <w:p>
      <w:pPr>
        <w:pStyle w:val="8"/>
        <w:rPr>
          <w:color w:val="auto"/>
        </w:rPr>
      </w:pPr>
      <w:r>
        <w:rPr>
          <w:rFonts w:hint="eastAsia"/>
          <w:color w:val="auto"/>
        </w:rPr>
        <w:t>（4）公民、法人和其他组织机构都有依法保护深圳改革开放文物重要史迹的义务。鼓励公民、法人和其他组织机构参与深圳改革开放文物重要史迹保护工作。文物主管部门应对在深圳改革开放文物重要史迹工作中做出突出贡献的单位、企业、团体或个人给予表彰、奖励、政策支持。</w:t>
      </w:r>
    </w:p>
    <w:p>
      <w:pPr>
        <w:pStyle w:val="4"/>
        <w:rPr>
          <w:color w:val="auto"/>
        </w:rPr>
      </w:pPr>
      <w:r>
        <w:rPr>
          <w:rFonts w:hint="eastAsia"/>
          <w:color w:val="auto"/>
        </w:rPr>
        <w:t>5</w:t>
      </w:r>
      <w:r>
        <w:rPr>
          <w:color w:val="auto"/>
        </w:rPr>
        <w:t xml:space="preserve">.2.7 </w:t>
      </w:r>
      <w:r>
        <w:rPr>
          <w:rFonts w:hint="eastAsia"/>
          <w:color w:val="auto"/>
        </w:rPr>
        <w:t>保护利用</w:t>
      </w:r>
    </w:p>
    <w:p>
      <w:pPr>
        <w:pStyle w:val="8"/>
        <w:rPr>
          <w:color w:val="auto"/>
        </w:rPr>
      </w:pPr>
      <w:r>
        <w:rPr>
          <w:rFonts w:hint="eastAsia"/>
          <w:color w:val="auto"/>
        </w:rPr>
        <w:t>对现有改革开放重要史迹点中的历史建筑、历史风貌区的保护与利用策略措施与《深圳市紫线规划（修编）》《深圳市历史风貌区和历史建筑保护办法》中保护与利用措施等内容保持一致。</w:t>
      </w:r>
    </w:p>
    <w:p>
      <w:pPr>
        <w:pStyle w:val="8"/>
        <w:numPr>
          <w:ilvl w:val="0"/>
          <w:numId w:val="2"/>
        </w:numPr>
        <w:ind w:firstLineChars="0"/>
        <w:rPr>
          <w:color w:val="auto"/>
        </w:rPr>
      </w:pPr>
      <w:r>
        <w:rPr>
          <w:rFonts w:hint="eastAsia"/>
          <w:color w:val="auto"/>
        </w:rPr>
        <w:t>保护原则</w:t>
      </w:r>
    </w:p>
    <w:p>
      <w:pPr>
        <w:pStyle w:val="8"/>
        <w:numPr>
          <w:ilvl w:val="0"/>
          <w:numId w:val="3"/>
        </w:numPr>
        <w:ind w:firstLineChars="0"/>
        <w:rPr>
          <w:color w:val="auto"/>
        </w:rPr>
      </w:pPr>
      <w:r>
        <w:rPr>
          <w:rFonts w:hint="eastAsia"/>
          <w:color w:val="auto"/>
        </w:rPr>
        <w:t>区政府应当按照下列规定确定历史建筑的保护责任人。</w:t>
      </w:r>
    </w:p>
    <w:p>
      <w:pPr>
        <w:pStyle w:val="8"/>
        <w:numPr>
          <w:ilvl w:val="0"/>
          <w:numId w:val="3"/>
        </w:numPr>
        <w:ind w:firstLineChars="0"/>
        <w:rPr>
          <w:color w:val="auto"/>
        </w:rPr>
      </w:pPr>
      <w:r>
        <w:rPr>
          <w:rFonts w:hint="eastAsia"/>
          <w:color w:val="auto"/>
        </w:rPr>
        <w:t>区政府应当根据历史建筑的现状和保护要求，组织编制年度保护修缮计划，指导、督促保护责任人开展保护整修。保护责任人应当按照年度保护修缮计划的要求做好相关工作。</w:t>
      </w:r>
    </w:p>
    <w:p>
      <w:pPr>
        <w:pStyle w:val="8"/>
        <w:numPr>
          <w:ilvl w:val="0"/>
          <w:numId w:val="3"/>
        </w:numPr>
        <w:ind w:firstLineChars="0"/>
        <w:rPr>
          <w:color w:val="auto"/>
        </w:rPr>
      </w:pPr>
      <w:r>
        <w:rPr>
          <w:color w:val="auto"/>
        </w:rPr>
        <w:t>历史建筑因不可抗力面临损毁危险的、依法鉴定为危房的，保护责任人应当立即组织抢险保护，采取加固、修缮等保护措施，并及时向区政府报告。保护责任人不具备维护和修缮能力的，区政府应当协助保护责任人进行抢险保护。</w:t>
      </w:r>
    </w:p>
    <w:p>
      <w:pPr>
        <w:pStyle w:val="8"/>
        <w:numPr>
          <w:ilvl w:val="0"/>
          <w:numId w:val="3"/>
        </w:numPr>
        <w:ind w:firstLineChars="0"/>
        <w:rPr>
          <w:color w:val="auto"/>
        </w:rPr>
      </w:pPr>
      <w:r>
        <w:rPr>
          <w:rFonts w:hint="eastAsia"/>
          <w:color w:val="auto"/>
        </w:rPr>
        <w:t>任何公民、法人和非法人组织不得擅自迁移、拆除历史建筑。历史建筑应当尽可能实施原址保护。因国家、省、市重点工程及重大市政基础设施建设，经市政府批准的重大项目，或者面临严重损毁危险等情况，必须迁移异地保护的按照城市紫线调整程序执行，必须拆除的由市主管部门报市政府批准。</w:t>
      </w:r>
    </w:p>
    <w:p>
      <w:pPr>
        <w:pStyle w:val="8"/>
        <w:numPr>
          <w:ilvl w:val="0"/>
          <w:numId w:val="2"/>
        </w:numPr>
        <w:ind w:firstLineChars="0"/>
        <w:rPr>
          <w:color w:val="auto"/>
        </w:rPr>
      </w:pPr>
      <w:r>
        <w:rPr>
          <w:rFonts w:hint="eastAsia"/>
          <w:color w:val="auto"/>
        </w:rPr>
        <w:t>利用原则</w:t>
      </w:r>
    </w:p>
    <w:p>
      <w:pPr>
        <w:pStyle w:val="8"/>
        <w:numPr>
          <w:ilvl w:val="0"/>
          <w:numId w:val="4"/>
        </w:numPr>
        <w:ind w:firstLineChars="0"/>
        <w:rPr>
          <w:color w:val="auto"/>
        </w:rPr>
      </w:pPr>
      <w:r>
        <w:rPr>
          <w:rFonts w:hint="eastAsia"/>
          <w:color w:val="auto"/>
        </w:rPr>
        <w:t>合法利用，任何单位和个人对历史建筑和历史风貌区的利用活动，都必须在上述规划及相关法规、规范要求的范围内进行。</w:t>
      </w:r>
    </w:p>
    <w:p>
      <w:pPr>
        <w:pStyle w:val="8"/>
        <w:numPr>
          <w:ilvl w:val="0"/>
          <w:numId w:val="4"/>
        </w:numPr>
        <w:ind w:firstLineChars="0"/>
        <w:rPr>
          <w:color w:val="auto"/>
        </w:rPr>
      </w:pPr>
      <w:r>
        <w:rPr>
          <w:rFonts w:hint="eastAsia"/>
          <w:color w:val="auto"/>
        </w:rPr>
        <w:t>高效利用，历史建筑和历史风貌区的利用方式，应当充分彰显其特色价值，充分发挥其经济效益。</w:t>
      </w:r>
    </w:p>
    <w:p>
      <w:pPr>
        <w:pStyle w:val="8"/>
        <w:numPr>
          <w:ilvl w:val="0"/>
          <w:numId w:val="4"/>
        </w:numPr>
        <w:ind w:firstLineChars="0"/>
        <w:rPr>
          <w:color w:val="auto"/>
        </w:rPr>
      </w:pPr>
      <w:r>
        <w:rPr>
          <w:rFonts w:hint="eastAsia"/>
          <w:color w:val="auto"/>
        </w:rPr>
        <w:t>多元利用，历史建筑和历史风貌区的利用方式避免同质化，应根据其所在地段，建筑风貌特色和社会群体使用需求，赋予合适的使用功能。</w:t>
      </w:r>
    </w:p>
    <w:p>
      <w:pPr>
        <w:pStyle w:val="8"/>
        <w:numPr>
          <w:ilvl w:val="0"/>
          <w:numId w:val="4"/>
        </w:numPr>
        <w:ind w:firstLineChars="0"/>
        <w:rPr>
          <w:color w:val="auto"/>
        </w:rPr>
      </w:pPr>
      <w:r>
        <w:rPr>
          <w:rFonts w:hint="eastAsia"/>
          <w:color w:val="auto"/>
        </w:rPr>
        <w:t>开放利用，鼓励历史风貌区和有条件的历史建筑采取定时开放、预约开放、挂牌介绍等多种形式对公众开放，充分发挥其教育、科普和社会价值。</w:t>
      </w:r>
    </w:p>
    <w:p>
      <w:pPr>
        <w:pStyle w:val="4"/>
        <w:rPr>
          <w:color w:val="auto"/>
        </w:rPr>
      </w:pPr>
      <w:r>
        <w:rPr>
          <w:rFonts w:hint="eastAsia"/>
          <w:color w:val="auto"/>
        </w:rPr>
        <w:t>5</w:t>
      </w:r>
      <w:r>
        <w:rPr>
          <w:color w:val="auto"/>
        </w:rPr>
        <w:t xml:space="preserve">.2.8 </w:t>
      </w:r>
      <w:r>
        <w:rPr>
          <w:rFonts w:hint="eastAsia"/>
          <w:color w:val="auto"/>
        </w:rPr>
        <w:t>监测与评估</w:t>
      </w:r>
    </w:p>
    <w:p>
      <w:pPr>
        <w:pStyle w:val="8"/>
        <w:rPr>
          <w:color w:val="auto"/>
        </w:rPr>
      </w:pPr>
      <w:r>
        <w:rPr>
          <w:rFonts w:hint="eastAsia"/>
          <w:color w:val="auto"/>
        </w:rPr>
        <w:t>在后续新的的文物建筑、历史建筑等普查工作中，按照“应保尽保，能保则保”原则查漏补缺，对深圳改革开放相关的建筑进行全覆盖式普查，发掘更多与深圳改革开放历史相关的建筑，挖掘其中的历史要素，将有深圳改革开放相关意义和价值的建筑列入普查名录，全面推动全市现有历史建筑线索的复核和认定。</w:t>
      </w:r>
    </w:p>
    <w:p>
      <w:pPr>
        <w:pStyle w:val="8"/>
        <w:rPr>
          <w:color w:val="auto"/>
        </w:rPr>
      </w:pPr>
    </w:p>
    <w:p>
      <w:pPr>
        <w:pStyle w:val="8"/>
        <w:rPr>
          <w:color w:val="auto"/>
        </w:rPr>
      </w:pPr>
    </w:p>
    <w:p>
      <w:pPr>
        <w:pStyle w:val="8"/>
        <w:rPr>
          <w:color w:val="auto"/>
        </w:rPr>
      </w:pPr>
    </w:p>
    <w:p>
      <w:pPr>
        <w:pStyle w:val="8"/>
        <w:rPr>
          <w:color w:val="auto"/>
        </w:rPr>
      </w:pPr>
    </w:p>
    <w:p>
      <w:pPr>
        <w:rPr>
          <w:color w:val="auto"/>
        </w:rPr>
        <w:sectPr>
          <w:pgSz w:w="23811" w:h="16838" w:orient="landscape"/>
          <w:pgMar w:top="1800" w:right="1440" w:bottom="1800" w:left="1440" w:header="851" w:footer="992" w:gutter="0"/>
          <w:cols w:space="1051" w:num="2"/>
          <w:docGrid w:type="lines" w:linePitch="312" w:charSpace="0"/>
        </w:sectPr>
      </w:pPr>
    </w:p>
    <w:p>
      <w:pPr>
        <w:pStyle w:val="2"/>
        <w:rPr>
          <w:color w:val="auto"/>
        </w:rPr>
      </w:pPr>
      <w:bookmarkStart w:id="201" w:name="_Toc2919"/>
      <w:bookmarkStart w:id="202" w:name="_Toc26984"/>
      <w:bookmarkStart w:id="203" w:name="_Toc30596"/>
      <w:bookmarkStart w:id="204" w:name="_Toc15435"/>
      <w:bookmarkStart w:id="205" w:name="_Toc6568"/>
      <w:bookmarkStart w:id="206" w:name="_Toc615812727"/>
      <w:bookmarkStart w:id="207" w:name="_Toc14633"/>
      <w:bookmarkStart w:id="208" w:name="_Toc114072200"/>
      <w:r>
        <w:rPr>
          <w:rFonts w:hint="eastAsia"/>
          <w:color w:val="auto"/>
        </w:rPr>
        <w:t>第六章 展示利用规划</w:t>
      </w:r>
      <w:bookmarkEnd w:id="201"/>
      <w:bookmarkEnd w:id="202"/>
      <w:bookmarkEnd w:id="203"/>
      <w:bookmarkEnd w:id="204"/>
      <w:bookmarkEnd w:id="205"/>
      <w:bookmarkEnd w:id="206"/>
      <w:bookmarkEnd w:id="207"/>
      <w:bookmarkEnd w:id="208"/>
    </w:p>
    <w:p>
      <w:pPr>
        <w:pStyle w:val="3"/>
        <w:rPr>
          <w:color w:val="auto"/>
        </w:rPr>
      </w:pPr>
      <w:bookmarkStart w:id="209" w:name="_Toc8015"/>
      <w:bookmarkStart w:id="210" w:name="_Toc114072201"/>
      <w:bookmarkStart w:id="211" w:name="_Toc15656"/>
      <w:bookmarkStart w:id="212" w:name="_Toc1240807796"/>
      <w:bookmarkStart w:id="213" w:name="_Toc81838550"/>
      <w:bookmarkStart w:id="214" w:name="_Toc7281"/>
      <w:bookmarkStart w:id="215" w:name="_Toc8792"/>
      <w:bookmarkStart w:id="216" w:name="_Toc27656"/>
      <w:bookmarkStart w:id="217" w:name="_Toc2629"/>
      <w:r>
        <w:rPr>
          <w:color w:val="auto"/>
        </w:rPr>
        <w:t>6.1</w:t>
      </w:r>
      <w:r>
        <w:rPr>
          <w:rFonts w:hint="eastAsia"/>
          <w:color w:val="auto"/>
        </w:rPr>
        <w:t>整体布局</w:t>
      </w:r>
      <w:bookmarkEnd w:id="209"/>
      <w:bookmarkEnd w:id="210"/>
      <w:bookmarkEnd w:id="211"/>
      <w:bookmarkEnd w:id="212"/>
      <w:bookmarkEnd w:id="213"/>
      <w:bookmarkEnd w:id="214"/>
      <w:bookmarkEnd w:id="215"/>
      <w:bookmarkEnd w:id="216"/>
      <w:bookmarkEnd w:id="217"/>
    </w:p>
    <w:p>
      <w:pPr>
        <w:pStyle w:val="4"/>
        <w:rPr>
          <w:color w:val="auto"/>
        </w:rPr>
      </w:pPr>
      <w:r>
        <w:rPr>
          <w:rFonts w:hint="eastAsia"/>
          <w:color w:val="auto"/>
        </w:rPr>
        <w:t>6</w:t>
      </w:r>
      <w:r>
        <w:rPr>
          <w:color w:val="auto"/>
        </w:rPr>
        <w:t>.1.1</w:t>
      </w:r>
      <w:r>
        <w:rPr>
          <w:rFonts w:hint="eastAsia"/>
          <w:color w:val="auto"/>
        </w:rPr>
        <w:t>空间结构</w:t>
      </w:r>
    </w:p>
    <w:p>
      <w:pPr>
        <w:pStyle w:val="8"/>
        <w:rPr>
          <w:color w:val="auto"/>
        </w:rPr>
      </w:pPr>
      <w:r>
        <w:rPr>
          <w:rFonts w:hint="eastAsia"/>
          <w:color w:val="auto"/>
        </w:rPr>
        <w:t>基于深圳市改革开放重要史迹价值内涵、分布特征，将其保护利用总体空间结构确定为“一</w:t>
      </w:r>
      <w:r>
        <w:rPr>
          <w:rFonts w:hint="eastAsia"/>
          <w:b/>
          <w:color w:val="auto"/>
        </w:rPr>
        <w:t>轴、两区、多点</w:t>
      </w:r>
      <w:r>
        <w:rPr>
          <w:rFonts w:hint="eastAsia"/>
          <w:color w:val="auto"/>
        </w:rPr>
        <w:t>”。</w:t>
      </w:r>
    </w:p>
    <w:p>
      <w:pPr>
        <w:pStyle w:val="8"/>
        <w:rPr>
          <w:color w:val="auto"/>
        </w:rPr>
      </w:pPr>
      <w:r>
        <w:rPr>
          <w:rFonts w:hint="eastAsia"/>
          <w:color w:val="auto"/>
        </w:rPr>
        <w:t>一条</w:t>
      </w:r>
      <w:r>
        <w:rPr>
          <w:rFonts w:hint="eastAsia"/>
          <w:b/>
          <w:color w:val="auto"/>
        </w:rPr>
        <w:t>改革创新轴</w:t>
      </w:r>
      <w:r>
        <w:rPr>
          <w:rFonts w:hint="eastAsia"/>
          <w:color w:val="auto"/>
        </w:rPr>
        <w:t>：改革创新轴呈东西向分布，西至前海开发区，东至大鹏新区，是深圳市改革开放敢闯敢试、勇于创新精神传承和延续的主轴线。轴线的中心为莲花山公园</w:t>
      </w:r>
      <w:r>
        <w:rPr>
          <w:rFonts w:hint="eastAsia"/>
          <w:color w:val="auto"/>
          <w:lang w:eastAsia="zh-CN"/>
        </w:rPr>
        <w:t>邓小平铜像</w:t>
      </w:r>
      <w:r>
        <w:rPr>
          <w:rFonts w:hint="eastAsia"/>
          <w:color w:val="auto"/>
        </w:rPr>
        <w:t>，是中国共产党领导核心作用的重要体现。</w:t>
      </w:r>
    </w:p>
    <w:p>
      <w:pPr>
        <w:pStyle w:val="8"/>
        <w:rPr>
          <w:color w:val="auto"/>
        </w:rPr>
      </w:pPr>
      <w:r>
        <w:rPr>
          <w:rFonts w:hint="eastAsia"/>
          <w:color w:val="auto"/>
        </w:rPr>
        <w:t>两个</w:t>
      </w:r>
      <w:r>
        <w:rPr>
          <w:rFonts w:hint="eastAsia"/>
          <w:b/>
          <w:color w:val="auto"/>
        </w:rPr>
        <w:t>改革开放精神主题传承区</w:t>
      </w:r>
      <w:r>
        <w:rPr>
          <w:rFonts w:hint="eastAsia"/>
          <w:color w:val="auto"/>
        </w:rPr>
        <w:t>：分别为“实干兴邦”主题传承区和“深圳速度”主题传承区。前者对应蛇口工业区，是深圳敢闯敢试、实干精神的集中体现；后者主要包括福田、罗湖等深圳经济特区最早建成的城区，以国贸大厦为中心，重在展示深圳改革开放不同阶段快速建设和发展的成果。</w:t>
      </w:r>
    </w:p>
    <w:p>
      <w:pPr>
        <w:pStyle w:val="8"/>
        <w:rPr>
          <w:color w:val="auto"/>
        </w:rPr>
      </w:pPr>
      <w:r>
        <w:rPr>
          <w:rFonts w:hint="eastAsia"/>
          <w:color w:val="auto"/>
        </w:rPr>
        <w:t>多个</w:t>
      </w:r>
      <w:r>
        <w:rPr>
          <w:rFonts w:hint="eastAsia"/>
          <w:b/>
          <w:color w:val="auto"/>
        </w:rPr>
        <w:t>改革开放精神特色传承点</w:t>
      </w:r>
      <w:r>
        <w:rPr>
          <w:rFonts w:hint="eastAsia"/>
          <w:color w:val="auto"/>
        </w:rPr>
        <w:t>：指位于主题传承区之外，代表深圳改革开放不同成就、不同事件和历史瞬间的特色传承载体，广泛分布于多个市区，形成深圳改革开放精神的社区传承中心。</w:t>
      </w:r>
    </w:p>
    <w:p>
      <w:pPr>
        <w:pStyle w:val="4"/>
        <w:rPr>
          <w:color w:val="auto"/>
        </w:rPr>
      </w:pPr>
      <w:r>
        <w:rPr>
          <w:rFonts w:hint="eastAsia"/>
          <w:color w:val="auto"/>
        </w:rPr>
        <w:t>6</w:t>
      </w:r>
      <w:r>
        <w:rPr>
          <w:color w:val="auto"/>
        </w:rPr>
        <w:t>.1.2</w:t>
      </w:r>
      <w:r>
        <w:rPr>
          <w:rFonts w:hint="eastAsia"/>
          <w:color w:val="auto"/>
        </w:rPr>
        <w:t>改革创新轴发展引导</w:t>
      </w:r>
    </w:p>
    <w:p>
      <w:pPr>
        <w:pStyle w:val="8"/>
        <w:rPr>
          <w:color w:val="auto"/>
        </w:rPr>
      </w:pPr>
      <w:r>
        <w:rPr>
          <w:rFonts w:hint="eastAsia"/>
          <w:color w:val="auto"/>
        </w:rPr>
        <w:t>改革创新轴东西向横跨南山、福田、罗湖、盐田和大鹏新区，西起前海石公园，经深圳大学、世界之窗，至莲花山公园</w:t>
      </w:r>
      <w:r>
        <w:rPr>
          <w:rFonts w:hint="eastAsia"/>
          <w:color w:val="auto"/>
          <w:lang w:eastAsia="zh-CN"/>
        </w:rPr>
        <w:t>邓小平铜像</w:t>
      </w:r>
      <w:r>
        <w:rPr>
          <w:rFonts w:hint="eastAsia"/>
          <w:color w:val="auto"/>
        </w:rPr>
        <w:t>，“深圳速度主题传承区”、中英历史博物馆、沙头角保税区，止于大鹏新区袁庚祖居、大亚湾核电站，是一条集中展现的深圳市改革开放精神传承主轴。</w:t>
      </w:r>
    </w:p>
    <w:p>
      <w:pPr>
        <w:pStyle w:val="8"/>
        <w:rPr>
          <w:color w:val="auto"/>
        </w:rPr>
      </w:pPr>
      <w:r>
        <w:rPr>
          <w:rFonts w:hint="eastAsia"/>
          <w:color w:val="auto"/>
        </w:rPr>
        <w:t>改革创新轴串联两个主题传承区、3</w:t>
      </w:r>
      <w:r>
        <w:rPr>
          <w:color w:val="auto"/>
        </w:rPr>
        <w:t>5</w:t>
      </w:r>
      <w:r>
        <w:rPr>
          <w:rFonts w:hint="eastAsia"/>
          <w:color w:val="auto"/>
        </w:rPr>
        <w:t>个特色传承点，与城市主干道深南大道、深盐路、大梅沙隧道惠深沿海高速、及滨海景观带相重合，需要从多个方面进行综合打造：</w:t>
      </w:r>
    </w:p>
    <w:p>
      <w:pPr>
        <w:pStyle w:val="8"/>
        <w:rPr>
          <w:color w:val="auto"/>
        </w:rPr>
      </w:pPr>
      <w:r>
        <w:rPr>
          <w:rFonts w:hint="eastAsia"/>
          <w:color w:val="auto"/>
        </w:rPr>
        <w:t>（</w:t>
      </w:r>
      <w:r>
        <w:rPr>
          <w:color w:val="auto"/>
        </w:rPr>
        <w:t>1</w:t>
      </w:r>
      <w:r>
        <w:rPr>
          <w:rFonts w:hint="eastAsia"/>
          <w:color w:val="auto"/>
        </w:rPr>
        <w:t>）打造高品质的、富有改革开放内涵和特色的城市游览轴线。</w:t>
      </w:r>
    </w:p>
    <w:p>
      <w:pPr>
        <w:pStyle w:val="8"/>
        <w:rPr>
          <w:color w:val="auto"/>
        </w:rPr>
      </w:pPr>
      <w:r>
        <w:rPr>
          <w:rFonts w:hint="eastAsia"/>
          <w:color w:val="auto"/>
        </w:rPr>
        <w:t>（</w:t>
      </w:r>
      <w:r>
        <w:rPr>
          <w:color w:val="auto"/>
        </w:rPr>
        <w:t>2</w:t>
      </w:r>
      <w:r>
        <w:rPr>
          <w:rFonts w:hint="eastAsia"/>
          <w:color w:val="auto"/>
        </w:rPr>
        <w:t>）在主题轴线下，打造两处全国层面的标杆性的改革开放特色片区。</w:t>
      </w:r>
    </w:p>
    <w:p>
      <w:pPr>
        <w:pStyle w:val="8"/>
        <w:rPr>
          <w:color w:val="auto"/>
        </w:rPr>
      </w:pPr>
      <w:r>
        <w:rPr>
          <w:rFonts w:hint="eastAsia"/>
          <w:color w:val="auto"/>
        </w:rPr>
        <w:t>（</w:t>
      </w:r>
      <w:r>
        <w:rPr>
          <w:color w:val="auto"/>
        </w:rPr>
        <w:t>3</w:t>
      </w:r>
      <w:r>
        <w:rPr>
          <w:rFonts w:hint="eastAsia"/>
          <w:color w:val="auto"/>
        </w:rPr>
        <w:t>）打造功能复合、改革开放主题明确的新时代展示利用示范带。</w:t>
      </w:r>
    </w:p>
    <w:p>
      <w:pPr>
        <w:pStyle w:val="8"/>
        <w:rPr>
          <w:color w:val="auto"/>
          <w:highlight w:val="yellow"/>
        </w:rPr>
      </w:pPr>
    </w:p>
    <w:p>
      <w:pPr>
        <w:pStyle w:val="8"/>
        <w:rPr>
          <w:color w:val="auto"/>
        </w:rPr>
      </w:pPr>
      <w:r>
        <w:rPr>
          <w:rFonts w:hint="eastAsia"/>
          <w:color w:val="auto"/>
        </w:rPr>
        <w:t>整体定位：规划南山、福田、罗湖、盐田、大鹏等临海区域的轴线，与深圳国土空间规划相结合，重点展示包括前海湾以及本次蛇口片区的几处史迹点，延伸至“深圳速度”传承区，与盐田的滨海线，与大鹏新区相连接，展示改革开放时期的开放互换的成果，工业、基础设施的发展历程，适当与沿海的景观点如大梅沙、玫瑰海岸等相结合。</w:t>
      </w:r>
    </w:p>
    <w:p>
      <w:pPr>
        <w:pStyle w:val="8"/>
        <w:rPr>
          <w:color w:val="auto"/>
        </w:rPr>
      </w:pPr>
      <w:r>
        <w:rPr>
          <w:rFonts w:hint="eastAsia"/>
          <w:color w:val="auto"/>
        </w:rPr>
        <w:t>传承主题：改革开放的开放、创新。</w:t>
      </w:r>
    </w:p>
    <w:p>
      <w:pPr>
        <w:pStyle w:val="8"/>
        <w:rPr>
          <w:color w:val="auto"/>
        </w:rPr>
      </w:pPr>
      <w:r>
        <w:rPr>
          <w:rFonts w:hint="eastAsia"/>
          <w:color w:val="auto"/>
        </w:rPr>
        <w:t>空间保护整治意向：周边有著名景点的重要史迹可与景点或与由相关联主题的文保单位进行联合规划。对周边空间环境较差的进行相关的规划整治，如鹤薮小学等。其他重要史迹则进行日常维护。</w:t>
      </w:r>
    </w:p>
    <w:p>
      <w:pPr>
        <w:pStyle w:val="8"/>
        <w:rPr>
          <w:color w:val="auto"/>
        </w:rPr>
      </w:pPr>
      <w:r>
        <w:rPr>
          <w:rFonts w:hint="eastAsia"/>
          <w:color w:val="auto"/>
        </w:rPr>
        <w:t>交通调整建议：由于盐田区、大鹏新区的重要史迹周边交通极不发达，因此需要考虑对盐田、大鹏新区进行公交线路规划，地铁线路规划也应纳入考虑范围内。</w:t>
      </w:r>
    </w:p>
    <w:p>
      <w:pPr>
        <w:pStyle w:val="8"/>
        <w:rPr>
          <w:color w:val="auto"/>
        </w:rPr>
      </w:pPr>
      <w:r>
        <w:rPr>
          <w:rFonts w:hint="eastAsia"/>
          <w:color w:val="auto"/>
        </w:rPr>
        <w:t>环境整治建议：在盐田区、大鹏新区区域周边自然景观极好，可观赏性、停留性极高。对周边环境进行严格保护，将重要史迹结合周边环境进行整治规划。丰富展览路线内容。</w:t>
      </w:r>
    </w:p>
    <w:p>
      <w:pPr>
        <w:pStyle w:val="4"/>
        <w:rPr>
          <w:color w:val="auto"/>
        </w:rPr>
      </w:pPr>
      <w:r>
        <w:rPr>
          <w:rFonts w:hint="eastAsia"/>
          <w:color w:val="auto"/>
        </w:rPr>
        <w:t>6</w:t>
      </w:r>
      <w:r>
        <w:rPr>
          <w:color w:val="auto"/>
        </w:rPr>
        <w:t>.1.3</w:t>
      </w:r>
      <w:r>
        <w:rPr>
          <w:rFonts w:hint="eastAsia"/>
          <w:color w:val="auto"/>
        </w:rPr>
        <w:t>主题传承区发展引导</w:t>
      </w:r>
    </w:p>
    <w:p>
      <w:pPr>
        <w:pStyle w:val="8"/>
        <w:ind w:firstLine="482"/>
        <w:rPr>
          <w:b/>
          <w:color w:val="auto"/>
        </w:rPr>
      </w:pPr>
      <w:r>
        <w:rPr>
          <w:rFonts w:hint="eastAsia"/>
          <w:b/>
          <w:color w:val="auto"/>
        </w:rPr>
        <w:t>（1）“实干兴邦”主题传承区</w:t>
      </w:r>
    </w:p>
    <w:p>
      <w:pPr>
        <w:pStyle w:val="8"/>
        <w:rPr>
          <w:color w:val="auto"/>
        </w:rPr>
      </w:pPr>
      <w:r>
        <w:rPr>
          <w:rFonts w:hint="eastAsia"/>
          <w:color w:val="auto"/>
        </w:rPr>
        <w:t>“实干兴邦”主题传承区位于南山区，主要包括广东浮法玻璃厂、大成面粉厂、“空谈误国、实干兴邦”标语牌、南海酒店、三洋厂房（南海意库）、明华轮、袁庚像、微波山时间广场8个重要史迹，该片区与深圳改革开放早期蛇口工业区相重合，是集中展现深圳改革开放以来工业发展、经济发展、社会发展的主题传承片区。</w:t>
      </w:r>
    </w:p>
    <w:p>
      <w:pPr>
        <w:pStyle w:val="8"/>
        <w:rPr>
          <w:color w:val="auto"/>
        </w:rPr>
      </w:pPr>
      <w:r>
        <w:rPr>
          <w:rFonts w:hint="eastAsia"/>
          <w:color w:val="auto"/>
        </w:rPr>
        <w:t>该片区的发展引导措施涉及以下几个方面：</w:t>
      </w:r>
    </w:p>
    <w:p>
      <w:pPr>
        <w:pStyle w:val="8"/>
        <w:rPr>
          <w:color w:val="auto"/>
        </w:rPr>
      </w:pPr>
      <w:r>
        <w:rPr>
          <w:rFonts w:hint="eastAsia"/>
          <w:color w:val="auto"/>
        </w:rPr>
        <w:t>（1）重大历史事件推动。由政府负责，对重要史迹点进行修缮，提高史迹点价值。</w:t>
      </w:r>
    </w:p>
    <w:p>
      <w:pPr>
        <w:pStyle w:val="8"/>
        <w:rPr>
          <w:color w:val="auto"/>
        </w:rPr>
      </w:pPr>
      <w:r>
        <w:rPr>
          <w:rFonts w:hint="eastAsia"/>
          <w:color w:val="auto"/>
        </w:rPr>
        <w:t>（2）整体开发。利用区域的特色史迹点以点带面的进行开发、开放、运营。</w:t>
      </w:r>
    </w:p>
    <w:p>
      <w:pPr>
        <w:pStyle w:val="8"/>
        <w:rPr>
          <w:color w:val="auto"/>
        </w:rPr>
      </w:pPr>
      <w:r>
        <w:rPr>
          <w:rFonts w:hint="eastAsia"/>
          <w:color w:val="auto"/>
        </w:rPr>
        <w:t>（3）增强公共属性。增强史迹点的“社会责任”，在原有功能基础上增强新的功能，为史迹点带来促进作用。具有更强的公共性，增强史迹点的社会影响力。</w:t>
      </w:r>
    </w:p>
    <w:p>
      <w:pPr>
        <w:pStyle w:val="8"/>
        <w:rPr>
          <w:color w:val="auto"/>
        </w:rPr>
      </w:pPr>
    </w:p>
    <w:p>
      <w:pPr>
        <w:pStyle w:val="8"/>
        <w:rPr>
          <w:color w:val="auto"/>
        </w:rPr>
      </w:pPr>
      <w:r>
        <w:rPr>
          <w:rFonts w:hint="eastAsia"/>
          <w:color w:val="auto"/>
        </w:rPr>
        <w:t>发展定位：展现深圳早期工业改革开放的历程和相关基础设施的建设成果。</w:t>
      </w:r>
    </w:p>
    <w:p>
      <w:pPr>
        <w:pStyle w:val="8"/>
        <w:rPr>
          <w:color w:val="auto"/>
        </w:rPr>
      </w:pPr>
      <w:r>
        <w:rPr>
          <w:rFonts w:hint="eastAsia"/>
          <w:color w:val="auto"/>
        </w:rPr>
        <w:t>传承主题：“空谈误国、实干兴邦”</w:t>
      </w:r>
    </w:p>
    <w:p>
      <w:pPr>
        <w:pStyle w:val="8"/>
        <w:rPr>
          <w:color w:val="auto"/>
        </w:rPr>
      </w:pPr>
      <w:r>
        <w:rPr>
          <w:rFonts w:hint="eastAsia"/>
          <w:color w:val="auto"/>
        </w:rPr>
        <w:t>空间保护整治意向：传承区的</w:t>
      </w:r>
      <w:r>
        <w:rPr>
          <w:color w:val="auto"/>
        </w:rPr>
        <w:t>8</w:t>
      </w:r>
      <w:r>
        <w:rPr>
          <w:rFonts w:hint="eastAsia"/>
          <w:color w:val="auto"/>
        </w:rPr>
        <w:t>处史迹点可进行不同主题的分类空间整体规划。如大成面粉厂与玻璃厂进行联合工业化展示，可展示改革开放早期蛇口工业的发展历程、精神象征等。海上世界组团联合展示表现改革开放时期的各类基础设施建设展示等。</w:t>
      </w:r>
    </w:p>
    <w:p>
      <w:pPr>
        <w:pStyle w:val="8"/>
        <w:rPr>
          <w:color w:val="auto"/>
        </w:rPr>
      </w:pPr>
      <w:r>
        <w:rPr>
          <w:rFonts w:hint="eastAsia"/>
          <w:color w:val="auto"/>
        </w:rPr>
        <w:t>交通调整建议：区域内的地铁和公交线路都极为发达。可在区域内细微调整相关线路，形成重要史迹的交通直达联系。</w:t>
      </w:r>
    </w:p>
    <w:p>
      <w:pPr>
        <w:pStyle w:val="8"/>
        <w:rPr>
          <w:color w:val="auto"/>
        </w:rPr>
      </w:pPr>
      <w:r>
        <w:rPr>
          <w:rFonts w:hint="eastAsia"/>
          <w:color w:val="auto"/>
        </w:rPr>
        <w:t>环境整治：海上世界区域的环境良好，只需进行日常维护，大成面粉厂以及标语牌等附近环境需要结合城市规划进行相关整治。</w:t>
      </w:r>
    </w:p>
    <w:p>
      <w:pPr>
        <w:pStyle w:val="8"/>
        <w:ind w:firstLine="482"/>
        <w:rPr>
          <w:b/>
          <w:color w:val="auto"/>
        </w:rPr>
      </w:pPr>
      <w:r>
        <w:rPr>
          <w:rFonts w:hint="eastAsia"/>
          <w:b/>
          <w:color w:val="auto"/>
        </w:rPr>
        <w:t>（2）“深圳速度”主题传承区</w:t>
      </w:r>
    </w:p>
    <w:p>
      <w:pPr>
        <w:pStyle w:val="8"/>
        <w:rPr>
          <w:color w:val="auto"/>
        </w:rPr>
      </w:pPr>
      <w:r>
        <w:rPr>
          <w:rFonts w:hint="eastAsia"/>
          <w:color w:val="auto"/>
        </w:rPr>
        <w:t>“深圳速度”主题传承区位于福田区和罗湖区，主要包括上海宾馆、电子大厦、深圳科学馆旧馆、深圳博物馆旧馆、深圳图书馆旧馆、孺子牛雕像、深圳新闻大厦、深圳证券交易所（老楼）、地王大厦、深圳渔民村、深圳迎宾馆、深圳火车站、深圳罗湖口岸联检大楼共</w:t>
      </w:r>
      <w:r>
        <w:rPr>
          <w:color w:val="auto"/>
        </w:rPr>
        <w:t>14</w:t>
      </w:r>
      <w:r>
        <w:rPr>
          <w:rFonts w:hint="eastAsia"/>
          <w:color w:val="auto"/>
        </w:rPr>
        <w:t>个重要史迹，该片区是集中展现深圳改革开放中国建设发展，时代快速发展，中国特色社会主义现代化建设发展的主题传承片区。</w:t>
      </w:r>
    </w:p>
    <w:p>
      <w:pPr>
        <w:pStyle w:val="8"/>
        <w:rPr>
          <w:color w:val="auto"/>
        </w:rPr>
      </w:pPr>
      <w:r>
        <w:rPr>
          <w:rFonts w:hint="eastAsia"/>
          <w:color w:val="auto"/>
        </w:rPr>
        <w:t>该片区的发展引导措施涉及以下几个方面：</w:t>
      </w:r>
    </w:p>
    <w:p>
      <w:pPr>
        <w:pStyle w:val="8"/>
        <w:rPr>
          <w:color w:val="auto"/>
        </w:rPr>
      </w:pPr>
      <w:r>
        <w:rPr>
          <w:rFonts w:hint="eastAsia"/>
          <w:color w:val="auto"/>
        </w:rPr>
        <w:t>（1）游览廊道打造。片区内史迹点密集，主要交通路线明晰，沿主要城市道路打造游览廊道。</w:t>
      </w:r>
    </w:p>
    <w:p>
      <w:pPr>
        <w:pStyle w:val="8"/>
        <w:rPr>
          <w:color w:val="auto"/>
        </w:rPr>
      </w:pPr>
      <w:r>
        <w:rPr>
          <w:rFonts w:hint="eastAsia"/>
          <w:color w:val="auto"/>
        </w:rPr>
        <w:t>（2）公共展示空间增加。增加片区内户内外的展示空间，增设标语牌或展示牌，展示“深圳速度”。</w:t>
      </w:r>
    </w:p>
    <w:p>
      <w:pPr>
        <w:pStyle w:val="8"/>
        <w:rPr>
          <w:color w:val="auto"/>
        </w:rPr>
      </w:pPr>
      <w:r>
        <w:rPr>
          <w:rFonts w:hint="eastAsia"/>
          <w:color w:val="auto"/>
        </w:rPr>
        <w:t>（3）展示节点设计。在片区内设置2—3处展示休憩节点，成为小型口袋公园或市民广场，展示改革开放史迹的相关内容。</w:t>
      </w:r>
    </w:p>
    <w:p>
      <w:pPr>
        <w:pStyle w:val="8"/>
        <w:rPr>
          <w:color w:val="auto"/>
        </w:rPr>
      </w:pPr>
    </w:p>
    <w:p>
      <w:pPr>
        <w:pStyle w:val="8"/>
        <w:rPr>
          <w:color w:val="auto"/>
        </w:rPr>
      </w:pPr>
      <w:r>
        <w:rPr>
          <w:rFonts w:hint="eastAsia"/>
          <w:color w:val="auto"/>
        </w:rPr>
        <w:t>发展定位：表现改革开放时期各类基础设施、公共建筑的建造速度，体现改革开放时期的工程建造速度。</w:t>
      </w:r>
    </w:p>
    <w:p>
      <w:pPr>
        <w:pStyle w:val="8"/>
        <w:rPr>
          <w:color w:val="auto"/>
        </w:rPr>
      </w:pPr>
      <w:r>
        <w:rPr>
          <w:rFonts w:hint="eastAsia"/>
          <w:color w:val="auto"/>
        </w:rPr>
        <w:t>传承主题：“深圳速度”</w:t>
      </w:r>
    </w:p>
    <w:p>
      <w:pPr>
        <w:pStyle w:val="8"/>
        <w:rPr>
          <w:color w:val="auto"/>
        </w:rPr>
      </w:pPr>
      <w:r>
        <w:rPr>
          <w:rFonts w:hint="eastAsia"/>
          <w:color w:val="auto"/>
        </w:rPr>
        <w:t>空间保护整治意向：片区内的史迹点以商业办公大厦和各类博物馆、宾馆等为主，重点体现了深圳速度和改革开放创业时期的基础设施、文化设施的建设。史迹点沿深南大道展开。区域内整体空间环境都较好，但建筑密集，重要史迹周边可停留的户外场地较少，可结合相关规划进行空间扩展。</w:t>
      </w:r>
    </w:p>
    <w:p>
      <w:pPr>
        <w:pStyle w:val="8"/>
        <w:rPr>
          <w:color w:val="auto"/>
        </w:rPr>
      </w:pPr>
      <w:r>
        <w:rPr>
          <w:rFonts w:hint="eastAsia"/>
          <w:color w:val="auto"/>
        </w:rPr>
        <w:t>交通调整建议：区域内的交通网极为发达。区域内部的交通网无需进行调整。可结合区域与其他重要史迹的交通关系进行相关展览线路的调整或增加。</w:t>
      </w:r>
    </w:p>
    <w:p>
      <w:pPr>
        <w:pStyle w:val="8"/>
        <w:rPr>
          <w:color w:val="auto"/>
        </w:rPr>
      </w:pPr>
      <w:r>
        <w:rPr>
          <w:rFonts w:hint="eastAsia"/>
          <w:color w:val="auto"/>
        </w:rPr>
        <w:t>环境整治：“深圳速度”发展核周边环境都较好，只需进行日常的城市环境维护即可。</w:t>
      </w:r>
    </w:p>
    <w:p>
      <w:pPr>
        <w:pStyle w:val="4"/>
        <w:rPr>
          <w:color w:val="auto"/>
        </w:rPr>
      </w:pPr>
      <w:r>
        <w:rPr>
          <w:rFonts w:hint="eastAsia"/>
          <w:color w:val="auto"/>
        </w:rPr>
        <w:t>6</w:t>
      </w:r>
      <w:r>
        <w:rPr>
          <w:color w:val="auto"/>
        </w:rPr>
        <w:t>.1.4</w:t>
      </w:r>
      <w:r>
        <w:rPr>
          <w:rFonts w:hint="eastAsia"/>
          <w:color w:val="auto"/>
        </w:rPr>
        <w:t>特色传承点发展引导</w:t>
      </w:r>
    </w:p>
    <w:p>
      <w:pPr>
        <w:pStyle w:val="8"/>
        <w:rPr>
          <w:color w:val="auto"/>
        </w:rPr>
      </w:pPr>
      <w:r>
        <w:rPr>
          <w:rFonts w:hint="eastAsia"/>
          <w:color w:val="auto"/>
        </w:rPr>
        <w:t>基于重要史迹价值主题及分布情况，拟重点打造9个特色传承点，分别为大芬油画村、</w:t>
      </w:r>
      <w:r>
        <w:rPr>
          <w:rFonts w:hint="default"/>
          <w:color w:val="auto"/>
          <w:lang w:val="en"/>
        </w:rPr>
        <w:t>邓小平铜像</w:t>
      </w:r>
      <w:r>
        <w:rPr>
          <w:rFonts w:hint="eastAsia"/>
          <w:color w:val="auto"/>
        </w:rPr>
        <w:t>、锦绣中华民俗村、前海石公园、深圳大学、二线关同乐检查站、沙头角保税区、袁庚祖居、艺象I</w:t>
      </w:r>
      <w:r>
        <w:rPr>
          <w:color w:val="auto"/>
        </w:rPr>
        <w:t>D TOWN</w:t>
      </w:r>
      <w:r>
        <w:rPr>
          <w:rFonts w:hint="eastAsia"/>
          <w:color w:val="auto"/>
        </w:rPr>
        <w:t>（原鸿华印染厂）。各个特色传承点的展示定位及主要发展措施见表6</w:t>
      </w:r>
      <w:r>
        <w:rPr>
          <w:color w:val="auto"/>
        </w:rPr>
        <w:t>-1</w:t>
      </w:r>
      <w:r>
        <w:rPr>
          <w:rFonts w:hint="eastAsia"/>
          <w:color w:val="auto"/>
        </w:rPr>
        <w:t>。</w:t>
      </w:r>
    </w:p>
    <w:p>
      <w:pPr>
        <w:pStyle w:val="33"/>
        <w:rPr>
          <w:color w:val="auto"/>
        </w:rPr>
      </w:pPr>
      <w:r>
        <w:rPr>
          <w:rFonts w:hint="eastAsia"/>
          <w:color w:val="auto"/>
        </w:rPr>
        <w:t>表6-</w:t>
      </w:r>
      <w:r>
        <w:rPr>
          <w:color w:val="auto"/>
        </w:rPr>
        <w:t xml:space="preserve">1 </w:t>
      </w:r>
      <w:r>
        <w:rPr>
          <w:rFonts w:hint="eastAsia"/>
          <w:color w:val="auto"/>
        </w:rPr>
        <w:t>特色传承点发展规划表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919"/>
        <w:gridCol w:w="2835"/>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shd w:val="clear" w:color="auto" w:fill="E7E6E6" w:themeFill="background2"/>
            <w:vAlign w:val="center"/>
          </w:tcPr>
          <w:p>
            <w:pPr>
              <w:jc w:val="center"/>
              <w:rPr>
                <w:rFonts w:ascii="宋体" w:hAnsi="宋体" w:eastAsia="宋体"/>
                <w:b/>
                <w:color w:val="auto"/>
                <w:szCs w:val="21"/>
              </w:rPr>
            </w:pPr>
            <w:r>
              <w:rPr>
                <w:rFonts w:hint="eastAsia" w:ascii="宋体" w:hAnsi="宋体" w:eastAsia="宋体"/>
                <w:b/>
                <w:color w:val="auto"/>
                <w:szCs w:val="21"/>
              </w:rPr>
              <w:t>所处市区</w:t>
            </w:r>
          </w:p>
        </w:tc>
        <w:tc>
          <w:tcPr>
            <w:tcW w:w="1919" w:type="dxa"/>
            <w:shd w:val="clear" w:color="auto" w:fill="E7E6E6" w:themeFill="background2"/>
            <w:vAlign w:val="center"/>
          </w:tcPr>
          <w:p>
            <w:pPr>
              <w:jc w:val="center"/>
              <w:rPr>
                <w:rFonts w:ascii="宋体" w:hAnsi="宋体" w:eastAsia="宋体"/>
                <w:b/>
                <w:color w:val="auto"/>
                <w:szCs w:val="21"/>
              </w:rPr>
            </w:pPr>
            <w:r>
              <w:rPr>
                <w:rFonts w:hint="eastAsia" w:ascii="宋体" w:hAnsi="宋体" w:eastAsia="宋体"/>
                <w:b/>
                <w:color w:val="auto"/>
                <w:szCs w:val="21"/>
              </w:rPr>
              <w:t>特色传承点名称</w:t>
            </w:r>
          </w:p>
        </w:tc>
        <w:tc>
          <w:tcPr>
            <w:tcW w:w="2835" w:type="dxa"/>
            <w:shd w:val="clear" w:color="auto" w:fill="E7E6E6" w:themeFill="background2"/>
            <w:vAlign w:val="center"/>
          </w:tcPr>
          <w:p>
            <w:pPr>
              <w:jc w:val="center"/>
              <w:rPr>
                <w:rFonts w:ascii="宋体" w:hAnsi="宋体" w:eastAsia="宋体"/>
                <w:b/>
                <w:color w:val="auto"/>
                <w:szCs w:val="21"/>
              </w:rPr>
            </w:pPr>
            <w:r>
              <w:rPr>
                <w:rFonts w:hint="eastAsia" w:ascii="宋体" w:hAnsi="宋体" w:eastAsia="宋体"/>
                <w:b/>
                <w:color w:val="auto"/>
                <w:szCs w:val="21"/>
              </w:rPr>
              <w:t>展示定位</w:t>
            </w:r>
          </w:p>
        </w:tc>
        <w:tc>
          <w:tcPr>
            <w:tcW w:w="3969" w:type="dxa"/>
            <w:shd w:val="clear" w:color="auto" w:fill="E7E6E6" w:themeFill="background2"/>
            <w:vAlign w:val="center"/>
          </w:tcPr>
          <w:p>
            <w:pPr>
              <w:jc w:val="center"/>
              <w:rPr>
                <w:rFonts w:ascii="宋体" w:hAnsi="宋体" w:eastAsia="宋体"/>
                <w:b/>
                <w:color w:val="auto"/>
                <w:szCs w:val="21"/>
              </w:rPr>
            </w:pPr>
            <w:r>
              <w:rPr>
                <w:rFonts w:hint="eastAsia" w:ascii="宋体" w:hAnsi="宋体" w:eastAsia="宋体"/>
                <w:b/>
                <w:color w:val="auto"/>
                <w:szCs w:val="21"/>
              </w:rPr>
              <w:t>发展引导措施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shd w:val="clear" w:color="auto" w:fill="auto"/>
            <w:vAlign w:val="center"/>
          </w:tcPr>
          <w:p>
            <w:pPr>
              <w:rPr>
                <w:rFonts w:ascii="宋体" w:hAnsi="宋体" w:eastAsia="宋体"/>
                <w:b/>
                <w:color w:val="auto"/>
                <w:szCs w:val="21"/>
              </w:rPr>
            </w:pPr>
            <w:r>
              <w:rPr>
                <w:rFonts w:hint="eastAsia" w:ascii="宋体" w:hAnsi="宋体" w:eastAsia="宋体"/>
                <w:b/>
                <w:color w:val="auto"/>
                <w:szCs w:val="21"/>
              </w:rPr>
              <w:t>龙岗区</w:t>
            </w:r>
          </w:p>
        </w:tc>
        <w:tc>
          <w:tcPr>
            <w:tcW w:w="1919"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大芬油画村</w:t>
            </w:r>
          </w:p>
        </w:tc>
        <w:tc>
          <w:tcPr>
            <w:tcW w:w="2835" w:type="dxa"/>
            <w:shd w:val="clear" w:color="auto" w:fill="auto"/>
            <w:vAlign w:val="center"/>
          </w:tcPr>
          <w:p>
            <w:pPr>
              <w:rPr>
                <w:rFonts w:ascii="宋体" w:hAnsi="宋体" w:eastAsia="宋体"/>
                <w:b/>
                <w:color w:val="auto"/>
                <w:szCs w:val="21"/>
              </w:rPr>
            </w:pPr>
            <w:r>
              <w:rPr>
                <w:rFonts w:hint="eastAsia" w:ascii="宋体" w:hAnsi="宋体" w:eastAsia="宋体"/>
                <w:color w:val="auto"/>
                <w:szCs w:val="21"/>
              </w:rPr>
              <w:t>联合展示社区改革开放的不同发展类型、发展方向和发展成果。体现深圳村落类的改革开放成果。</w:t>
            </w:r>
          </w:p>
        </w:tc>
        <w:tc>
          <w:tcPr>
            <w:tcW w:w="3969"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交通：周边交通较好，可通过公交线直达。地铁线不经过。可与“深圳速度”主题区进行公交线路的联合规划。</w:t>
            </w:r>
          </w:p>
          <w:p>
            <w:pPr>
              <w:rPr>
                <w:rFonts w:ascii="宋体" w:hAnsi="宋体" w:eastAsia="宋体"/>
                <w:b/>
                <w:color w:val="auto"/>
                <w:szCs w:val="21"/>
              </w:rPr>
            </w:pPr>
            <w:r>
              <w:rPr>
                <w:rFonts w:hint="eastAsia" w:ascii="宋体" w:hAnsi="宋体" w:eastAsia="宋体"/>
                <w:color w:val="auto"/>
                <w:szCs w:val="21"/>
              </w:rPr>
              <w:t>展示：可在村内进行不同改革开放阶段的成果展示，开辟主题专区。与村内的商业区进行结合规划。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shd w:val="clear" w:color="auto" w:fill="auto"/>
            <w:vAlign w:val="center"/>
          </w:tcPr>
          <w:p>
            <w:pPr>
              <w:rPr>
                <w:rFonts w:ascii="宋体" w:hAnsi="宋体" w:eastAsia="宋体"/>
                <w:b/>
                <w:color w:val="auto"/>
                <w:szCs w:val="21"/>
              </w:rPr>
            </w:pPr>
            <w:r>
              <w:rPr>
                <w:rFonts w:hint="eastAsia" w:ascii="宋体" w:hAnsi="宋体" w:eastAsia="宋体"/>
                <w:b/>
                <w:color w:val="auto"/>
                <w:szCs w:val="21"/>
              </w:rPr>
              <w:t>福田区</w:t>
            </w:r>
          </w:p>
        </w:tc>
        <w:tc>
          <w:tcPr>
            <w:tcW w:w="1919" w:type="dxa"/>
            <w:shd w:val="clear" w:color="auto" w:fill="auto"/>
            <w:vAlign w:val="center"/>
          </w:tcPr>
          <w:p>
            <w:pPr>
              <w:rPr>
                <w:rFonts w:hint="default" w:ascii="宋体" w:hAnsi="宋体" w:eastAsia="宋体"/>
                <w:color w:val="auto"/>
                <w:szCs w:val="21"/>
                <w:lang w:val="en"/>
              </w:rPr>
            </w:pPr>
            <w:r>
              <w:rPr>
                <w:rFonts w:hint="default" w:ascii="宋体" w:hAnsi="宋体" w:eastAsia="宋体"/>
                <w:color w:val="auto"/>
                <w:szCs w:val="21"/>
                <w:lang w:val="en"/>
              </w:rPr>
              <w:t>邓小平铜像</w:t>
            </w:r>
          </w:p>
        </w:tc>
        <w:tc>
          <w:tcPr>
            <w:tcW w:w="2835" w:type="dxa"/>
            <w:shd w:val="clear" w:color="auto" w:fill="auto"/>
            <w:vAlign w:val="center"/>
          </w:tcPr>
          <w:p>
            <w:pPr>
              <w:rPr>
                <w:rFonts w:ascii="宋体" w:hAnsi="宋体" w:eastAsia="宋体"/>
                <w:b/>
                <w:color w:val="auto"/>
                <w:szCs w:val="21"/>
              </w:rPr>
            </w:pPr>
            <w:r>
              <w:rPr>
                <w:rFonts w:hint="eastAsia" w:ascii="宋体" w:hAnsi="宋体" w:eastAsia="宋体"/>
                <w:color w:val="auto"/>
                <w:szCs w:val="21"/>
              </w:rPr>
              <w:t>是整体规划的核心部分，是改革开放的精神重要象征</w:t>
            </w:r>
          </w:p>
        </w:tc>
        <w:tc>
          <w:tcPr>
            <w:tcW w:w="3969"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与公园的相关展示结合，可在周边设施展览廊道等，记录邓小平先生对改革开放的各类指导和讲话等。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vMerge w:val="restart"/>
            <w:shd w:val="clear" w:color="auto" w:fill="auto"/>
            <w:vAlign w:val="center"/>
          </w:tcPr>
          <w:p>
            <w:pPr>
              <w:rPr>
                <w:rFonts w:ascii="宋体" w:hAnsi="宋体" w:eastAsia="宋体"/>
                <w:b/>
                <w:color w:val="auto"/>
                <w:szCs w:val="21"/>
              </w:rPr>
            </w:pPr>
            <w:r>
              <w:rPr>
                <w:rFonts w:hint="eastAsia" w:ascii="宋体" w:hAnsi="宋体" w:eastAsia="宋体"/>
                <w:b/>
                <w:color w:val="auto"/>
                <w:szCs w:val="21"/>
              </w:rPr>
              <w:t>南山区</w:t>
            </w:r>
          </w:p>
        </w:tc>
        <w:tc>
          <w:tcPr>
            <w:tcW w:w="1919"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锦绣中华民俗村（华侨城）</w:t>
            </w:r>
          </w:p>
        </w:tc>
        <w:tc>
          <w:tcPr>
            <w:tcW w:w="2835"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为改革开放时期的国人打开了一扇看中国、世界的窗口。</w:t>
            </w:r>
          </w:p>
        </w:tc>
        <w:tc>
          <w:tcPr>
            <w:tcW w:w="3969"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与华侨城自身的展示规划相结合，可单独设置改革开放展示专区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vMerge w:val="continue"/>
            <w:shd w:val="clear" w:color="auto" w:fill="auto"/>
            <w:vAlign w:val="center"/>
          </w:tcPr>
          <w:p>
            <w:pPr>
              <w:rPr>
                <w:rFonts w:ascii="宋体" w:hAnsi="宋体" w:eastAsia="宋体"/>
                <w:b/>
                <w:color w:val="auto"/>
                <w:szCs w:val="21"/>
              </w:rPr>
            </w:pPr>
          </w:p>
        </w:tc>
        <w:tc>
          <w:tcPr>
            <w:tcW w:w="1919"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前海石公园</w:t>
            </w:r>
          </w:p>
        </w:tc>
        <w:tc>
          <w:tcPr>
            <w:tcW w:w="2835"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是“前海精神”的重要象征和展示平台</w:t>
            </w:r>
          </w:p>
        </w:tc>
        <w:tc>
          <w:tcPr>
            <w:tcW w:w="3969"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可在周边设置展览廊道。其中展示重要人物雕像、改革开放历史进程等，记录前海精神以及习近平总书记关于前海发表的讲话等。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vMerge w:val="continue"/>
            <w:shd w:val="clear" w:color="auto" w:fill="auto"/>
            <w:vAlign w:val="center"/>
          </w:tcPr>
          <w:p>
            <w:pPr>
              <w:rPr>
                <w:rFonts w:ascii="宋体" w:hAnsi="宋体" w:eastAsia="宋体"/>
                <w:b/>
                <w:color w:val="auto"/>
                <w:szCs w:val="21"/>
              </w:rPr>
            </w:pPr>
          </w:p>
        </w:tc>
        <w:tc>
          <w:tcPr>
            <w:tcW w:w="1919"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深圳大学</w:t>
            </w:r>
          </w:p>
        </w:tc>
        <w:tc>
          <w:tcPr>
            <w:tcW w:w="2835"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表现改革开放前后深圳文化教育的变化</w:t>
            </w:r>
          </w:p>
        </w:tc>
        <w:tc>
          <w:tcPr>
            <w:tcW w:w="3969"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一是开放布置主题展览厅，对改革开放前后南头中学的相关改革和变化进行详细说明和介绍，对改革开放具体过程中的相关重要人物进行介绍。二是在馆内布置相关的书籍等，可以让参观者更好的了解相关历史。可与学校的教育宣传相结合，或进行特色的主题竞赛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vMerge w:val="continue"/>
            <w:shd w:val="clear" w:color="auto" w:fill="auto"/>
            <w:vAlign w:val="center"/>
          </w:tcPr>
          <w:p>
            <w:pPr>
              <w:rPr>
                <w:rFonts w:ascii="宋体" w:hAnsi="宋体" w:eastAsia="宋体"/>
                <w:b/>
                <w:color w:val="auto"/>
                <w:szCs w:val="21"/>
              </w:rPr>
            </w:pPr>
          </w:p>
        </w:tc>
        <w:tc>
          <w:tcPr>
            <w:tcW w:w="1919"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二线关同乐检查站</w:t>
            </w:r>
          </w:p>
        </w:tc>
        <w:tc>
          <w:tcPr>
            <w:tcW w:w="2835"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表现深圳改革开放历程中关内外特区设置的发展历程</w:t>
            </w:r>
          </w:p>
        </w:tc>
        <w:tc>
          <w:tcPr>
            <w:tcW w:w="3969"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将检查站改造为博物馆，重点展示深圳特区设立前后深圳经历的相关变化。可以设置实际体验区体验当年深圳人民进出关内外的流程，在博物馆进行以改革开放为主题的相关展示。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shd w:val="clear" w:color="auto" w:fill="auto"/>
            <w:vAlign w:val="center"/>
          </w:tcPr>
          <w:p>
            <w:pPr>
              <w:rPr>
                <w:rFonts w:ascii="宋体" w:hAnsi="宋体" w:eastAsia="宋体"/>
                <w:b/>
                <w:color w:val="auto"/>
                <w:szCs w:val="21"/>
              </w:rPr>
            </w:pPr>
            <w:r>
              <w:rPr>
                <w:rFonts w:hint="eastAsia" w:ascii="宋体" w:hAnsi="宋体" w:eastAsia="宋体"/>
                <w:b/>
                <w:color w:val="auto"/>
                <w:szCs w:val="21"/>
              </w:rPr>
              <w:t>盐田区</w:t>
            </w:r>
          </w:p>
        </w:tc>
        <w:tc>
          <w:tcPr>
            <w:tcW w:w="1919"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沙头角保税区</w:t>
            </w:r>
          </w:p>
        </w:tc>
        <w:tc>
          <w:tcPr>
            <w:tcW w:w="2835"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改革开放发展与香港之间的联系，改革开放时期的“前店后厂”模式</w:t>
            </w:r>
          </w:p>
        </w:tc>
        <w:tc>
          <w:tcPr>
            <w:tcW w:w="3969"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保税区和其他史迹点在允许通行的范围内进行路线设计和展示，选择最佳观赏点，在此处设立明显的停留广场或廊道，并在此处进行改革开放过程中的历史详细介绍。</w:t>
            </w:r>
          </w:p>
          <w:p>
            <w:pPr>
              <w:rPr>
                <w:rFonts w:ascii="宋体" w:hAnsi="宋体" w:eastAsia="宋体"/>
                <w:color w:val="auto"/>
                <w:szCs w:val="21"/>
              </w:rPr>
            </w:pPr>
            <w:r>
              <w:rPr>
                <w:rFonts w:hint="eastAsia" w:ascii="宋体" w:hAnsi="宋体" w:eastAsia="宋体"/>
                <w:color w:val="auto"/>
                <w:szCs w:val="21"/>
              </w:rPr>
              <w:t>在史迹点建筑内部设置明显的参观展示区域，进行相关的影像照片介绍。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vMerge w:val="restart"/>
            <w:shd w:val="clear" w:color="auto" w:fill="auto"/>
            <w:vAlign w:val="center"/>
          </w:tcPr>
          <w:p>
            <w:pPr>
              <w:rPr>
                <w:rFonts w:ascii="宋体" w:hAnsi="宋体" w:eastAsia="宋体"/>
                <w:b/>
                <w:color w:val="auto"/>
                <w:szCs w:val="21"/>
              </w:rPr>
            </w:pPr>
            <w:r>
              <w:rPr>
                <w:rFonts w:hint="eastAsia" w:ascii="宋体" w:hAnsi="宋体" w:eastAsia="宋体"/>
                <w:b/>
                <w:color w:val="auto"/>
                <w:szCs w:val="21"/>
              </w:rPr>
              <w:t>大鹏新区</w:t>
            </w:r>
          </w:p>
        </w:tc>
        <w:tc>
          <w:tcPr>
            <w:tcW w:w="1919"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袁庚祖居</w:t>
            </w:r>
          </w:p>
        </w:tc>
        <w:tc>
          <w:tcPr>
            <w:tcW w:w="2835"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表现改革开放重要人物袁庚先生在改革开放过程中的杰出贡献</w:t>
            </w:r>
          </w:p>
        </w:tc>
        <w:tc>
          <w:tcPr>
            <w:tcW w:w="3969"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一是将袁庚祖居作为改革开放或爱国的教育基地，在其中布置相关的教育展板等进行展示；二是名人故居地方的核心是精神内涵的表达。因此，丰富故居的解读和解说内容，注重发掘名人背后的故事和内涵，解读和宣传实现有机互动。三是对于特殊的历史场景进行还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vMerge w:val="continue"/>
            <w:shd w:val="clear" w:color="auto" w:fill="auto"/>
            <w:vAlign w:val="center"/>
          </w:tcPr>
          <w:p>
            <w:pPr>
              <w:rPr>
                <w:rFonts w:ascii="宋体" w:hAnsi="宋体" w:eastAsia="宋体"/>
                <w:b/>
                <w:color w:val="auto"/>
                <w:szCs w:val="21"/>
              </w:rPr>
            </w:pPr>
          </w:p>
        </w:tc>
        <w:tc>
          <w:tcPr>
            <w:tcW w:w="1919"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艺象</w:t>
            </w:r>
            <w:r>
              <w:rPr>
                <w:rFonts w:ascii="宋体" w:hAnsi="宋体" w:eastAsia="宋体"/>
                <w:color w:val="auto"/>
                <w:szCs w:val="21"/>
              </w:rPr>
              <w:t xml:space="preserve">ID TOWN </w:t>
            </w:r>
            <w:r>
              <w:rPr>
                <w:rFonts w:hint="eastAsia" w:ascii="宋体" w:hAnsi="宋体" w:eastAsia="宋体"/>
                <w:color w:val="auto"/>
                <w:szCs w:val="21"/>
              </w:rPr>
              <w:t>（原鸿华印染厂）</w:t>
            </w:r>
          </w:p>
        </w:tc>
        <w:tc>
          <w:tcPr>
            <w:tcW w:w="2835"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合理整合社会资源，将十九栋废弃的厂房变为文化创意与国际艺术展示学习的综合整治区。实现了规划提出的“在不拆除或少拆除前提下实现城市更新、产业升级”的目标。</w:t>
            </w:r>
          </w:p>
        </w:tc>
        <w:tc>
          <w:tcPr>
            <w:tcW w:w="3969" w:type="dxa"/>
            <w:shd w:val="clear" w:color="auto" w:fill="auto"/>
            <w:vAlign w:val="center"/>
          </w:tcPr>
          <w:p>
            <w:pPr>
              <w:rPr>
                <w:rFonts w:ascii="宋体" w:hAnsi="宋体" w:eastAsia="宋体"/>
                <w:color w:val="auto"/>
                <w:szCs w:val="21"/>
              </w:rPr>
            </w:pPr>
            <w:r>
              <w:rPr>
                <w:rFonts w:hint="eastAsia" w:ascii="宋体" w:hAnsi="宋体" w:eastAsia="宋体"/>
                <w:color w:val="auto"/>
                <w:szCs w:val="21"/>
              </w:rPr>
              <w:t>一是发展工业遗产旅游。与大鹏新区的其他旅游景点进行旅游线路规划，在遗产内部对改革开放的工业发展进行介绍，出版相应的介绍手册。开发改革开放主题的各类特色项目，如摄影、绘画、雕塑等。</w:t>
            </w:r>
          </w:p>
        </w:tc>
      </w:tr>
    </w:tbl>
    <w:p>
      <w:pPr>
        <w:pStyle w:val="8"/>
        <w:rPr>
          <w:color w:val="auto"/>
        </w:rPr>
      </w:pPr>
    </w:p>
    <w:p>
      <w:pPr>
        <w:pStyle w:val="3"/>
        <w:rPr>
          <w:color w:val="auto"/>
        </w:rPr>
      </w:pPr>
      <w:bookmarkStart w:id="218" w:name="_Toc81838554"/>
      <w:bookmarkStart w:id="219" w:name="_Toc17026"/>
      <w:bookmarkStart w:id="220" w:name="_Toc14687"/>
      <w:bookmarkStart w:id="221" w:name="_Toc114072202"/>
      <w:bookmarkStart w:id="222" w:name="_Toc5801"/>
      <w:bookmarkStart w:id="223" w:name="_Toc2747"/>
      <w:bookmarkStart w:id="224" w:name="_Toc8351"/>
      <w:bookmarkStart w:id="225" w:name="_Toc42931355"/>
      <w:bookmarkStart w:id="226" w:name="_Toc13965"/>
      <w:r>
        <w:rPr>
          <w:color w:val="auto"/>
        </w:rPr>
        <w:t>6.2</w:t>
      </w:r>
      <w:r>
        <w:rPr>
          <w:rFonts w:hint="eastAsia"/>
          <w:color w:val="auto"/>
        </w:rPr>
        <w:t>重要史迹展示利用</w:t>
      </w:r>
      <w:bookmarkEnd w:id="218"/>
      <w:r>
        <w:rPr>
          <w:rFonts w:hint="eastAsia"/>
          <w:color w:val="auto"/>
        </w:rPr>
        <w:t>措施</w:t>
      </w:r>
      <w:bookmarkEnd w:id="219"/>
      <w:bookmarkEnd w:id="220"/>
      <w:bookmarkEnd w:id="221"/>
      <w:bookmarkEnd w:id="222"/>
      <w:bookmarkEnd w:id="223"/>
      <w:bookmarkEnd w:id="224"/>
      <w:bookmarkEnd w:id="225"/>
      <w:bookmarkEnd w:id="226"/>
    </w:p>
    <w:p>
      <w:pPr>
        <w:pStyle w:val="4"/>
        <w:rPr>
          <w:color w:val="auto"/>
        </w:rPr>
      </w:pPr>
      <w:r>
        <w:rPr>
          <w:color w:val="auto"/>
        </w:rPr>
        <w:t>6.2.1</w:t>
      </w:r>
      <w:r>
        <w:rPr>
          <w:rFonts w:hint="eastAsia"/>
          <w:color w:val="auto"/>
        </w:rPr>
        <w:t>展示利用策略</w:t>
      </w:r>
    </w:p>
    <w:p>
      <w:pPr>
        <w:pStyle w:val="8"/>
        <w:rPr>
          <w:color w:val="auto"/>
        </w:rPr>
      </w:pPr>
      <w:r>
        <w:rPr>
          <w:rFonts w:hint="eastAsia"/>
          <w:color w:val="auto"/>
        </w:rPr>
        <w:t>（1）挖掘价值特色，传承改开精神。史迹的历史资料，真实的实物遗址，是改革开放史迹的背景和基础，在进行利用时要以史迹的特点为</w:t>
      </w:r>
      <w:r>
        <w:rPr>
          <w:rFonts w:hint="eastAsia"/>
          <w:color w:val="auto"/>
          <w:lang w:val="en-US" w:eastAsia="zh-CN"/>
        </w:rPr>
        <w:t>基础</w:t>
      </w:r>
      <w:r>
        <w:rPr>
          <w:rFonts w:hint="eastAsia"/>
          <w:color w:val="auto"/>
        </w:rPr>
        <w:t>，立足重要史迹内涵发掘自身特色，要抓住每个聚集地的共同特色进行集中展示。要将史迹蕴含的精神内涵在改革开放的历史大背景下加以阐释，充分渲染出特定的改革开放时期的氛围和背景，将改革开放的精神和内涵进行总结升华。</w:t>
      </w:r>
    </w:p>
    <w:p>
      <w:pPr>
        <w:pStyle w:val="8"/>
        <w:rPr>
          <w:color w:val="auto"/>
        </w:rPr>
      </w:pPr>
      <w:r>
        <w:rPr>
          <w:rFonts w:hint="eastAsia"/>
          <w:color w:val="auto"/>
        </w:rPr>
        <w:t>（</w:t>
      </w:r>
      <w:r>
        <w:rPr>
          <w:color w:val="auto"/>
        </w:rPr>
        <w:t>2</w:t>
      </w:r>
      <w:r>
        <w:rPr>
          <w:rFonts w:hint="eastAsia"/>
          <w:color w:val="auto"/>
        </w:rPr>
        <w:t>）重视针对性施策和适应性利用。改革开放史迹的旅游不能以对史迹本身以及其包含的文物进行破坏为代价，应是为史迹本身服务的，展示利用线路的规划和史迹本身的利用建设主要是通过对史迹的展示，让大众更多的了解改革开放的历史，引起对史迹的重要性的认识，进而对史迹有更好的保护。</w:t>
      </w:r>
    </w:p>
    <w:p>
      <w:pPr>
        <w:pStyle w:val="8"/>
        <w:rPr>
          <w:color w:val="auto"/>
        </w:rPr>
      </w:pPr>
      <w:r>
        <w:rPr>
          <w:rFonts w:hint="eastAsia"/>
          <w:color w:val="auto"/>
        </w:rPr>
        <w:t>（</w:t>
      </w:r>
      <w:r>
        <w:rPr>
          <w:color w:val="auto"/>
        </w:rPr>
        <w:t>3</w:t>
      </w:r>
      <w:r>
        <w:rPr>
          <w:rFonts w:hint="eastAsia"/>
          <w:color w:val="auto"/>
        </w:rPr>
        <w:t>）加强资源整合，发挥综合优势。改革开放是深圳发展的重要特色，与深圳的历史传承发展有着重要联系，改革开放重要史迹所承载的历史可增加旅游的吸引力，提升旅游业的附加值和衍生值，而且能为史迹的保护利用提供一定的经济支撑。</w:t>
      </w:r>
    </w:p>
    <w:p>
      <w:pPr>
        <w:pStyle w:val="4"/>
        <w:rPr>
          <w:color w:val="auto"/>
        </w:rPr>
      </w:pPr>
      <w:r>
        <w:rPr>
          <w:rFonts w:hint="eastAsia"/>
          <w:color w:val="auto"/>
        </w:rPr>
        <w:t>6</w:t>
      </w:r>
      <w:r>
        <w:rPr>
          <w:color w:val="auto"/>
        </w:rPr>
        <w:t>.2.2</w:t>
      </w:r>
      <w:r>
        <w:rPr>
          <w:rFonts w:hint="eastAsia"/>
          <w:color w:val="auto"/>
        </w:rPr>
        <w:t>重要史迹开放与展示措施</w:t>
      </w:r>
    </w:p>
    <w:p>
      <w:pPr>
        <w:pStyle w:val="8"/>
        <w:rPr>
          <w:bCs/>
          <w:color w:val="auto"/>
        </w:rPr>
      </w:pPr>
      <w:r>
        <w:rPr>
          <w:rFonts w:hint="eastAsia"/>
          <w:bCs/>
          <w:color w:val="auto"/>
        </w:rPr>
        <w:t>综合考虑重要史迹使用功能、权属及其所承载的改革开放价值内涵，对其开放方式分为以下几种：</w:t>
      </w:r>
    </w:p>
    <w:p>
      <w:pPr>
        <w:pStyle w:val="8"/>
        <w:rPr>
          <w:bCs/>
          <w:color w:val="auto"/>
        </w:rPr>
      </w:pPr>
      <w:r>
        <w:rPr>
          <w:rFonts w:hint="eastAsia"/>
          <w:bCs/>
          <w:color w:val="auto"/>
        </w:rPr>
        <w:t>（1）全面开放：适用于现状或拟改造为博物馆、展览馆等观览类的公共建筑，如中英历史博物馆、广东浮法玻璃厂、艺象I</w:t>
      </w:r>
      <w:r>
        <w:rPr>
          <w:bCs/>
          <w:color w:val="auto"/>
        </w:rPr>
        <w:t>D TOWN</w:t>
      </w:r>
      <w:r>
        <w:rPr>
          <w:rFonts w:hint="eastAsia"/>
          <w:bCs/>
          <w:color w:val="auto"/>
        </w:rPr>
        <w:t>等，最大限度向公众全面开放，可根据不同史迹点自身展示主题和特色，确定展览的内容和比例分配。</w:t>
      </w:r>
    </w:p>
    <w:p>
      <w:pPr>
        <w:pStyle w:val="8"/>
        <w:rPr>
          <w:bCs/>
          <w:color w:val="auto"/>
        </w:rPr>
      </w:pPr>
      <w:r>
        <w:rPr>
          <w:rFonts w:hint="eastAsia"/>
          <w:bCs/>
          <w:color w:val="auto"/>
        </w:rPr>
        <w:t>（2）有限开放：适用于居住、办公、宾馆等建筑，可采取面向特定群体、限定开放区域和时间的方式进行适度开放。</w:t>
      </w:r>
    </w:p>
    <w:p>
      <w:pPr>
        <w:pStyle w:val="8"/>
        <w:rPr>
          <w:bCs/>
          <w:color w:val="auto"/>
        </w:rPr>
      </w:pPr>
      <w:r>
        <w:rPr>
          <w:rFonts w:hint="eastAsia"/>
          <w:bCs/>
          <w:color w:val="auto"/>
        </w:rPr>
        <w:t>（3）暂不开放：如大亚湾核电站、盐田港国际集装箱码头等。这类史迹点展示空间不足，展示观赏性较一般。</w:t>
      </w:r>
    </w:p>
    <w:p>
      <w:pPr>
        <w:pStyle w:val="8"/>
        <w:rPr>
          <w:bCs/>
          <w:color w:val="auto"/>
        </w:rPr>
      </w:pPr>
      <w:r>
        <w:rPr>
          <w:rFonts w:hint="eastAsia"/>
          <w:bCs/>
          <w:color w:val="auto"/>
        </w:rPr>
        <w:t>重要史迹的开放措施还应满足国家和地方相关法律法规及规范性文件要求，如文物建筑应满足文物法、《文物建筑开放导则（试行）》等相关要求，历史建筑应满足《广东省历史建筑和传统风貌建筑保护利用工作指引（试行）》等。</w:t>
      </w:r>
    </w:p>
    <w:p>
      <w:pPr>
        <w:pStyle w:val="8"/>
        <w:rPr>
          <w:bCs/>
          <w:color w:val="auto"/>
        </w:rPr>
      </w:pPr>
    </w:p>
    <w:p>
      <w:pPr>
        <w:pStyle w:val="8"/>
        <w:rPr>
          <w:bCs/>
          <w:color w:val="auto"/>
        </w:rPr>
      </w:pPr>
      <w:r>
        <w:rPr>
          <w:rFonts w:hint="eastAsia"/>
          <w:bCs/>
          <w:color w:val="auto"/>
        </w:rPr>
        <w:t>结合重要史迹价值内涵、开放方式及实际情况，从本体展示、陈列展示、标识展示和数字展示四个方面提出针对性措施：</w:t>
      </w:r>
    </w:p>
    <w:p>
      <w:pPr>
        <w:pStyle w:val="8"/>
        <w:ind w:firstLine="482"/>
        <w:rPr>
          <w:b/>
          <w:bCs/>
          <w:color w:val="auto"/>
        </w:rPr>
      </w:pPr>
      <w:r>
        <w:rPr>
          <w:rFonts w:hint="eastAsia"/>
          <w:b/>
          <w:bCs/>
          <w:color w:val="auto"/>
        </w:rPr>
        <w:t>（1）本体展示策略</w:t>
      </w:r>
    </w:p>
    <w:p>
      <w:pPr>
        <w:pStyle w:val="8"/>
        <w:rPr>
          <w:bCs/>
          <w:color w:val="auto"/>
        </w:rPr>
      </w:pPr>
      <w:r>
        <w:rPr>
          <w:rFonts w:hint="eastAsia"/>
          <w:bCs/>
          <w:color w:val="auto"/>
        </w:rPr>
        <w:t>适合本体展示的重要史迹对象包括国贸大厦、深圳迎宾馆、明华轮等重要公共建筑及</w:t>
      </w:r>
      <w:r>
        <w:rPr>
          <w:rFonts w:hint="default"/>
          <w:bCs/>
          <w:color w:val="auto"/>
          <w:lang w:val="en"/>
        </w:rPr>
        <w:t>邓小平铜像</w:t>
      </w:r>
      <w:r>
        <w:rPr>
          <w:rFonts w:hint="eastAsia"/>
          <w:bCs/>
          <w:color w:val="auto"/>
        </w:rPr>
        <w:t>、袁庚像、“空谈误国、实干兴邦”标语牌等标识，主要展示措施包括：一是在建筑内公共空间进行相关改革开放成果实体展示，如国贸大厦邓小平</w:t>
      </w:r>
      <w:r>
        <w:rPr>
          <w:rFonts w:hint="eastAsia"/>
          <w:bCs/>
          <w:color w:val="auto"/>
          <w:lang w:val="en-US" w:eastAsia="zh-CN"/>
        </w:rPr>
        <w:t>同志</w:t>
      </w:r>
      <w:r>
        <w:rPr>
          <w:rFonts w:hint="eastAsia"/>
          <w:bCs/>
          <w:color w:val="auto"/>
        </w:rPr>
        <w:t>参观的主题餐厅进行相关特色套餐的推出，进行大厦主体可见结构的展示，体现深圳速度工程建设的优秀成果。在建筑的公共区域进行相关的改革开放历史的展板摆放、或在建筑内的核心历史场景空间进行场景还原或历史场景数字化再现等展示。二是利用工业建筑遗产资源，开发具有生产流程体验、历史人文与科普教育、特色产品推广等功能的工业旅游项目，完善基础设施和配套服务，打造具有地域和行业特色的工业旅游线路。</w:t>
      </w:r>
    </w:p>
    <w:p>
      <w:pPr>
        <w:pStyle w:val="8"/>
        <w:ind w:firstLine="482"/>
        <w:rPr>
          <w:b/>
          <w:bCs/>
          <w:color w:val="auto"/>
        </w:rPr>
      </w:pPr>
      <w:r>
        <w:rPr>
          <w:rFonts w:hint="eastAsia"/>
          <w:b/>
          <w:bCs/>
          <w:color w:val="auto"/>
        </w:rPr>
        <w:t>（2）陈列展示策略</w:t>
      </w:r>
    </w:p>
    <w:p>
      <w:pPr>
        <w:pStyle w:val="8"/>
        <w:rPr>
          <w:bCs/>
          <w:color w:val="auto"/>
        </w:rPr>
      </w:pPr>
      <w:r>
        <w:rPr>
          <w:rFonts w:hint="eastAsia"/>
          <w:bCs/>
          <w:color w:val="auto"/>
        </w:rPr>
        <w:t>陈列展示适用于具有室内外展陈场所且具备一定开放条件的重要史迹，如深圳渔民村、深圳图书馆馆旧馆、科学馆旧馆、博物馆旧馆等。陈列展示措施分为以下几种：一是在明显的公共区域进行展示或在重要建筑内部进行展示。展示方式有展板展示、数字影像展示，书籍类展示、多媒体网络展示等。二是在博物馆内部进行特殊展厅的主题展示，三是与博物馆自身的展示主题内容相结合，进行不同类型主题博物馆的特色内容展示。与相关的学校共同进行主题教育，让学生进行参观展览；与相关的旅游团进行联系，向来深圳的旅客进行改革开放的历史宣传。</w:t>
      </w:r>
    </w:p>
    <w:p>
      <w:pPr>
        <w:pStyle w:val="8"/>
        <w:ind w:firstLine="482"/>
        <w:rPr>
          <w:b/>
          <w:bCs/>
          <w:color w:val="auto"/>
        </w:rPr>
      </w:pPr>
      <w:r>
        <w:rPr>
          <w:rFonts w:hint="eastAsia"/>
          <w:b/>
          <w:bCs/>
          <w:color w:val="auto"/>
        </w:rPr>
        <w:t>（3）标识展示策略</w:t>
      </w:r>
    </w:p>
    <w:p>
      <w:pPr>
        <w:pStyle w:val="8"/>
        <w:rPr>
          <w:color w:val="auto"/>
        </w:rPr>
      </w:pPr>
      <w:r>
        <w:rPr>
          <w:rFonts w:hint="eastAsia"/>
          <w:color w:val="auto"/>
        </w:rPr>
        <w:t>标识展示适用于所有改革开放重要史迹。根据重要史迹的建筑性质、建筑功能、建筑区位等特征，统一建立改革开放重要史迹标识体系，放置在重要史迹的入口、展厅或其他显著位置。标识上需带有重要史迹的区位及简要介绍，同时可在标识上标注附近史迹及相关交通流线，方便游客参观。也可与现代化数字手段结合，进行手机扫码公众号，进行详细文字和视频影像的讲解。</w:t>
      </w:r>
    </w:p>
    <w:p>
      <w:pPr>
        <w:pStyle w:val="8"/>
        <w:ind w:firstLine="482"/>
        <w:rPr>
          <w:b/>
          <w:bCs/>
          <w:color w:val="auto"/>
        </w:rPr>
      </w:pPr>
      <w:r>
        <w:rPr>
          <w:rFonts w:hint="eastAsia"/>
          <w:b/>
          <w:bCs/>
          <w:color w:val="auto"/>
        </w:rPr>
        <w:t>（</w:t>
      </w:r>
      <w:r>
        <w:rPr>
          <w:b/>
          <w:bCs/>
          <w:color w:val="auto"/>
        </w:rPr>
        <w:t>4</w:t>
      </w:r>
      <w:r>
        <w:rPr>
          <w:rFonts w:hint="eastAsia"/>
          <w:b/>
          <w:bCs/>
          <w:color w:val="auto"/>
        </w:rPr>
        <w:t>）数字展示策略</w:t>
      </w:r>
    </w:p>
    <w:p>
      <w:pPr>
        <w:pStyle w:val="8"/>
        <w:rPr>
          <w:color w:val="auto"/>
        </w:rPr>
      </w:pPr>
      <w:r>
        <w:rPr>
          <w:rFonts w:hint="eastAsia"/>
          <w:color w:val="auto"/>
        </w:rPr>
        <w:t>数字展示策略适用于所有改革开放重要史迹。主要展示措施包括公众号、小程序、网站讲解</w:t>
      </w:r>
      <w:r>
        <w:rPr>
          <w:rFonts w:hint="eastAsia"/>
          <w:color w:val="auto"/>
          <w:lang w:eastAsia="zh-CN"/>
        </w:rPr>
        <w:t>、</w:t>
      </w:r>
      <w:r>
        <w:rPr>
          <w:rFonts w:hint="eastAsia"/>
          <w:color w:val="auto"/>
        </w:rPr>
        <w:t>数字沙盘</w:t>
      </w:r>
      <w:r>
        <w:rPr>
          <w:rFonts w:hint="eastAsia"/>
          <w:color w:val="auto"/>
          <w:lang w:eastAsia="zh-CN"/>
        </w:rPr>
        <w:t>、</w:t>
      </w:r>
      <w:r>
        <w:rPr>
          <w:rFonts w:hint="eastAsia"/>
          <w:color w:val="auto"/>
        </w:rPr>
        <w:t>全息影像</w:t>
      </w:r>
      <w:r>
        <w:rPr>
          <w:rFonts w:hint="eastAsia"/>
          <w:color w:val="auto"/>
          <w:lang w:eastAsia="zh-CN"/>
        </w:rPr>
        <w:t>、</w:t>
      </w:r>
      <w:r>
        <w:rPr>
          <w:rFonts w:hint="eastAsia"/>
          <w:color w:val="auto"/>
        </w:rPr>
        <w:t>交互式投影、雷达互动等，可将场景还原真实，显示更加丰富有趣。</w:t>
      </w:r>
    </w:p>
    <w:p>
      <w:pPr>
        <w:pStyle w:val="8"/>
        <w:rPr>
          <w:color w:val="auto"/>
        </w:rPr>
      </w:pPr>
    </w:p>
    <w:p>
      <w:pPr>
        <w:pStyle w:val="4"/>
        <w:rPr>
          <w:color w:val="auto"/>
        </w:rPr>
      </w:pPr>
      <w:r>
        <w:rPr>
          <w:rFonts w:hint="eastAsia"/>
          <w:color w:val="auto"/>
        </w:rPr>
        <w:t>6</w:t>
      </w:r>
      <w:r>
        <w:rPr>
          <w:color w:val="auto"/>
        </w:rPr>
        <w:t>.2.3</w:t>
      </w:r>
      <w:r>
        <w:rPr>
          <w:rFonts w:hint="eastAsia"/>
          <w:color w:val="auto"/>
        </w:rPr>
        <w:t>重要史迹适应性利用措施</w:t>
      </w:r>
    </w:p>
    <w:p>
      <w:pPr>
        <w:pStyle w:val="8"/>
        <w:ind w:firstLine="482"/>
        <w:rPr>
          <w:b/>
          <w:color w:val="auto"/>
        </w:rPr>
      </w:pPr>
      <w:r>
        <w:rPr>
          <w:rFonts w:hint="eastAsia"/>
          <w:b/>
          <w:color w:val="auto"/>
        </w:rPr>
        <w:t>（</w:t>
      </w:r>
      <w:r>
        <w:rPr>
          <w:b/>
          <w:color w:val="auto"/>
        </w:rPr>
        <w:t>1</w:t>
      </w:r>
      <w:r>
        <w:rPr>
          <w:rFonts w:hint="eastAsia"/>
          <w:b/>
          <w:color w:val="auto"/>
        </w:rPr>
        <w:t>）保护与利用有效结合</w:t>
      </w:r>
    </w:p>
    <w:p>
      <w:pPr>
        <w:pStyle w:val="8"/>
        <w:rPr>
          <w:color w:val="auto"/>
        </w:rPr>
      </w:pPr>
      <w:r>
        <w:rPr>
          <w:rFonts w:hint="eastAsia"/>
          <w:color w:val="auto"/>
        </w:rPr>
        <w:t>改革开放重要史迹涉及不同级别的遗产对象，其利用方式应与相应的保护要求有效衔接。针对文物保护单位和一般不可移动文物，应满足在遵循文物建筑保护条例的前提下，采取相关利用措施；针对历史建筑，应满足在历史建筑保护条例的条件下，进行相关展示利用；针对尚未列入文物或历史建筑名录的重要史迹，应发掘史迹点的重要价值部分，保护重要价值空间，在其他空间进行改造利用。</w:t>
      </w:r>
    </w:p>
    <w:p>
      <w:pPr>
        <w:pStyle w:val="8"/>
        <w:ind w:firstLine="482"/>
        <w:rPr>
          <w:b/>
          <w:color w:val="auto"/>
        </w:rPr>
      </w:pPr>
      <w:r>
        <w:rPr>
          <w:rFonts w:hint="eastAsia"/>
          <w:b/>
          <w:color w:val="auto"/>
        </w:rPr>
        <w:t>（</w:t>
      </w:r>
      <w:r>
        <w:rPr>
          <w:b/>
          <w:color w:val="auto"/>
        </w:rPr>
        <w:t>2</w:t>
      </w:r>
      <w:r>
        <w:rPr>
          <w:rFonts w:hint="eastAsia"/>
          <w:b/>
          <w:color w:val="auto"/>
        </w:rPr>
        <w:t>）功能延续与提升措施</w:t>
      </w:r>
    </w:p>
    <w:p>
      <w:pPr>
        <w:pStyle w:val="8"/>
        <w:rPr>
          <w:color w:val="auto"/>
        </w:rPr>
      </w:pPr>
      <w:r>
        <w:rPr>
          <w:rFonts w:hint="eastAsia"/>
          <w:color w:val="auto"/>
        </w:rPr>
        <w:t>适用对象：国贸大厦、深圳图书馆旧馆等史迹原有功能仍在正常运行，在原有基础上进行提升利用的史迹。</w:t>
      </w:r>
    </w:p>
    <w:p>
      <w:pPr>
        <w:pStyle w:val="8"/>
        <w:rPr>
          <w:color w:val="auto"/>
        </w:rPr>
      </w:pPr>
      <w:r>
        <w:rPr>
          <w:rFonts w:hint="eastAsia"/>
          <w:color w:val="auto"/>
        </w:rPr>
        <w:t>措施：进行相关的功能改造，将建筑中不符合现代生活的部分功能进行更新替换，改造为适应现代生活的功能进行空间的延续利用。或在建筑内开辟新区域，进行新功能改造。</w:t>
      </w:r>
    </w:p>
    <w:p>
      <w:pPr>
        <w:pStyle w:val="8"/>
        <w:ind w:firstLine="482"/>
        <w:rPr>
          <w:b/>
          <w:color w:val="auto"/>
        </w:rPr>
      </w:pPr>
      <w:r>
        <w:rPr>
          <w:rFonts w:hint="eastAsia"/>
          <w:b/>
          <w:color w:val="auto"/>
        </w:rPr>
        <w:t>（</w:t>
      </w:r>
      <w:r>
        <w:rPr>
          <w:b/>
          <w:color w:val="auto"/>
        </w:rPr>
        <w:t>3</w:t>
      </w:r>
      <w:r>
        <w:rPr>
          <w:rFonts w:hint="eastAsia"/>
          <w:b/>
          <w:color w:val="auto"/>
        </w:rPr>
        <w:t>）功能适应性改造措施</w:t>
      </w:r>
    </w:p>
    <w:p>
      <w:pPr>
        <w:pStyle w:val="8"/>
        <w:rPr>
          <w:color w:val="auto"/>
          <w:szCs w:val="24"/>
        </w:rPr>
      </w:pPr>
      <w:r>
        <w:rPr>
          <w:rFonts w:hint="eastAsia"/>
          <w:color w:val="auto"/>
          <w:szCs w:val="24"/>
        </w:rPr>
        <w:t>适用对象：原有建筑功能已丧失的重要史迹，包括大成面粉厂、光明街道糖厂、二线关同乐检查站。</w:t>
      </w:r>
    </w:p>
    <w:p>
      <w:pPr>
        <w:pStyle w:val="8"/>
        <w:rPr>
          <w:color w:val="auto"/>
          <w:szCs w:val="24"/>
        </w:rPr>
      </w:pPr>
      <w:r>
        <w:rPr>
          <w:rFonts w:hint="eastAsia"/>
          <w:color w:val="auto"/>
          <w:szCs w:val="24"/>
        </w:rPr>
        <w:t xml:space="preserve">措施：对这类建筑大多进行博物馆式改造或文化创意园区改造。利用建筑原有的建筑形态、建筑结构，在此基础上进行功能、空间的重新划分和赋予。根据建筑具体的使用和规划现状，进行功能的相关改造，如创意园区内有展览、摄影馆、绘画馆等商业设施； </w:t>
      </w:r>
    </w:p>
    <w:p>
      <w:pPr>
        <w:pStyle w:val="8"/>
        <w:rPr>
          <w:color w:val="auto"/>
        </w:rPr>
      </w:pPr>
    </w:p>
    <w:p>
      <w:pPr>
        <w:pStyle w:val="8"/>
        <w:jc w:val="center"/>
        <w:rPr>
          <w:color w:val="auto"/>
        </w:rPr>
      </w:pPr>
      <w:r>
        <w:rPr>
          <w:rFonts w:hint="eastAsia"/>
          <w:color w:val="auto"/>
        </w:rPr>
        <w:t>表6</w:t>
      </w:r>
      <w:r>
        <w:rPr>
          <w:color w:val="auto"/>
        </w:rPr>
        <w:t xml:space="preserve">-2 </w:t>
      </w:r>
      <w:r>
        <w:rPr>
          <w:rFonts w:hint="eastAsia"/>
          <w:color w:val="auto"/>
        </w:rPr>
        <w:t>史迹点开放、展示、利用措施</w:t>
      </w:r>
    </w:p>
    <w:tbl>
      <w:tblPr>
        <w:tblStyle w:val="19"/>
        <w:tblW w:w="9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134"/>
        <w:gridCol w:w="1984"/>
        <w:gridCol w:w="4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E7E6E6" w:themeFill="background2"/>
            <w:vAlign w:val="center"/>
          </w:tcPr>
          <w:p>
            <w:pPr>
              <w:pStyle w:val="8"/>
              <w:spacing w:line="240" w:lineRule="auto"/>
              <w:ind w:firstLineChars="0"/>
              <w:rPr>
                <w:rFonts w:ascii="宋体" w:hAnsi="宋体"/>
                <w:b/>
                <w:color w:val="auto"/>
                <w:sz w:val="21"/>
                <w:szCs w:val="21"/>
              </w:rPr>
            </w:pPr>
            <w:r>
              <w:rPr>
                <w:rFonts w:hint="eastAsia" w:ascii="宋体" w:hAnsi="宋体"/>
                <w:b/>
                <w:color w:val="auto"/>
                <w:sz w:val="21"/>
                <w:szCs w:val="21"/>
              </w:rPr>
              <w:t>重要史迹</w:t>
            </w:r>
          </w:p>
        </w:tc>
        <w:tc>
          <w:tcPr>
            <w:tcW w:w="1134" w:type="dxa"/>
            <w:shd w:val="clear" w:color="auto" w:fill="E7E6E6" w:themeFill="background2"/>
            <w:vAlign w:val="center"/>
          </w:tcPr>
          <w:p>
            <w:pPr>
              <w:pStyle w:val="8"/>
              <w:spacing w:line="240" w:lineRule="auto"/>
              <w:ind w:firstLine="0" w:firstLineChars="0"/>
              <w:jc w:val="center"/>
              <w:rPr>
                <w:rFonts w:ascii="宋体" w:hAnsi="宋体"/>
                <w:b/>
                <w:color w:val="auto"/>
                <w:sz w:val="21"/>
                <w:szCs w:val="21"/>
              </w:rPr>
            </w:pPr>
            <w:r>
              <w:rPr>
                <w:rFonts w:hint="eastAsia" w:ascii="宋体" w:hAnsi="宋体"/>
                <w:b/>
                <w:color w:val="auto"/>
                <w:sz w:val="21"/>
                <w:szCs w:val="21"/>
              </w:rPr>
              <w:t>开放措施</w:t>
            </w:r>
          </w:p>
        </w:tc>
        <w:tc>
          <w:tcPr>
            <w:tcW w:w="1984" w:type="dxa"/>
            <w:shd w:val="clear" w:color="auto" w:fill="E7E6E6" w:themeFill="background2"/>
            <w:vAlign w:val="center"/>
          </w:tcPr>
          <w:p>
            <w:pPr>
              <w:pStyle w:val="8"/>
              <w:spacing w:line="240" w:lineRule="auto"/>
              <w:ind w:firstLine="0" w:firstLineChars="0"/>
              <w:jc w:val="center"/>
              <w:rPr>
                <w:rFonts w:ascii="宋体" w:hAnsi="宋体"/>
                <w:b/>
                <w:color w:val="auto"/>
                <w:sz w:val="21"/>
                <w:szCs w:val="21"/>
              </w:rPr>
            </w:pPr>
            <w:r>
              <w:rPr>
                <w:rFonts w:hint="eastAsia" w:ascii="宋体" w:hAnsi="宋体"/>
                <w:b/>
                <w:color w:val="auto"/>
                <w:sz w:val="21"/>
                <w:szCs w:val="21"/>
              </w:rPr>
              <w:t>展示措施</w:t>
            </w:r>
          </w:p>
        </w:tc>
        <w:tc>
          <w:tcPr>
            <w:tcW w:w="4832" w:type="dxa"/>
            <w:shd w:val="clear" w:color="auto" w:fill="E7E6E6" w:themeFill="background2"/>
            <w:vAlign w:val="center"/>
          </w:tcPr>
          <w:p>
            <w:pPr>
              <w:pStyle w:val="8"/>
              <w:spacing w:line="240" w:lineRule="auto"/>
              <w:ind w:firstLine="0" w:firstLineChars="0"/>
              <w:jc w:val="center"/>
              <w:rPr>
                <w:rFonts w:ascii="宋体" w:hAnsi="宋体"/>
                <w:b/>
                <w:color w:val="auto"/>
                <w:sz w:val="21"/>
                <w:szCs w:val="21"/>
              </w:rPr>
            </w:pPr>
            <w:r>
              <w:rPr>
                <w:rFonts w:hint="eastAsia" w:ascii="宋体" w:hAnsi="宋体"/>
                <w:b/>
                <w:color w:val="auto"/>
                <w:sz w:val="21"/>
                <w:szCs w:val="21"/>
              </w:rPr>
              <w:t>利用措施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大成面粉厂</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全面开放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本体展示、陈列展示、标识展示、数字展示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功能适应性改造。可改造为相关文化产业融合的工业遗产创意园区，或主题博物馆。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广东浮法玻璃（价值工厂）</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全面开放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厂区内增设改革开放相关的陈列展示、标识展示和数字展示。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功能延续与提升。在现有的改造基础上，进行相关的产业升级，与周边的大成面粉厂进行联合打造，塑造改革开放蛇口工业的特色片区。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“空谈误国，实干兴邦”标语牌</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全面开放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功能延续与提升措施。围绕标语牌进行相关娱乐、市民广场建设，或将标语牌进行移建，以标语牌为核心进行大的市民广场打造。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明华轮</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有限开放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本体展示、陈列展示、标识展示、数字展示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功能适应性改造措施。对明华轮的相关空间进行划分，划分出新的改革开放的相关展示空间，围绕改革开放的展示空间进行相关设施的分布。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南海酒店（希尔顿酒店）</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有限开放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功能延续与提升措施。加强对酒店外立面的维护，建立并完善相关的档案。可在酒店内部设置相关改革开放主题介绍，或设置相关标语牌等。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三洋厂房（南海意库）</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有限开放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功能延续与提升措施。对厂房后续的改造发展中，可开辟相关区域对</w:t>
            </w:r>
            <w:r>
              <w:rPr>
                <w:rFonts w:ascii="宋体" w:hAnsi="宋体"/>
                <w:color w:val="auto"/>
                <w:sz w:val="21"/>
                <w:szCs w:val="21"/>
              </w:rPr>
              <w:t>1980年前后首批改革开放的工厂进行介绍还原。对厂区内进行相关的产业升级丰富。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深圳大学（汇元楼、汇典楼与汇紫楼）</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有限开放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功能延续与提升措施。在建筑内进行相关小型展览室展示或在走廊等交通区域设置相关标语牌，介绍改革开放给深圳大学带来的重要及深远影响。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微波山时间广场</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全面开放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功能延续与提升措施。标语牌及周边广场已列入微波山公园的建设地块范围，要对相关的设计规划方案进行修改建议，指导建设单位按照相关的文物保护法做好保护工作，并围绕标语牌进行改革开放的相关介绍。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袁庚像</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全面开放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功能延续与提升措施。雕像周边已有相关展示介绍牌，环境整治也较好。周边风景较好，且距离南海酒店、明华轮较近，可设置相关标语牌，与周边景点进行联合展示介绍。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锦绣中华民俗村（华侨城）</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全面开放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本体展示、陈列展示、标识展示、数字展示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功能延续与提升措施。可考虑设置改革开放相关介绍科普的标语牌等，或设施相关的展示廊道，与园内的景观布局相结合。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世界之窗</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全面开放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本体展示、陈列展示、标识展示、数字展示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功能延续与提升措施。世界之窗内的相关设施齐全，可考虑设置改革开放相关介绍科普的标语牌等，或设施相关的展示廊道，与园内的景观布局相结合。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前海石公园</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全面开放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功能延续与提升措施。前海石公园现已有相关的介绍，但与改革开放相关的较少，且现在的介绍牌设计较粗糙，可进行重新规划设计，在介绍内容里强调改革开放的相关板块。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深圳市南头中学（校史馆）</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有限开放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本体展示、陈列展示、标识展示、数字展示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功能延续与提升措施。在校史馆内对改革开放的相关事件进行展示。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二线关同乐检查站</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全面开放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本体展示、陈列展示、标识展示、数字展示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功能适应性改造措施。对检查站进行博物馆类的改造，在周边也可配套进行商业综合体的建设。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深圳大学城</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有限开放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功能延续与提升措施。在大学城内改革开放初期建设的相关建筑内进行改革开放的相关标识介绍。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地王大厦</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有限开放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功能延续与提升措施。在大厦的公共空间如大厦入口处进行相关改革开放的标语牌、廊道、小空间的展示利用。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深圳迎宾馆（桂园、兰园别墅）</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有限开放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功能延续与提升措施。迎宾馆现在对外开放的空间不多，可对迎宾馆进行相关改革开放重要场景空间的开放、展示、利用。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深圳证券交易所（老楼）</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有限开放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功能延续与提升措施。在大厦的公共空间如大厦入口处进行相关改革开放的标语牌、廊道、小空间的展示利用。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竹园宾馆</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有限开放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功能延续与提升措施。保留改革开放的相关历史场景，对改革开放的历史场景进行维护修缮并再利用，可改造为相关的展陈室对外开放。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深圳国贸大厦</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有限开放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本体展示、陈列展示、标识展示、数字展示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保护与利用有效结合。可对国贸大厦的入口空间进行改造利用，进行一层的整体展陈，展示国贸大厦与改革开放相关的各类历史事件等。国贸大厦顶层的展陈空间和邓小平南方谈话的邓公厅展示利用较好，进行日常维护即可，增加与改革开放相关的展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深圳渔民村</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有限开放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本体展示、陈列展示、标识展示、数字展示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功能延续与提升措施。对渔民村现有的市民广场等进行利用修缮，继续为市民和游览者展陈介绍。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深圳火车站</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全面开放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功能延续与提升措施。在火车站内部人流量大的空间进行改革开放的相关展陈，说明火车站在改革开放的相关历史进程和见证的历史事件。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深圳罗湖口岸</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全面开放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功能延续与提升措施。与周边的火车站空间相连接的部分进行展陈，说明联检大楼与改革开放相关的历史事件。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莲花山公园（</w:t>
            </w:r>
            <w:r>
              <w:rPr>
                <w:rFonts w:hint="eastAsia" w:ascii="宋体" w:hAnsi="宋体"/>
                <w:color w:val="auto"/>
                <w:sz w:val="21"/>
                <w:szCs w:val="21"/>
                <w:lang w:eastAsia="zh-CN"/>
              </w:rPr>
              <w:t>邓小平铜像</w:t>
            </w:r>
            <w:r>
              <w:rPr>
                <w:rFonts w:hint="eastAsia" w:ascii="宋体" w:hAnsi="宋体"/>
                <w:color w:val="auto"/>
                <w:sz w:val="21"/>
                <w:szCs w:val="21"/>
              </w:rPr>
              <w:t>）</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全面开放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功能延续与提升措施。在</w:t>
            </w:r>
            <w:r>
              <w:rPr>
                <w:rFonts w:hint="default" w:ascii="宋体" w:hAnsi="宋体"/>
                <w:color w:val="auto"/>
                <w:sz w:val="21"/>
                <w:szCs w:val="21"/>
                <w:lang w:val="en"/>
              </w:rPr>
              <w:t>邓小平铜像</w:t>
            </w:r>
            <w:r>
              <w:rPr>
                <w:rFonts w:hint="eastAsia" w:ascii="宋体" w:hAnsi="宋体"/>
                <w:color w:val="auto"/>
                <w:sz w:val="21"/>
                <w:szCs w:val="21"/>
              </w:rPr>
              <w:t>周边设置相关的展陈区域，着重展陈</w:t>
            </w:r>
            <w:r>
              <w:rPr>
                <w:rFonts w:hint="default" w:ascii="宋体" w:hAnsi="宋体"/>
                <w:color w:val="auto"/>
                <w:sz w:val="21"/>
                <w:szCs w:val="21"/>
                <w:lang w:val="en"/>
              </w:rPr>
              <w:t>邓小平铜像</w:t>
            </w:r>
            <w:r>
              <w:rPr>
                <w:rFonts w:hint="eastAsia" w:ascii="宋体" w:hAnsi="宋体"/>
                <w:color w:val="auto"/>
                <w:sz w:val="21"/>
                <w:szCs w:val="21"/>
              </w:rPr>
              <w:t>与深圳改革开放的相关历史。可在莲花山公园进行公园范围内的展示陈列，并设置相关的其他重要史迹的介绍。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电子大厦</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有限开放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功能延续与提升措施。对大厦的建造过程、与改革开放之间的联系进行展示介绍。</w:t>
            </w:r>
          </w:p>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在大厦的公共空间如大厦入口处进行相关改革开放的标语牌、廊道、小空间的展示利用。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上海宾馆</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有限开放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功能延续与提升措施。上海宾馆内外部没有对外展陈的区域，可在建筑内外部设置相关的展示陈列区域，介绍上海宾馆的在改革开放初期的历史地位和相关事件。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深圳科学馆旧馆</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全面开放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本体展示、陈列展示、标识展示、数字展示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功能延续与提升措施。结合科学馆内部的相关展陈功能，可进行多类型的展示，如影像数字化，阅读、陈列等方式。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深圳新闻大厦</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有限开放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功能延续与提升措施。在大厦的公共空间如大厦入口处进行相关改革开放的标语牌、廊道、小空间的展示利用。突出大厦与改革开放相关的历史事件。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深圳图书馆旧馆</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全面开放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本体展示、陈列展示、标识展示、数字展示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功能延续与提升措施。展陈突出图书馆的历史地位，在图书馆内部的主题空间进行展示陈列空间的介绍。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孺子牛雕像</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全面开放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功能延续与提升措施。孺子牛雕像周边缺少展示陈列的相关设施，可在周边进行呢相关空间的战士陈列，表现孺子牛雕像的相关精神象征。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深圳博物馆旧馆</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全面开放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本体展示、陈列展示、标识展示、数字展示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功能延续与提升措施。结合博物馆内部的相关展陈功能，可进行多类型的展示，如印象数字化，阅读、陈列等方式。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艺象</w:t>
            </w:r>
            <w:r>
              <w:rPr>
                <w:rFonts w:ascii="宋体" w:hAnsi="宋体"/>
                <w:color w:val="auto"/>
                <w:sz w:val="21"/>
                <w:szCs w:val="21"/>
              </w:rPr>
              <w:t xml:space="preserve">ID TOWN </w:t>
            </w:r>
            <w:r>
              <w:rPr>
                <w:rFonts w:hint="eastAsia" w:ascii="宋体" w:hAnsi="宋体"/>
                <w:color w:val="auto"/>
                <w:sz w:val="21"/>
                <w:szCs w:val="21"/>
              </w:rPr>
              <w:t>（原鸿华印染厂）</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全面开放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适应性改造措施。如今重要史迹的相关设施仍在开发建设中，可进行产业化的升级丰富。结合深圳的规划对相关的道路进行建设，与周边丰富的景观资源结合，打造深圳特色的生态创意工业园区。在工业园区内部或入口处介绍相关的历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袁庚祖居</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全面开放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本体展示、陈列展示、标识展示、数字展示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保护与利用有效结合。在祖居内进行一定的展示陈列，展现袁庚与深圳改革开放的相关历史事件。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大亚湾核电站</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暂不开放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数字展示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功能延续与提升措施。核电站本身并不对外开放，因此根据核电站自身的情况，无法进行发展利用则进行普通维护即可，若可以局部开放，则在开放处设置相关的展示利用空间，如广场、廊道等。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鹤薮小学</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全面开放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本体展示、陈列展示、标识展示、数字展示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功能适应性改造措施。小学如今处于闲置状态，可结合村落进行村史馆建设，展陈相关的改革开放历史事件。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中英街历史博物馆</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全面开放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本体展示、陈列展示、标识展示、数字展示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功能延续与提升措施。结合博物馆内部的相关展陈功能，可进行多类型的展示，如影像数字化，阅读、陈列等方式。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盐田港国际集装箱码头</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暂不开放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数字展示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功能延续与提升措施。根据码头的自身情况，根据码头能否对外开放进行展示利用分析。可在能对外开放区域设置相关的展陈空间。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沙头角保税区</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有限开放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本体展示、陈列展示、标识展示、数字展示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功能适应性改造措施。在预计保存的一栋建筑中进行相关的展示。</w:t>
            </w:r>
          </w:p>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对保留的建筑进行产业的创新升级，延续保税区的特色进行发展。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大芬油画村（胜发店铺、第一个油画工坊）</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全面开放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本体展示、陈列展示、标识展示、数字展示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可结合村落现有的大芬美术馆进行改革开放内容的相关展陈。可结合当地特色，用油画方式进行展示。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南岭村（村委办公楼——会议室，社区党群服务中心）</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有限开放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本体展示、陈列展示、标识展示、数字展示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功能延续与提升措施。在办公楼内设置村史馆，与南岭村的致富思源馆相结合，进行村落本身和与改革开放相关的展示利用。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深圳劳务工博物馆</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全面开放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本体展示、陈列展示、标识展示、数字展示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保护与利用有效结合。结合博物馆内部的相关展陈功能，可进行多类型的展示，如影像数字化，阅读、陈列等方式。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80"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光明街道糖厂</w:t>
            </w:r>
          </w:p>
        </w:tc>
        <w:tc>
          <w:tcPr>
            <w:tcW w:w="113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全面开放</w:t>
            </w:r>
          </w:p>
        </w:tc>
        <w:tc>
          <w:tcPr>
            <w:tcW w:w="1984"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本体展示、陈列展示、标识展示、数字展示</w:t>
            </w:r>
          </w:p>
        </w:tc>
        <w:tc>
          <w:tcPr>
            <w:tcW w:w="4832" w:type="dxa"/>
            <w:shd w:val="clear" w:color="auto" w:fill="auto"/>
            <w:vAlign w:val="center"/>
          </w:tcPr>
          <w:p>
            <w:pPr>
              <w:pStyle w:val="8"/>
              <w:spacing w:line="240" w:lineRule="auto"/>
              <w:ind w:firstLine="0" w:firstLineChars="0"/>
              <w:rPr>
                <w:rFonts w:ascii="宋体" w:hAnsi="宋体"/>
                <w:color w:val="auto"/>
                <w:sz w:val="21"/>
                <w:szCs w:val="21"/>
              </w:rPr>
            </w:pPr>
            <w:r>
              <w:rPr>
                <w:rFonts w:hint="eastAsia" w:ascii="宋体" w:hAnsi="宋体"/>
                <w:color w:val="auto"/>
                <w:sz w:val="21"/>
                <w:szCs w:val="21"/>
              </w:rPr>
              <w:t>功能适应性改造措施。利用前景较大，可对糖厂进行原址恢复，改造为糖厂工业博物馆或创意工作室。在周边配套相关的基础设施如商业综合体等，从而带动光明区的发展。</w:t>
            </w:r>
          </w:p>
        </w:tc>
      </w:tr>
    </w:tbl>
    <w:p>
      <w:pPr>
        <w:pStyle w:val="8"/>
        <w:rPr>
          <w:color w:val="auto"/>
        </w:rPr>
      </w:pPr>
    </w:p>
    <w:p>
      <w:pPr>
        <w:pStyle w:val="4"/>
        <w:rPr>
          <w:color w:val="auto"/>
        </w:rPr>
      </w:pPr>
      <w:r>
        <w:rPr>
          <w:rFonts w:hint="eastAsia"/>
          <w:color w:val="auto"/>
        </w:rPr>
        <w:t>6</w:t>
      </w:r>
      <w:r>
        <w:rPr>
          <w:color w:val="auto"/>
        </w:rPr>
        <w:t>.2.4</w:t>
      </w:r>
      <w:r>
        <w:rPr>
          <w:rFonts w:hint="eastAsia"/>
          <w:color w:val="auto"/>
        </w:rPr>
        <w:t>改革开放博物馆之城建设</w:t>
      </w:r>
    </w:p>
    <w:p>
      <w:pPr>
        <w:pStyle w:val="8"/>
        <w:rPr>
          <w:color w:val="auto"/>
        </w:rPr>
      </w:pPr>
      <w:r>
        <w:rPr>
          <w:rFonts w:hint="eastAsia"/>
          <w:color w:val="auto"/>
        </w:rPr>
        <w:t>习近平总书记</w:t>
      </w:r>
      <w:r>
        <w:rPr>
          <w:rFonts w:hint="eastAsia"/>
          <w:color w:val="auto"/>
          <w:lang w:val="en-US" w:eastAsia="zh-CN"/>
        </w:rPr>
        <w:t>指出</w:t>
      </w:r>
      <w:r>
        <w:rPr>
          <w:rFonts w:hint="eastAsia"/>
          <w:color w:val="auto"/>
        </w:rPr>
        <w:t>，文化是一个国家、一个民族的灵魂。中央宣传部、国家发展改革委、教育部等九部门印发的《关于推进博物馆改革发展的指导意见》提出，将博物馆事业主动融入国家经济社会发展大局，探索在文化资源丰厚地区建设“博物馆之城”、“博物馆小镇”等集群聚落。深圳作为改革开放的先行城市、示范城市，在现有展陈场馆的基础上，通过进一步完善展馆体系、拓展展陈内容、创新文博业态、提升服务水平，完全有条件建设成为国家改革开放博物馆之城。</w:t>
      </w:r>
    </w:p>
    <w:p>
      <w:pPr>
        <w:pStyle w:val="8"/>
        <w:ind w:firstLine="482"/>
        <w:rPr>
          <w:b/>
          <w:color w:val="auto"/>
        </w:rPr>
      </w:pPr>
      <w:r>
        <w:rPr>
          <w:rFonts w:hint="eastAsia"/>
          <w:b/>
          <w:color w:val="auto"/>
        </w:rPr>
        <w:t>（</w:t>
      </w:r>
      <w:r>
        <w:rPr>
          <w:b/>
          <w:color w:val="auto"/>
        </w:rPr>
        <w:t>1</w:t>
      </w:r>
      <w:r>
        <w:rPr>
          <w:rFonts w:hint="eastAsia"/>
          <w:b/>
          <w:color w:val="auto"/>
        </w:rPr>
        <w:t>）展馆体系建设</w:t>
      </w:r>
    </w:p>
    <w:p>
      <w:pPr>
        <w:pStyle w:val="8"/>
        <w:rPr>
          <w:color w:val="auto"/>
        </w:rPr>
      </w:pPr>
      <w:r>
        <w:rPr>
          <w:rFonts w:hint="eastAsia"/>
          <w:color w:val="auto"/>
        </w:rPr>
        <w:t>明确深圳各类博物馆的类型以及展陈内容，推动建设以一批反映党和国家成就的当代主题博物馆、展示深圳物质遗产和非物质文化遗产的博物馆，如展示当地特色文化生活、改革开放特色及成就等。</w:t>
      </w:r>
    </w:p>
    <w:p>
      <w:pPr>
        <w:pStyle w:val="8"/>
        <w:rPr>
          <w:color w:val="auto"/>
        </w:rPr>
      </w:pPr>
      <w:r>
        <w:rPr>
          <w:rFonts w:hint="eastAsia"/>
          <w:color w:val="auto"/>
        </w:rPr>
        <w:t>规划在福田区建设深圳改革开放展览馆，结合公布的重要史迹中具有展示功能的史迹点：深圳图书馆旧馆、科学馆旧馆、博物馆旧馆、中英历史博物馆、深圳劳工博物馆、中华民俗村、世界之窗、南头中学校史馆、广东浮法玻璃厂、微波山时间广场、前海石公园、</w:t>
      </w:r>
      <w:r>
        <w:rPr>
          <w:rFonts w:hint="default"/>
          <w:color w:val="auto"/>
          <w:lang w:val="en"/>
        </w:rPr>
        <w:t>邓小平铜像</w:t>
      </w:r>
      <w:r>
        <w:rPr>
          <w:rFonts w:hint="eastAsia"/>
          <w:color w:val="auto"/>
        </w:rPr>
        <w:t>、孺子牛雕像、袁庚祖居、艺象I</w:t>
      </w:r>
      <w:r>
        <w:rPr>
          <w:color w:val="auto"/>
        </w:rPr>
        <w:t>D TOWN</w:t>
      </w:r>
      <w:r>
        <w:rPr>
          <w:rFonts w:hint="eastAsia"/>
          <w:color w:val="auto"/>
        </w:rPr>
        <w:t>。种类体系都较为丰富。可在规划的展示轴线上进行相关展馆的规划，构成展馆体系。</w:t>
      </w:r>
    </w:p>
    <w:p>
      <w:pPr>
        <w:pStyle w:val="8"/>
        <w:ind w:firstLine="482"/>
        <w:rPr>
          <w:b/>
          <w:color w:val="auto"/>
        </w:rPr>
      </w:pPr>
      <w:r>
        <w:rPr>
          <w:rFonts w:hint="eastAsia"/>
          <w:b/>
          <w:color w:val="auto"/>
        </w:rPr>
        <w:t>（</w:t>
      </w:r>
      <w:r>
        <w:rPr>
          <w:b/>
          <w:color w:val="auto"/>
        </w:rPr>
        <w:t>2</w:t>
      </w:r>
      <w:r>
        <w:rPr>
          <w:rFonts w:hint="eastAsia"/>
          <w:b/>
          <w:color w:val="auto"/>
        </w:rPr>
        <w:t>）纪念物征藏与管理</w:t>
      </w:r>
    </w:p>
    <w:p>
      <w:pPr>
        <w:pStyle w:val="8"/>
        <w:rPr>
          <w:color w:val="auto"/>
        </w:rPr>
      </w:pPr>
      <w:r>
        <w:rPr>
          <w:rFonts w:hint="eastAsia"/>
          <w:color w:val="auto"/>
        </w:rPr>
        <w:t>改革开放纪念物的征藏范围包括：有关改革开放的实物、图片或资料；有关改革开放活动期间的实物、图片或资料；有关改革开放革命人物的实物、图片或资料；有关改革开放建设过程中的有关实物、图片或资料；改革开放期间到深圳参观和视察的党政军领导人的照片、题词等。</w:t>
      </w:r>
    </w:p>
    <w:p>
      <w:pPr>
        <w:pStyle w:val="8"/>
        <w:rPr>
          <w:color w:val="auto"/>
        </w:rPr>
      </w:pPr>
      <w:r>
        <w:rPr>
          <w:rFonts w:hint="eastAsia"/>
          <w:color w:val="auto"/>
        </w:rPr>
        <w:t>博物馆应根据本馆的性质和任务征藏相关纪念物。纪念物必须具有相关的改革开放历史、科学、文化价值，</w:t>
      </w:r>
      <w:r>
        <w:rPr>
          <w:rFonts w:hint="eastAsia"/>
          <w:color w:val="auto"/>
          <w:lang w:val="en-US" w:eastAsia="zh-CN"/>
        </w:rPr>
        <w:t>实行</w:t>
      </w:r>
      <w:r>
        <w:rPr>
          <w:rFonts w:hint="eastAsia"/>
          <w:color w:val="auto"/>
        </w:rPr>
        <w:t>分级保护。</w:t>
      </w:r>
      <w:r>
        <w:rPr>
          <w:color w:val="auto"/>
        </w:rPr>
        <w:t>博物馆对</w:t>
      </w:r>
      <w:r>
        <w:rPr>
          <w:rFonts w:hint="eastAsia"/>
          <w:color w:val="auto"/>
        </w:rPr>
        <w:t>纪念物</w:t>
      </w:r>
      <w:r>
        <w:rPr>
          <w:color w:val="auto"/>
        </w:rPr>
        <w:t>负有科学管理、科学保护、整理研究、公开展出和提供使用的责任</w:t>
      </w:r>
      <w:r>
        <w:rPr>
          <w:rFonts w:hint="eastAsia"/>
          <w:color w:val="auto"/>
        </w:rPr>
        <w:t>。</w:t>
      </w:r>
    </w:p>
    <w:p>
      <w:pPr>
        <w:pStyle w:val="8"/>
        <w:ind w:firstLine="482"/>
        <w:rPr>
          <w:b/>
          <w:color w:val="auto"/>
        </w:rPr>
      </w:pPr>
      <w:r>
        <w:rPr>
          <w:rFonts w:hint="eastAsia"/>
          <w:b/>
          <w:color w:val="auto"/>
        </w:rPr>
        <w:t>（</w:t>
      </w:r>
      <w:r>
        <w:rPr>
          <w:b/>
          <w:color w:val="auto"/>
        </w:rPr>
        <w:t>3</w:t>
      </w:r>
      <w:r>
        <w:rPr>
          <w:rFonts w:hint="eastAsia"/>
          <w:b/>
          <w:color w:val="auto"/>
        </w:rPr>
        <w:t>）创新展陈形式</w:t>
      </w:r>
    </w:p>
    <w:p>
      <w:pPr>
        <w:pStyle w:val="8"/>
        <w:rPr>
          <w:color w:val="auto"/>
          <w:highlight w:val="yellow"/>
        </w:rPr>
      </w:pPr>
      <w:r>
        <w:rPr>
          <w:rFonts w:hint="eastAsia"/>
          <w:color w:val="auto"/>
        </w:rPr>
        <w:t>强化新媒体辅助展示。在对中心区域进行展示时，可借助相关改革开放的网站以及公众号等新媒体展示方式进行辅助展示。大众在参观史迹时可以通过网站对深圳改革开放的历史有一定的了解，并且在参观时可通过公众号的扫码获得免费的讲解，有利于大众更好地了解史迹的相关背景和内容。这种手段能更好向公众平台展示，建设维护成本也较低，也更符合当代人的参观需求。</w:t>
      </w:r>
    </w:p>
    <w:p>
      <w:pPr>
        <w:pStyle w:val="8"/>
        <w:rPr>
          <w:color w:val="auto"/>
        </w:rPr>
      </w:pPr>
      <w:r>
        <w:rPr>
          <w:rFonts w:hint="eastAsia"/>
          <w:color w:val="auto"/>
        </w:rPr>
        <w:t>增加新的文创业态、数字化展示、社区教育类的展示形式。如文创类开发相关的改革开放文化I</w:t>
      </w:r>
      <w:r>
        <w:rPr>
          <w:color w:val="auto"/>
        </w:rPr>
        <w:t>P</w:t>
      </w:r>
      <w:r>
        <w:rPr>
          <w:rFonts w:hint="eastAsia"/>
          <w:color w:val="auto"/>
        </w:rPr>
        <w:t>，进行相关文创空间建设；社区教育类基本构建起网格化管理、信息化支撑、开放共享的智慧社区展示平台，加强数字教育等。通过数字化影像对保存情况较差的史迹进行模拟复原展示，同时建立深圳改革开放的相关事迹的信息数据库。将改革开放的史迹全面介绍并发掘其内涵价值，编辑出版相关的资料集。突出改革开放带给深圳的重要意义以及</w:t>
      </w:r>
      <w:r>
        <w:rPr>
          <w:rFonts w:hint="eastAsia"/>
          <w:color w:val="auto"/>
          <w:lang w:val="en-US" w:eastAsia="zh-CN"/>
        </w:rPr>
        <w:t>深圳</w:t>
      </w:r>
      <w:r>
        <w:rPr>
          <w:rFonts w:hint="eastAsia"/>
          <w:color w:val="auto"/>
        </w:rPr>
        <w:t>在整个中国改革开放历史上的重要地位。</w:t>
      </w:r>
    </w:p>
    <w:p>
      <w:pPr>
        <w:pStyle w:val="4"/>
        <w:rPr>
          <w:color w:val="auto"/>
        </w:rPr>
      </w:pPr>
      <w:r>
        <w:rPr>
          <w:rFonts w:hint="eastAsia"/>
          <w:color w:val="auto"/>
        </w:rPr>
        <w:t>6</w:t>
      </w:r>
      <w:r>
        <w:rPr>
          <w:color w:val="auto"/>
        </w:rPr>
        <w:t xml:space="preserve">.2.5 </w:t>
      </w:r>
      <w:r>
        <w:rPr>
          <w:rFonts w:hint="eastAsia"/>
          <w:color w:val="auto"/>
        </w:rPr>
        <w:t>重要史迹展示利用工程重点项目</w:t>
      </w:r>
    </w:p>
    <w:p>
      <w:pPr>
        <w:pStyle w:val="8"/>
        <w:ind w:firstLine="0" w:firstLineChars="0"/>
        <w:rPr>
          <w:b/>
          <w:color w:val="auto"/>
        </w:rPr>
      </w:pPr>
      <w:r>
        <w:rPr>
          <w:rFonts w:hint="eastAsia"/>
          <w:b/>
          <w:color w:val="auto"/>
        </w:rPr>
        <w:t>（1）光明街道糖厂展示利用项目</w:t>
      </w:r>
    </w:p>
    <w:p>
      <w:pPr>
        <w:pStyle w:val="8"/>
        <w:rPr>
          <w:color w:val="auto"/>
        </w:rPr>
      </w:pPr>
      <w:r>
        <w:rPr>
          <w:rFonts w:hint="eastAsia"/>
          <w:color w:val="auto"/>
        </w:rPr>
        <w:t>史迹位于光明区光明街道翠湖社区。史迹现状：现所有权为国家，史迹类型为工业建筑，无人使用。光明糖厂是光明集团最早期探索工业化生产的尝试，开创了许多工业化生产的先例，对于光明集团的发展有举足轻重的作用。光明糖厂位于光明区光明街道翠湖社区，</w:t>
      </w:r>
      <w:r>
        <w:rPr>
          <w:color w:val="auto"/>
        </w:rPr>
        <w:t xml:space="preserve">1972 </w:t>
      </w:r>
      <w:r>
        <w:rPr>
          <w:rFonts w:hint="eastAsia"/>
          <w:color w:val="auto"/>
        </w:rPr>
        <w:t>年建成，</w:t>
      </w:r>
      <w:r>
        <w:rPr>
          <w:color w:val="auto"/>
        </w:rPr>
        <w:t xml:space="preserve"> </w:t>
      </w:r>
      <w:r>
        <w:rPr>
          <w:rFonts w:hint="eastAsia"/>
          <w:color w:val="auto"/>
        </w:rPr>
        <w:t>占地面积约</w:t>
      </w:r>
      <w:r>
        <w:rPr>
          <w:color w:val="auto"/>
        </w:rPr>
        <w:t xml:space="preserve"> 35000 </w:t>
      </w:r>
      <w:r>
        <w:rPr>
          <w:rFonts w:hint="eastAsia"/>
          <w:color w:val="auto"/>
        </w:rPr>
        <w:t>平方米，内有压碎车间、压榨车间、锅炉房、蒸汽车间、制炼车间、储糖车间，各车间之间通过管道连接。车间均为单层、砖结构，部分外墙贴有瓷砖。目前光明糖厂已废弃，厂区杂草丛生，建筑损毁严重。</w:t>
      </w:r>
    </w:p>
    <w:p>
      <w:pPr>
        <w:pStyle w:val="8"/>
        <w:rPr>
          <w:color w:val="auto"/>
          <w:highlight w:val="yellow"/>
        </w:rPr>
      </w:pPr>
      <w:r>
        <w:rPr>
          <w:rFonts w:hint="eastAsia"/>
          <w:color w:val="auto"/>
        </w:rPr>
        <w:t>建议对糖厂可进行相关博物馆式改造，展示深圳改革开放前后轻工业的发展历史。保留糖厂原有的核心工业功能，进行还原展示。在糖厂内进行改革开放相关的展陈空间的设置，如陈列展示、标识展示、数字展示等。</w:t>
      </w:r>
    </w:p>
    <w:p>
      <w:pPr>
        <w:pStyle w:val="8"/>
        <w:ind w:firstLine="0" w:firstLineChars="0"/>
        <w:rPr>
          <w:b/>
          <w:color w:val="auto"/>
        </w:rPr>
      </w:pPr>
      <w:r>
        <w:rPr>
          <w:rFonts w:hint="eastAsia"/>
          <w:b/>
          <w:color w:val="auto"/>
        </w:rPr>
        <w:t>（2）大成面粉厂工业遗产创意园区建设项目</w:t>
      </w:r>
    </w:p>
    <w:p>
      <w:pPr>
        <w:pStyle w:val="8"/>
        <w:rPr>
          <w:color w:val="auto"/>
        </w:rPr>
      </w:pPr>
      <w:r>
        <w:rPr>
          <w:rFonts w:hint="eastAsia"/>
          <w:color w:val="auto"/>
        </w:rPr>
        <w:t>大成面粉厂占地</w:t>
      </w:r>
      <w:r>
        <w:rPr>
          <w:color w:val="auto"/>
        </w:rPr>
        <w:t>33000</w:t>
      </w:r>
      <w:r>
        <w:rPr>
          <w:rFonts w:hint="eastAsia"/>
          <w:color w:val="auto"/>
        </w:rPr>
        <w:t>㎡，位于广东省深圳市南山区港湾大道</w:t>
      </w:r>
      <w:r>
        <w:rPr>
          <w:color w:val="auto"/>
        </w:rPr>
        <w:t>3</w:t>
      </w:r>
      <w:r>
        <w:rPr>
          <w:rFonts w:hint="eastAsia"/>
          <w:color w:val="auto"/>
        </w:rPr>
        <w:t>号。现所有权为集体，史迹类型为工业建筑，现处于闲置状态。大成面粉厂位于太子湾项目东北角、港湾大道以南，前身为</w:t>
      </w:r>
      <w:r>
        <w:rPr>
          <w:color w:val="auto"/>
        </w:rPr>
        <w:t>1980</w:t>
      </w:r>
      <w:r>
        <w:rPr>
          <w:rFonts w:hint="eastAsia"/>
          <w:color w:val="auto"/>
        </w:rPr>
        <w:t>年成立的远东</w:t>
      </w:r>
      <w:r>
        <w:rPr>
          <w:color w:val="auto"/>
        </w:rPr>
        <w:t>(</w:t>
      </w:r>
      <w:r>
        <w:rPr>
          <w:rFonts w:hint="eastAsia"/>
          <w:color w:val="auto"/>
        </w:rPr>
        <w:t>中国</w:t>
      </w:r>
      <w:r>
        <w:rPr>
          <w:color w:val="auto"/>
        </w:rPr>
        <w:t>)</w:t>
      </w:r>
      <w:r>
        <w:rPr>
          <w:rFonts w:hint="eastAsia"/>
          <w:color w:val="auto"/>
        </w:rPr>
        <w:t>面粉厂，现存</w:t>
      </w:r>
      <w:r>
        <w:rPr>
          <w:color w:val="auto"/>
        </w:rPr>
        <w:t>5</w:t>
      </w:r>
      <w:r>
        <w:rPr>
          <w:rFonts w:hint="eastAsia"/>
          <w:color w:val="auto"/>
        </w:rPr>
        <w:t>座厂房建筑及</w:t>
      </w:r>
      <w:r>
        <w:rPr>
          <w:color w:val="auto"/>
        </w:rPr>
        <w:t>10</w:t>
      </w:r>
      <w:r>
        <w:rPr>
          <w:rFonts w:hint="eastAsia"/>
          <w:color w:val="auto"/>
        </w:rPr>
        <w:t>个巨型的圆柱形筒仓建筑群，筒仓建筑群上印刷有</w:t>
      </w:r>
      <w:r>
        <w:rPr>
          <w:color w:val="auto"/>
        </w:rPr>
        <w:t>“</w:t>
      </w:r>
      <w:r>
        <w:rPr>
          <w:rFonts w:hint="eastAsia"/>
          <w:color w:val="auto"/>
        </w:rPr>
        <w:t>大成面粉</w:t>
      </w:r>
      <w:r>
        <w:rPr>
          <w:color w:val="auto"/>
        </w:rPr>
        <w:t>”</w:t>
      </w:r>
      <w:r>
        <w:rPr>
          <w:rFonts w:hint="eastAsia"/>
          <w:color w:val="auto"/>
        </w:rPr>
        <w:t>、</w:t>
      </w:r>
      <w:r>
        <w:rPr>
          <w:color w:val="auto"/>
        </w:rPr>
        <w:t>“</w:t>
      </w:r>
      <w:r>
        <w:rPr>
          <w:rFonts w:hint="eastAsia"/>
          <w:color w:val="auto"/>
        </w:rPr>
        <w:t>铁人面粉</w:t>
      </w:r>
      <w:r>
        <w:rPr>
          <w:color w:val="auto"/>
        </w:rPr>
        <w:t>”</w:t>
      </w:r>
      <w:r>
        <w:rPr>
          <w:rFonts w:hint="eastAsia"/>
          <w:color w:val="auto"/>
        </w:rPr>
        <w:t>八个大字。目前大成面粉厂已废弃，厂区杂草丛生，建筑损毁严重。大成面粉厂是招商局为蛇口工业区引进的</w:t>
      </w:r>
      <w:r>
        <w:rPr>
          <w:rFonts w:hint="eastAsia"/>
          <w:color w:val="auto"/>
          <w:lang w:val="en-US" w:eastAsia="zh-CN"/>
        </w:rPr>
        <w:t>早期重要的</w:t>
      </w:r>
      <w:r>
        <w:rPr>
          <w:rFonts w:hint="eastAsia"/>
          <w:color w:val="auto"/>
        </w:rPr>
        <w:t>外资独资、独家经营的企业，带来较大的社会经济价值；同时，</w:t>
      </w:r>
      <w:r>
        <w:rPr>
          <w:color w:val="auto"/>
        </w:rPr>
        <w:t>2015</w:t>
      </w:r>
      <w:r>
        <w:rPr>
          <w:rFonts w:hint="eastAsia"/>
          <w:color w:val="auto"/>
        </w:rPr>
        <w:t>年深港城市建筑双城双年展选择大成面粉厂及邻近的</w:t>
      </w:r>
      <w:r>
        <w:rPr>
          <w:color w:val="auto"/>
        </w:rPr>
        <w:t>8</w:t>
      </w:r>
      <w:r>
        <w:rPr>
          <w:rFonts w:hint="eastAsia"/>
          <w:color w:val="auto"/>
        </w:rPr>
        <w:t>号仓作为主展场，总计有约</w:t>
      </w:r>
      <w:r>
        <w:rPr>
          <w:color w:val="auto"/>
        </w:rPr>
        <w:t>25</w:t>
      </w:r>
      <w:r>
        <w:rPr>
          <w:rFonts w:hint="eastAsia"/>
          <w:color w:val="auto"/>
        </w:rPr>
        <w:t>万人曾经到达过</w:t>
      </w:r>
      <w:r>
        <w:rPr>
          <w:color w:val="auto"/>
        </w:rPr>
        <w:t>8</w:t>
      </w:r>
      <w:r>
        <w:rPr>
          <w:rFonts w:hint="eastAsia"/>
          <w:color w:val="auto"/>
        </w:rPr>
        <w:t>号仓和大成面粉厂，并且在其中创建独特的公众参观流线，为城市中的每一个人提供近距离接触工业繁荣印记的机会，承担了社会服务价值。</w:t>
      </w:r>
    </w:p>
    <w:p>
      <w:pPr>
        <w:pStyle w:val="8"/>
        <w:rPr>
          <w:color w:val="auto"/>
        </w:rPr>
      </w:pPr>
      <w:r>
        <w:rPr>
          <w:rFonts w:hint="eastAsia"/>
          <w:color w:val="auto"/>
        </w:rPr>
        <w:t>建议对大成面粉厂进行工业遗产创意园区改造，记录展现改革开放时期工业生产的历程，打造深圳改革开放早期工业生产的典型展示地，并与周边的广东浮法玻璃厂进行联合展示。</w:t>
      </w:r>
    </w:p>
    <w:p>
      <w:pPr>
        <w:pStyle w:val="8"/>
        <w:ind w:firstLine="0" w:firstLineChars="0"/>
        <w:rPr>
          <w:b/>
          <w:color w:val="auto"/>
        </w:rPr>
      </w:pPr>
      <w:r>
        <w:rPr>
          <w:rFonts w:hint="eastAsia"/>
          <w:b/>
          <w:color w:val="auto"/>
        </w:rPr>
        <w:t>（3） “空谈误国、实干兴邦”市民广场改造提升项目</w:t>
      </w:r>
    </w:p>
    <w:p>
      <w:pPr>
        <w:pStyle w:val="8"/>
        <w:rPr>
          <w:color w:val="auto"/>
        </w:rPr>
      </w:pPr>
      <w:r>
        <w:rPr>
          <w:rFonts w:hint="eastAsia"/>
          <w:color w:val="auto"/>
        </w:rPr>
        <w:t>“空谈误国，实干兴邦”标语牌占地</w:t>
      </w:r>
      <w:r>
        <w:rPr>
          <w:color w:val="auto"/>
        </w:rPr>
        <w:t>500</w:t>
      </w:r>
      <w:r>
        <w:rPr>
          <w:rFonts w:hint="eastAsia"/>
          <w:color w:val="auto"/>
        </w:rPr>
        <w:t>㎡，位于南山区南海大道与工业六路交汇处，现所有权为集体，史迹类型为构筑物。</w:t>
      </w:r>
      <w:r>
        <w:rPr>
          <w:color w:val="auto"/>
        </w:rPr>
        <w:t>1992</w:t>
      </w:r>
      <w:r>
        <w:rPr>
          <w:rFonts w:hint="eastAsia"/>
          <w:color w:val="auto"/>
        </w:rPr>
        <w:t>年初，袁庚同志在南山区南海大道与工业六路交汇处竖起</w:t>
      </w:r>
      <w:r>
        <w:rPr>
          <w:color w:val="auto"/>
        </w:rPr>
        <w:t>“</w:t>
      </w:r>
      <w:r>
        <w:rPr>
          <w:rFonts w:hint="eastAsia"/>
          <w:color w:val="auto"/>
        </w:rPr>
        <w:t>空谈误国，实干兴邦</w:t>
      </w:r>
      <w:r>
        <w:rPr>
          <w:color w:val="auto"/>
        </w:rPr>
        <w:t>”</w:t>
      </w:r>
      <w:r>
        <w:rPr>
          <w:rFonts w:hint="eastAsia"/>
          <w:color w:val="auto"/>
        </w:rPr>
        <w:t>标语牌。该标语牌体现了邓小平南方谈话精神实质，鼓舞了深圳人建设特区、奋力改革的决心和斗志，并很快成为全国的流行语。该口号旗帜鲜明地倡导一种新的价值观和发展观，减少争论，多干实事，呼应了“发展是硬道理”的时代主题，为排除思想上的干扰、推进改革开放的探索与实践发挥了重要作用。</w:t>
      </w:r>
    </w:p>
    <w:p>
      <w:pPr>
        <w:pStyle w:val="8"/>
        <w:rPr>
          <w:color w:val="auto"/>
        </w:rPr>
      </w:pPr>
      <w:r>
        <w:rPr>
          <w:rFonts w:hint="eastAsia"/>
          <w:color w:val="auto"/>
        </w:rPr>
        <w:t>建议可在标语牌周边进行小范围的环境改造，设置可停留广场、廊道等，并配以相应的绿化设施，形成城市的小空间聚集点。</w:t>
      </w:r>
    </w:p>
    <w:p>
      <w:pPr>
        <w:pStyle w:val="8"/>
        <w:ind w:firstLine="0" w:firstLineChars="0"/>
        <w:rPr>
          <w:b/>
          <w:color w:val="auto"/>
        </w:rPr>
      </w:pPr>
      <w:r>
        <w:rPr>
          <w:rFonts w:hint="eastAsia"/>
          <w:b/>
          <w:color w:val="auto"/>
        </w:rPr>
        <w:t>（4）微波山时间广场改造提升项目</w:t>
      </w:r>
    </w:p>
    <w:p>
      <w:pPr>
        <w:pStyle w:val="8"/>
        <w:rPr>
          <w:color w:val="auto"/>
        </w:rPr>
      </w:pPr>
      <w:r>
        <w:rPr>
          <w:rFonts w:hint="eastAsia"/>
          <w:color w:val="auto"/>
        </w:rPr>
        <w:t>微波山时间广场占地面积约</w:t>
      </w:r>
      <w:r>
        <w:rPr>
          <w:color w:val="auto"/>
        </w:rPr>
        <w:t>30000</w:t>
      </w:r>
      <w:r>
        <w:rPr>
          <w:rFonts w:hint="eastAsia"/>
          <w:color w:val="auto"/>
        </w:rPr>
        <w:t>㎡，位于南山区工业一路</w:t>
      </w:r>
      <w:r>
        <w:rPr>
          <w:color w:val="auto"/>
        </w:rPr>
        <w:t>/</w:t>
      </w:r>
      <w:r>
        <w:rPr>
          <w:rFonts w:hint="eastAsia"/>
          <w:color w:val="auto"/>
        </w:rPr>
        <w:t>南海大道。现所有权为集体，史迹类型为重要历史事件或纪念设施。微波山：</w:t>
      </w:r>
      <w:r>
        <w:rPr>
          <w:color w:val="auto"/>
        </w:rPr>
        <w:t>1979</w:t>
      </w:r>
      <w:r>
        <w:rPr>
          <w:rFonts w:hint="eastAsia"/>
          <w:color w:val="auto"/>
        </w:rPr>
        <w:t>年，改革开放的</w:t>
      </w:r>
      <w:r>
        <w:rPr>
          <w:color w:val="auto"/>
        </w:rPr>
        <w:t>“</w:t>
      </w:r>
      <w:r>
        <w:rPr>
          <w:rFonts w:hint="eastAsia"/>
          <w:color w:val="auto"/>
        </w:rPr>
        <w:t>第一炮</w:t>
      </w:r>
      <w:r>
        <w:rPr>
          <w:color w:val="auto"/>
        </w:rPr>
        <w:t>”</w:t>
      </w:r>
      <w:r>
        <w:rPr>
          <w:rFonts w:hint="eastAsia"/>
          <w:color w:val="auto"/>
        </w:rPr>
        <w:t>；</w:t>
      </w:r>
      <w:r>
        <w:rPr>
          <w:color w:val="auto"/>
        </w:rPr>
        <w:t>“</w:t>
      </w:r>
      <w:r>
        <w:rPr>
          <w:rFonts w:hint="eastAsia"/>
          <w:color w:val="auto"/>
        </w:rPr>
        <w:t>时间就是金钱，效率就是生命</w:t>
      </w:r>
      <w:r>
        <w:rPr>
          <w:color w:val="auto"/>
        </w:rPr>
        <w:t>”</w:t>
      </w:r>
      <w:r>
        <w:rPr>
          <w:rFonts w:hint="eastAsia"/>
          <w:color w:val="auto"/>
        </w:rPr>
        <w:t>：</w:t>
      </w:r>
      <w:r>
        <w:rPr>
          <w:color w:val="auto"/>
        </w:rPr>
        <w:t>“</w:t>
      </w:r>
      <w:r>
        <w:rPr>
          <w:rFonts w:hint="eastAsia"/>
          <w:color w:val="auto"/>
        </w:rPr>
        <w:t>知名度最高，对国人最有影响的口号</w:t>
      </w:r>
      <w:r>
        <w:rPr>
          <w:color w:val="auto"/>
        </w:rPr>
        <w:t>”</w:t>
      </w:r>
      <w:r>
        <w:rPr>
          <w:rFonts w:hint="eastAsia"/>
          <w:color w:val="auto"/>
        </w:rPr>
        <w:t>。在时间广场的地面上，刻有不同时期深圳及蛇口改革开放的重要历史事件和时间节点。</w:t>
      </w:r>
    </w:p>
    <w:p>
      <w:pPr>
        <w:pStyle w:val="8"/>
        <w:rPr>
          <w:color w:val="auto"/>
        </w:rPr>
      </w:pPr>
      <w:r>
        <w:rPr>
          <w:rFonts w:hint="eastAsia"/>
          <w:color w:val="auto"/>
        </w:rPr>
        <w:t>建议可结合广场后面的绿地打造微波山时间广场公园。在公园内对标语牌等进行保护规划，对景观进行设计规划，增加改革开放的相关展示牌展示。以改革开放为核心，进行相关的景观设计。可参考时间广场的特点如地面的时间表盘，结合市民公园的需求，进行相关的再创作设计。</w:t>
      </w:r>
    </w:p>
    <w:p>
      <w:pPr>
        <w:pStyle w:val="8"/>
        <w:ind w:firstLine="0" w:firstLineChars="0"/>
        <w:rPr>
          <w:b/>
          <w:color w:val="auto"/>
        </w:rPr>
      </w:pPr>
      <w:r>
        <w:rPr>
          <w:rFonts w:hint="eastAsia"/>
          <w:b/>
          <w:color w:val="auto"/>
        </w:rPr>
        <w:t>（5）南海酒店改造提升项目</w:t>
      </w:r>
    </w:p>
    <w:p>
      <w:pPr>
        <w:pStyle w:val="8"/>
        <w:rPr>
          <w:b/>
          <w:color w:val="auto"/>
        </w:rPr>
      </w:pPr>
      <w:r>
        <w:rPr>
          <w:rFonts w:hint="eastAsia"/>
          <w:color w:val="auto"/>
        </w:rPr>
        <w:t>南海酒店位于深南山区蛇口太子路，现所有权为集体，史迹类型为重要历史事件或纪念设施。由集团、银行等联合投资，是深圳首家由“中国政府评定的五星级酒店”。建筑设计独特，深圳地标建筑。为吸引留住油田的投资开发者，促进南海油田的开发而建。充分体现了开拓创新的深圳精神。</w:t>
      </w:r>
    </w:p>
    <w:p>
      <w:pPr>
        <w:pStyle w:val="8"/>
        <w:rPr>
          <w:color w:val="auto"/>
        </w:rPr>
      </w:pPr>
      <w:r>
        <w:rPr>
          <w:rFonts w:hint="eastAsia"/>
          <w:color w:val="auto"/>
        </w:rPr>
        <w:t>建议局部开放酒店的相关公共区域，参考国贸大厦的展示运作模式，宣传打造南海酒店的地标性建筑的特点，在公共区域对酒店的历史进行说明展示。结合酒店的中餐厅对外开放。</w:t>
      </w:r>
    </w:p>
    <w:p>
      <w:pPr>
        <w:pStyle w:val="8"/>
        <w:ind w:firstLine="0" w:firstLineChars="0"/>
        <w:rPr>
          <w:b/>
          <w:color w:val="auto"/>
        </w:rPr>
      </w:pPr>
      <w:r>
        <w:rPr>
          <w:rFonts w:hint="eastAsia"/>
          <w:b/>
          <w:color w:val="auto"/>
        </w:rPr>
        <w:t>（6）</w:t>
      </w:r>
      <w:r>
        <w:rPr>
          <w:b/>
          <w:color w:val="auto"/>
        </w:rPr>
        <w:t>国贸大厦展厅改造项目</w:t>
      </w:r>
    </w:p>
    <w:p>
      <w:pPr>
        <w:pStyle w:val="8"/>
        <w:rPr>
          <w:color w:val="auto"/>
        </w:rPr>
      </w:pPr>
      <w:r>
        <w:rPr>
          <w:rFonts w:hint="eastAsia"/>
          <w:color w:val="auto"/>
        </w:rPr>
        <w:t>国贸大厦展厅占地面积约</w:t>
      </w:r>
      <w:r>
        <w:rPr>
          <w:color w:val="auto"/>
        </w:rPr>
        <w:t>1000㎡</w:t>
      </w:r>
      <w:r>
        <w:rPr>
          <w:rFonts w:hint="eastAsia"/>
          <w:color w:val="auto"/>
        </w:rPr>
        <w:t>，位于罗湖区人民南路与嘉宾路交汇处的东北角。现所有权为集体，史迹类别为重要历史事件纪念地或纪念设施、重要历史事件和重要机构旧址。主体建筑为</w:t>
      </w:r>
      <w:r>
        <w:rPr>
          <w:color w:val="auto"/>
        </w:rPr>
        <w:t>53层的式商业办公楼(地面以上50层,地面以下3层)。主楼建筑面积6万多平方米，高出地面160米,围绕主楼的5层裙楼(地上4层，地下1层)。为了纪念邓小平同志，当年邓小平发表讲话的地方已经改名为邓公厅。也即将在42楼建设深圳国贸大厦历史陈列馆。大楼施工引领了当时的中国高层建筑的建设方法。从1982年10月到1985年12月29日共37个月即竣工，以三天一层楼的速度建成，创造了建筑史上的新记录，是当时全国最高建筑。“三天一层楼”成为享誉中外的“深圳速度”的象征，体现了锐意改革、强化开放的时</w:t>
      </w:r>
      <w:r>
        <w:rPr>
          <w:rFonts w:hint="eastAsia"/>
          <w:color w:val="auto"/>
        </w:rPr>
        <w:t>代精神。深圳国贸大厦迄今已经接待过</w:t>
      </w:r>
      <w:r>
        <w:rPr>
          <w:color w:val="auto"/>
        </w:rPr>
        <w:t>400多位中外政要，包括邓小平、江泽民、胡锦涛、布什、尼克松等。</w:t>
      </w:r>
    </w:p>
    <w:p>
      <w:pPr>
        <w:pStyle w:val="8"/>
        <w:rPr>
          <w:color w:val="auto"/>
        </w:rPr>
      </w:pPr>
      <w:r>
        <w:rPr>
          <w:rFonts w:hint="eastAsia"/>
          <w:color w:val="auto"/>
        </w:rPr>
        <w:t>建议与大厦内的邓公厅、</w:t>
      </w:r>
      <w:r>
        <w:rPr>
          <w:color w:val="auto"/>
        </w:rPr>
        <w:t>42楼的国贸大厦历史陈列馆进行联合展馆规划，展示国贸大厦体现的“深圳速度”</w:t>
      </w:r>
      <w:r>
        <w:rPr>
          <w:rFonts w:hint="eastAsia"/>
          <w:color w:val="auto"/>
          <w:lang w:val="en-US" w:eastAsia="zh-CN"/>
        </w:rPr>
        <w:t>和</w:t>
      </w:r>
      <w:r>
        <w:rPr>
          <w:color w:val="auto"/>
        </w:rPr>
        <w:t>改革开放历年来</w:t>
      </w:r>
      <w:r>
        <w:rPr>
          <w:rFonts w:hint="eastAsia"/>
          <w:color w:val="auto"/>
          <w:lang w:val="en-US" w:eastAsia="zh-CN"/>
        </w:rPr>
        <w:t>重要</w:t>
      </w:r>
      <w:r>
        <w:rPr>
          <w:color w:val="auto"/>
        </w:rPr>
        <w:t>事件。</w:t>
      </w:r>
    </w:p>
    <w:p>
      <w:pPr>
        <w:pStyle w:val="8"/>
        <w:ind w:firstLine="0" w:firstLineChars="0"/>
        <w:rPr>
          <w:b/>
          <w:color w:val="auto"/>
        </w:rPr>
      </w:pPr>
      <w:r>
        <w:rPr>
          <w:rFonts w:hint="eastAsia"/>
          <w:b/>
          <w:color w:val="auto"/>
        </w:rPr>
        <w:t>（7）</w:t>
      </w:r>
      <w:r>
        <w:rPr>
          <w:b/>
          <w:color w:val="auto"/>
        </w:rPr>
        <w:t>渔民村改造提升项目</w:t>
      </w:r>
    </w:p>
    <w:p>
      <w:pPr>
        <w:pStyle w:val="8"/>
        <w:rPr>
          <w:color w:val="auto"/>
        </w:rPr>
      </w:pPr>
      <w:r>
        <w:rPr>
          <w:rFonts w:hint="eastAsia"/>
          <w:color w:val="auto"/>
        </w:rPr>
        <w:t>渔民村改造约</w:t>
      </w:r>
      <w:r>
        <w:rPr>
          <w:color w:val="auto"/>
        </w:rPr>
        <w:t>4000㎡</w:t>
      </w:r>
      <w:r>
        <w:rPr>
          <w:rFonts w:hint="eastAsia"/>
          <w:color w:val="auto"/>
        </w:rPr>
        <w:t>，位于罗湖区南湖街道。现所有权为集体，史迹类别为近现代重要史迹中的居住建筑类。</w:t>
      </w:r>
      <w:r>
        <w:rPr>
          <w:color w:val="auto"/>
        </w:rPr>
        <w:t>80年代初，为支持特区建设，罗湖农民以低廉的价格将自己的土地贡献给特区。随着改革开放进程的推进，渔民村大力发展集体经济，兴办来料加工业，经济得到发展。在全国率先成为“万元户村”，并兴建了新村住宅，实现了共同富裕。</w:t>
      </w:r>
    </w:p>
    <w:p>
      <w:pPr>
        <w:pStyle w:val="8"/>
        <w:rPr>
          <w:color w:val="auto"/>
        </w:rPr>
      </w:pPr>
      <w:r>
        <w:rPr>
          <w:rFonts w:hint="eastAsia"/>
          <w:color w:val="auto"/>
        </w:rPr>
        <w:t>建议继续为市民提供相关展览和参观功能。保护村落的文化长廊、村史馆等空间。在渔民村外部设置相关明显指引。内部改革开放相关介绍较为完善，但外部标识不足。</w:t>
      </w:r>
    </w:p>
    <w:p>
      <w:pPr>
        <w:pStyle w:val="8"/>
        <w:ind w:firstLine="0" w:firstLineChars="0"/>
        <w:rPr>
          <w:b/>
          <w:color w:val="auto"/>
        </w:rPr>
      </w:pPr>
      <w:r>
        <w:rPr>
          <w:rFonts w:hint="eastAsia"/>
          <w:b/>
          <w:color w:val="auto"/>
        </w:rPr>
        <w:t>（8）二线关同乐检查站改造项目</w:t>
      </w:r>
    </w:p>
    <w:p>
      <w:pPr>
        <w:pStyle w:val="8"/>
        <w:rPr>
          <w:color w:val="auto"/>
        </w:rPr>
      </w:pPr>
      <w:r>
        <w:rPr>
          <w:rFonts w:hint="eastAsia"/>
          <w:color w:val="auto"/>
        </w:rPr>
        <w:t>同乐检查站位于南山区广深高速，现所有权为国家，史迹类别为重要历史事件和重要机构旧址。</w:t>
      </w:r>
      <w:r>
        <w:rPr>
          <w:color w:val="auto"/>
        </w:rPr>
        <w:t xml:space="preserve">1982 </w:t>
      </w:r>
      <w:r>
        <w:rPr>
          <w:rFonts w:hint="eastAsia"/>
          <w:color w:val="auto"/>
        </w:rPr>
        <w:t>年</w:t>
      </w:r>
      <w:r>
        <w:rPr>
          <w:color w:val="auto"/>
        </w:rPr>
        <w:t xml:space="preserve"> 6 </w:t>
      </w:r>
      <w:r>
        <w:rPr>
          <w:rFonts w:hint="eastAsia"/>
          <w:color w:val="auto"/>
        </w:rPr>
        <w:t>月，深圳特区和非特区之间用铁丝网修筑了一道管理线，即深圳特区管理线，称为</w:t>
      </w:r>
      <w:r>
        <w:rPr>
          <w:color w:val="auto"/>
        </w:rPr>
        <w:t>“</w:t>
      </w:r>
      <w:r>
        <w:rPr>
          <w:rFonts w:hint="eastAsia"/>
          <w:color w:val="auto"/>
        </w:rPr>
        <w:t>二线”。这道线全长</w:t>
      </w:r>
      <w:r>
        <w:rPr>
          <w:color w:val="auto"/>
        </w:rPr>
        <w:t xml:space="preserve"> 83.5 </w:t>
      </w:r>
      <w:r>
        <w:rPr>
          <w:rFonts w:hint="eastAsia"/>
          <w:color w:val="auto"/>
        </w:rPr>
        <w:t>公里，把深圳分为特区内和特区内外，俗称关内和关外。特区管理线是深圳经济特区建设的历史见证。二线关共有</w:t>
      </w:r>
      <w:r>
        <w:rPr>
          <w:color w:val="auto"/>
        </w:rPr>
        <w:t xml:space="preserve"> 16 </w:t>
      </w:r>
      <w:r>
        <w:rPr>
          <w:rFonts w:hint="eastAsia"/>
          <w:color w:val="auto"/>
        </w:rPr>
        <w:t>个陆路关口、</w:t>
      </w:r>
      <w:r>
        <w:rPr>
          <w:color w:val="auto"/>
        </w:rPr>
        <w:t xml:space="preserve">1 </w:t>
      </w:r>
      <w:r>
        <w:rPr>
          <w:rFonts w:hint="eastAsia"/>
          <w:color w:val="auto"/>
        </w:rPr>
        <w:t>个水上关口及</w:t>
      </w:r>
      <w:r>
        <w:rPr>
          <w:color w:val="auto"/>
        </w:rPr>
        <w:t xml:space="preserve"> 23 </w:t>
      </w:r>
      <w:r>
        <w:rPr>
          <w:rFonts w:hint="eastAsia"/>
          <w:color w:val="auto"/>
        </w:rPr>
        <w:t>个耕作口。同乐关位于南山区西丽片区，是深圳联系广州、东莞方向的重要交通通道。原二线关口共有</w:t>
      </w:r>
      <w:r>
        <w:rPr>
          <w:color w:val="auto"/>
        </w:rPr>
        <w:t xml:space="preserve"> 16 </w:t>
      </w:r>
      <w:r>
        <w:rPr>
          <w:rFonts w:hint="eastAsia"/>
          <w:color w:val="auto"/>
        </w:rPr>
        <w:t>个联检楼，南坪、梅林、南头、白芒、布吉、沙湾、盐田、背仔角、南光及新区等</w:t>
      </w:r>
      <w:r>
        <w:rPr>
          <w:color w:val="auto"/>
        </w:rPr>
        <w:t xml:space="preserve"> 11 </w:t>
      </w:r>
      <w:r>
        <w:rPr>
          <w:rFonts w:hint="eastAsia"/>
          <w:color w:val="auto"/>
        </w:rPr>
        <w:t>个联检楼已全部拆除；现存有同乐关联检楼，移交市文体旅游局筹办二线关博物馆。</w:t>
      </w:r>
    </w:p>
    <w:p>
      <w:pPr>
        <w:pStyle w:val="8"/>
        <w:rPr>
          <w:color w:val="auto"/>
        </w:rPr>
      </w:pPr>
      <w:r>
        <w:rPr>
          <w:rFonts w:hint="eastAsia"/>
          <w:color w:val="auto"/>
        </w:rPr>
        <w:t>建议二线关是深圳特区的特殊历史产物，见证了特区的建立与发展。可将检查站改造为博物馆，记录改革开放的相关历史事件，同时进行局部的实际体验展示。让参观者对特区的检查线有更深刻的认识。</w:t>
      </w:r>
    </w:p>
    <w:p>
      <w:pPr>
        <w:pStyle w:val="8"/>
        <w:rPr>
          <w:color w:val="auto"/>
        </w:rPr>
      </w:pPr>
    </w:p>
    <w:p>
      <w:pPr>
        <w:pStyle w:val="8"/>
        <w:ind w:firstLine="0" w:firstLineChars="0"/>
        <w:rPr>
          <w:b/>
          <w:color w:val="auto"/>
        </w:rPr>
      </w:pPr>
      <w:r>
        <w:rPr>
          <w:rFonts w:hint="eastAsia"/>
          <w:b/>
          <w:color w:val="auto"/>
        </w:rPr>
        <w:t>（9）莲花山公园</w:t>
      </w:r>
      <w:r>
        <w:rPr>
          <w:rFonts w:hint="default"/>
          <w:b/>
          <w:color w:val="auto"/>
          <w:lang w:val="en"/>
        </w:rPr>
        <w:t>邓小平铜像</w:t>
      </w:r>
      <w:r>
        <w:rPr>
          <w:rFonts w:hint="eastAsia"/>
          <w:b/>
          <w:color w:val="auto"/>
        </w:rPr>
        <w:t>改造利用</w:t>
      </w:r>
    </w:p>
    <w:p>
      <w:pPr>
        <w:pStyle w:val="8"/>
        <w:rPr>
          <w:color w:val="auto"/>
        </w:rPr>
      </w:pPr>
      <w:r>
        <w:rPr>
          <w:rFonts w:hint="eastAsia"/>
          <w:color w:val="auto"/>
        </w:rPr>
        <w:t>史迹点位于福田区红荔路6</w:t>
      </w:r>
      <w:r>
        <w:rPr>
          <w:color w:val="auto"/>
        </w:rPr>
        <w:t>030</w:t>
      </w:r>
      <w:r>
        <w:rPr>
          <w:rFonts w:hint="eastAsia"/>
          <w:color w:val="auto"/>
        </w:rPr>
        <w:t>号，莲花山公园占地面积1</w:t>
      </w:r>
      <w:r>
        <w:rPr>
          <w:color w:val="auto"/>
        </w:rPr>
        <w:t>661400</w:t>
      </w:r>
      <w:r>
        <w:rPr>
          <w:rFonts w:hint="eastAsia"/>
          <w:color w:val="auto"/>
        </w:rPr>
        <w:t>㎡。商定的</w:t>
      </w:r>
      <w:r>
        <w:rPr>
          <w:rFonts w:hint="default"/>
          <w:color w:val="auto"/>
          <w:lang w:val="en"/>
        </w:rPr>
        <w:t>邓小平铜像</w:t>
      </w:r>
      <w:r>
        <w:rPr>
          <w:rFonts w:hint="eastAsia"/>
          <w:color w:val="auto"/>
        </w:rPr>
        <w:t>是全国第一座由中央批准，以城市雕塑形式树立的</w:t>
      </w:r>
      <w:r>
        <w:rPr>
          <w:rFonts w:hint="default"/>
          <w:color w:val="auto"/>
          <w:lang w:val="en"/>
        </w:rPr>
        <w:t>邓小平铜像</w:t>
      </w:r>
      <w:r>
        <w:rPr>
          <w:rFonts w:hint="eastAsia"/>
          <w:color w:val="auto"/>
        </w:rPr>
        <w:t>。雕像由主体塑像和底座组成，江泽民同志为塑像题字，2</w:t>
      </w:r>
      <w:r>
        <w:rPr>
          <w:color w:val="auto"/>
        </w:rPr>
        <w:t>000</w:t>
      </w:r>
      <w:r>
        <w:rPr>
          <w:rFonts w:hint="eastAsia"/>
          <w:color w:val="auto"/>
        </w:rPr>
        <w:t>年1</w:t>
      </w:r>
      <w:r>
        <w:rPr>
          <w:color w:val="auto"/>
        </w:rPr>
        <w:t>1</w:t>
      </w:r>
      <w:r>
        <w:rPr>
          <w:rFonts w:hint="eastAsia"/>
          <w:color w:val="auto"/>
        </w:rPr>
        <w:t>月塑像揭幕。塑像见证了深圳改革开放伟大历史进程，寄托了深圳市民对中国改革开放总设计师邓小平</w:t>
      </w:r>
      <w:r>
        <w:rPr>
          <w:rFonts w:hint="eastAsia"/>
          <w:color w:val="auto"/>
          <w:lang w:val="en-US" w:eastAsia="zh-CN"/>
        </w:rPr>
        <w:t>同志</w:t>
      </w:r>
      <w:r>
        <w:rPr>
          <w:rFonts w:hint="eastAsia"/>
          <w:color w:val="auto"/>
        </w:rPr>
        <w:t>的敬仰与怀念之情。</w:t>
      </w:r>
    </w:p>
    <w:p>
      <w:pPr>
        <w:pStyle w:val="8"/>
        <w:rPr>
          <w:color w:val="auto"/>
        </w:rPr>
      </w:pPr>
      <w:r>
        <w:rPr>
          <w:rFonts w:hint="eastAsia"/>
          <w:color w:val="auto"/>
        </w:rPr>
        <w:t>建议在</w:t>
      </w:r>
      <w:r>
        <w:rPr>
          <w:rFonts w:hint="default"/>
          <w:color w:val="auto"/>
          <w:lang w:val="en"/>
        </w:rPr>
        <w:t>邓小平铜像</w:t>
      </w:r>
      <w:r>
        <w:rPr>
          <w:rFonts w:hint="eastAsia"/>
          <w:color w:val="auto"/>
        </w:rPr>
        <w:t>周边设置相关的展陈区域，着重展陈</w:t>
      </w:r>
      <w:r>
        <w:rPr>
          <w:rFonts w:hint="default"/>
          <w:color w:val="auto"/>
          <w:lang w:val="en"/>
        </w:rPr>
        <w:t>邓小平铜像</w:t>
      </w:r>
      <w:r>
        <w:rPr>
          <w:rFonts w:hint="eastAsia"/>
          <w:color w:val="auto"/>
        </w:rPr>
        <w:t>与深圳改革开放的相关历史。可在莲花山公园进行公园范围内的展示陈列，并设置相关的其他重要史迹的介绍。</w:t>
      </w:r>
    </w:p>
    <w:p>
      <w:pPr>
        <w:pStyle w:val="8"/>
        <w:ind w:firstLine="0" w:firstLineChars="0"/>
        <w:rPr>
          <w:b/>
          <w:color w:val="auto"/>
        </w:rPr>
      </w:pPr>
      <w:r>
        <w:rPr>
          <w:rFonts w:hint="eastAsia"/>
          <w:b/>
          <w:color w:val="auto"/>
        </w:rPr>
        <w:t>（1</w:t>
      </w:r>
      <w:r>
        <w:rPr>
          <w:b/>
          <w:color w:val="auto"/>
        </w:rPr>
        <w:t>0</w:t>
      </w:r>
      <w:r>
        <w:rPr>
          <w:rFonts w:hint="eastAsia"/>
          <w:b/>
          <w:color w:val="auto"/>
        </w:rPr>
        <w:t>）前海石公园改造项目</w:t>
      </w:r>
    </w:p>
    <w:p>
      <w:pPr>
        <w:pStyle w:val="8"/>
        <w:rPr>
          <w:color w:val="auto"/>
        </w:rPr>
      </w:pPr>
      <w:r>
        <w:rPr>
          <w:rFonts w:hint="eastAsia"/>
          <w:color w:val="auto"/>
        </w:rPr>
        <w:t>前海石公园位于前海深港合作区前湾一路外海堤，现所有权为国家，史迹类别为构筑物的纪念碑类。“前海”这两字集自改革开放总设计师邓小平的题字，“前”字取自“淮海战役总前委”，“海”字则取自位于蛇口的“海上世界”。前海石是前海最具代表性的标志物，见证了前海从一片滩涂到一座现代化新城的蜕变。</w:t>
      </w:r>
    </w:p>
    <w:p>
      <w:pPr>
        <w:pStyle w:val="8"/>
        <w:rPr>
          <w:color w:val="auto"/>
        </w:rPr>
      </w:pPr>
      <w:r>
        <w:rPr>
          <w:rFonts w:hint="eastAsia"/>
          <w:color w:val="auto"/>
        </w:rPr>
        <w:t>建议对项目进行相关标语牌的设置。如今的前海石公园精神含义很足，但是公园内部关于改革开放的相关介绍较少。因此可在公园内现有基础上，对前海石公园进行相关标语牌的设置。</w:t>
      </w:r>
    </w:p>
    <w:p>
      <w:pPr>
        <w:pStyle w:val="8"/>
        <w:rPr>
          <w:color w:val="auto"/>
        </w:rPr>
      </w:pPr>
    </w:p>
    <w:p>
      <w:pPr>
        <w:pStyle w:val="8"/>
        <w:ind w:firstLine="0" w:firstLineChars="0"/>
        <w:rPr>
          <w:b/>
          <w:color w:val="auto"/>
        </w:rPr>
      </w:pPr>
      <w:r>
        <w:rPr>
          <w:rFonts w:hint="eastAsia"/>
          <w:b/>
          <w:color w:val="auto"/>
        </w:rPr>
        <w:t>（1</w:t>
      </w:r>
      <w:r>
        <w:rPr>
          <w:b/>
          <w:color w:val="auto"/>
        </w:rPr>
        <w:t>1</w:t>
      </w:r>
      <w:r>
        <w:rPr>
          <w:rFonts w:hint="eastAsia"/>
          <w:b/>
          <w:color w:val="auto"/>
        </w:rPr>
        <w:t>）沙头角保税区改造利用项目</w:t>
      </w:r>
    </w:p>
    <w:p>
      <w:pPr>
        <w:pStyle w:val="8"/>
        <w:rPr>
          <w:color w:val="auto"/>
        </w:rPr>
      </w:pPr>
      <w:r>
        <w:rPr>
          <w:rFonts w:hint="eastAsia"/>
          <w:color w:val="auto"/>
        </w:rPr>
        <w:t>史迹点位于深圳市盐田区深盐路</w:t>
      </w:r>
      <w:r>
        <w:rPr>
          <w:color w:val="auto"/>
        </w:rPr>
        <w:t xml:space="preserve"> 2015 </w:t>
      </w:r>
      <w:r>
        <w:rPr>
          <w:rFonts w:hint="eastAsia"/>
          <w:color w:val="auto"/>
        </w:rPr>
        <w:t>号，现所有权为国家，史迹类别为重要历史事件纪念地或纪念设施。沙头角保税区是深圳特区三大保税区之一，于</w:t>
      </w:r>
      <w:r>
        <w:rPr>
          <w:color w:val="auto"/>
        </w:rPr>
        <w:t xml:space="preserve"> 1987 </w:t>
      </w:r>
      <w:r>
        <w:rPr>
          <w:rFonts w:hint="eastAsia"/>
          <w:color w:val="auto"/>
        </w:rPr>
        <w:t>年</w:t>
      </w:r>
      <w:r>
        <w:rPr>
          <w:color w:val="auto"/>
        </w:rPr>
        <w:t xml:space="preserve"> 12 </w:t>
      </w:r>
      <w:r>
        <w:rPr>
          <w:rFonts w:hint="eastAsia"/>
          <w:color w:val="auto"/>
        </w:rPr>
        <w:t>月</w:t>
      </w:r>
      <w:r>
        <w:rPr>
          <w:color w:val="auto"/>
        </w:rPr>
        <w:t xml:space="preserve"> 25 </w:t>
      </w:r>
      <w:r>
        <w:rPr>
          <w:rFonts w:hint="eastAsia"/>
          <w:color w:val="auto"/>
        </w:rPr>
        <w:t>日经深圳市人民政府批准创办，沙头角保税区是中国创办最早、土地面积最小、单位土地面积产值最大的保税区。为推动高水平、深层次地开放与发展，目前深圳盐田综合保税区正在建设当中，沙田保税区将被整合并入盐田综合保税区中。</w:t>
      </w:r>
    </w:p>
    <w:p>
      <w:pPr>
        <w:pStyle w:val="8"/>
        <w:rPr>
          <w:color w:val="auto"/>
        </w:rPr>
      </w:pPr>
      <w:r>
        <w:rPr>
          <w:rFonts w:hint="eastAsia"/>
          <w:color w:val="auto"/>
        </w:rPr>
        <w:t>建议可结合沙保片区城市更新项目，对沙头角保税区进行相关资料收集和整理工作，打造沙头角保税历史展览馆（暂定名）。</w:t>
      </w:r>
    </w:p>
    <w:p>
      <w:pPr>
        <w:pStyle w:val="8"/>
        <w:rPr>
          <w:color w:val="auto"/>
        </w:rPr>
      </w:pPr>
    </w:p>
    <w:p>
      <w:pPr>
        <w:pStyle w:val="8"/>
        <w:ind w:firstLine="0" w:firstLineChars="0"/>
        <w:rPr>
          <w:b/>
          <w:color w:val="auto"/>
        </w:rPr>
      </w:pPr>
      <w:r>
        <w:rPr>
          <w:rFonts w:hint="eastAsia"/>
          <w:b/>
          <w:color w:val="auto"/>
        </w:rPr>
        <w:t>（1</w:t>
      </w:r>
      <w:r>
        <w:rPr>
          <w:b/>
          <w:color w:val="auto"/>
        </w:rPr>
        <w:t>2</w:t>
      </w:r>
      <w:r>
        <w:rPr>
          <w:rFonts w:hint="eastAsia"/>
          <w:b/>
          <w:color w:val="auto"/>
        </w:rPr>
        <w:t>）艺象</w:t>
      </w:r>
      <w:r>
        <w:rPr>
          <w:b/>
          <w:color w:val="auto"/>
        </w:rPr>
        <w:t>ID town</w:t>
      </w:r>
      <w:r>
        <w:rPr>
          <w:rFonts w:hint="eastAsia"/>
          <w:b/>
          <w:color w:val="auto"/>
        </w:rPr>
        <w:t>（原鸿华印染厂）改造提升项目</w:t>
      </w:r>
    </w:p>
    <w:p>
      <w:pPr>
        <w:pStyle w:val="8"/>
        <w:rPr>
          <w:color w:val="auto"/>
        </w:rPr>
      </w:pPr>
      <w:r>
        <w:rPr>
          <w:rFonts w:hint="eastAsia"/>
          <w:color w:val="auto"/>
        </w:rPr>
        <w:t>史迹点位于深圳市大鹏新区葵涌街道葵鹏公路</w:t>
      </w:r>
      <w:r>
        <w:rPr>
          <w:color w:val="auto"/>
        </w:rPr>
        <w:t xml:space="preserve"> 106 </w:t>
      </w:r>
      <w:r>
        <w:rPr>
          <w:rFonts w:hint="eastAsia"/>
          <w:color w:val="auto"/>
        </w:rPr>
        <w:t>号，现所有权为集体，史迹类别为居住建筑和工业建筑。满京华艺象</w:t>
      </w:r>
      <w:r>
        <w:rPr>
          <w:color w:val="auto"/>
        </w:rPr>
        <w:t xml:space="preserve"> ID TOWN</w:t>
      </w:r>
      <w:r>
        <w:rPr>
          <w:rFonts w:hint="eastAsia"/>
          <w:color w:val="auto"/>
        </w:rPr>
        <w:t>（原鸿华印染厂）位于深圳市东部临海的大鹏新区，距离深圳市区约</w:t>
      </w:r>
      <w:r>
        <w:rPr>
          <w:color w:val="auto"/>
        </w:rPr>
        <w:t xml:space="preserve"> 50 </w:t>
      </w:r>
      <w:r>
        <w:rPr>
          <w:rFonts w:hint="eastAsia"/>
          <w:color w:val="auto"/>
        </w:rPr>
        <w:t>公里，园区四面环山。由国有港资及内地民间资金共同参股建成，见证了深圳改革开放初期印染工业的辉煌。改革开放以后，第一批进入深圳的产业工人曾居住在这里。满京华艺象</w:t>
      </w:r>
      <w:r>
        <w:rPr>
          <w:color w:val="auto"/>
        </w:rPr>
        <w:t xml:space="preserve"> ID TOWN</w:t>
      </w:r>
      <w:r>
        <w:rPr>
          <w:rFonts w:hint="eastAsia"/>
          <w:color w:val="auto"/>
        </w:rPr>
        <w:t>（原鸿华印染厂）现存十九座废弃印染厂房建筑，建筑主体结构形式均未发改变，部分厂房内部尚保留原生产设备，部分已被改造利用。</w:t>
      </w:r>
      <w:r>
        <w:rPr>
          <w:color w:val="auto"/>
        </w:rPr>
        <w:t xml:space="preserve">2013 </w:t>
      </w:r>
      <w:r>
        <w:rPr>
          <w:rFonts w:hint="eastAsia"/>
          <w:color w:val="auto"/>
        </w:rPr>
        <w:t>年原鸿华印染厂被深圳市更新局选为旧工业区综合整治试点，艺象</w:t>
      </w:r>
      <w:r>
        <w:rPr>
          <w:color w:val="auto"/>
        </w:rPr>
        <w:t xml:space="preserve"> ID TOWN </w:t>
      </w:r>
      <w:r>
        <w:rPr>
          <w:rFonts w:hint="eastAsia"/>
          <w:color w:val="auto"/>
        </w:rPr>
        <w:t>项目开始建设，意在打造国内首个滨海生态国际艺术区。</w:t>
      </w:r>
    </w:p>
    <w:p>
      <w:pPr>
        <w:pStyle w:val="8"/>
        <w:rPr>
          <w:color w:val="auto"/>
        </w:rPr>
      </w:pPr>
      <w:r>
        <w:rPr>
          <w:rFonts w:hint="eastAsia"/>
          <w:color w:val="auto"/>
        </w:rPr>
        <w:t>建议现有部分厂区已进行了相关改造，对剩余未开发的厂区进行规划设计展陈部分，展现改革开放</w:t>
      </w:r>
      <w:r>
        <w:rPr>
          <w:color w:val="auto"/>
        </w:rPr>
        <w:t>40</w:t>
      </w:r>
      <w:r>
        <w:rPr>
          <w:rFonts w:hint="eastAsia"/>
          <w:color w:val="auto"/>
        </w:rPr>
        <w:t>年来深圳的工业发展历程。对园区进行规划，致力于打造艺术、商业和旅游相结合的综合体。</w:t>
      </w:r>
    </w:p>
    <w:p>
      <w:pPr>
        <w:pStyle w:val="8"/>
        <w:rPr>
          <w:color w:val="auto"/>
        </w:rPr>
      </w:pPr>
    </w:p>
    <w:p>
      <w:pPr>
        <w:pStyle w:val="8"/>
        <w:ind w:firstLine="0" w:firstLineChars="0"/>
        <w:rPr>
          <w:b/>
          <w:color w:val="auto"/>
        </w:rPr>
      </w:pPr>
      <w:r>
        <w:rPr>
          <w:rFonts w:hint="eastAsia"/>
          <w:b/>
          <w:color w:val="auto"/>
        </w:rPr>
        <w:t>（1</w:t>
      </w:r>
      <w:r>
        <w:rPr>
          <w:b/>
          <w:color w:val="auto"/>
        </w:rPr>
        <w:t>3</w:t>
      </w:r>
      <w:r>
        <w:rPr>
          <w:rFonts w:hint="eastAsia"/>
          <w:b/>
          <w:color w:val="auto"/>
        </w:rPr>
        <w:t>）南岭村办公楼改造</w:t>
      </w:r>
    </w:p>
    <w:p>
      <w:pPr>
        <w:pStyle w:val="8"/>
        <w:rPr>
          <w:color w:val="auto"/>
        </w:rPr>
      </w:pPr>
      <w:r>
        <w:rPr>
          <w:rFonts w:hint="eastAsia"/>
          <w:color w:val="auto"/>
        </w:rPr>
        <w:t>史迹点位于深圳市布吉街道南岭村被誉为</w:t>
      </w:r>
      <w:r>
        <w:rPr>
          <w:color w:val="auto"/>
        </w:rPr>
        <w:t>"</w:t>
      </w:r>
      <w:r>
        <w:rPr>
          <w:rFonts w:hint="eastAsia"/>
          <w:color w:val="auto"/>
        </w:rPr>
        <w:t>中国第一村</w:t>
      </w:r>
      <w:r>
        <w:rPr>
          <w:color w:val="auto"/>
        </w:rPr>
        <w:t>"</w:t>
      </w:r>
      <w:r>
        <w:rPr>
          <w:rFonts w:hint="eastAsia"/>
          <w:color w:val="auto"/>
        </w:rPr>
        <w:t>，是深圳市龙岗区南湾街道的一个行政村。南岭村重要史迹主要构成：村委办公楼、社区党群服务中心及求山水酒店。村委办公楼及社区党群服务中心为办公场所，习近平总书记曾在社区党群服务中心会议室召开会议</w:t>
      </w:r>
      <w:r>
        <w:rPr>
          <w:rFonts w:hint="eastAsia"/>
          <w:color w:val="auto"/>
          <w:lang w:eastAsia="zh-CN"/>
        </w:rPr>
        <w:t>、</w:t>
      </w:r>
      <w:r>
        <w:rPr>
          <w:rFonts w:hint="eastAsia"/>
          <w:color w:val="auto"/>
        </w:rPr>
        <w:t>多个国家领导人曾到村委办公楼视察；求山水酒店为全国第一家村办五星级酒店。改革开放以来，南岭村抓住数次发展机遇，通过自身努力，不断兴办工厂，走集体发展道路，最终由一个改革开放前极端贫困，以脏乱差著称的“鸭屎围”，发展到今天的中国第一村。</w:t>
      </w:r>
    </w:p>
    <w:p>
      <w:pPr>
        <w:pStyle w:val="8"/>
        <w:rPr>
          <w:color w:val="auto"/>
        </w:rPr>
      </w:pPr>
      <w:r>
        <w:rPr>
          <w:rFonts w:hint="eastAsia"/>
          <w:color w:val="auto"/>
        </w:rPr>
        <w:t>建议对南岭村的村委大楼进行改造修缮，利用局部开敞空间，以历史建筑、人物、事件等为题材，通过具象的表达方式，营造层次丰富的展示空间。</w:t>
      </w:r>
    </w:p>
    <w:p>
      <w:pPr>
        <w:pStyle w:val="8"/>
        <w:rPr>
          <w:color w:val="auto"/>
        </w:rPr>
      </w:pPr>
    </w:p>
    <w:p>
      <w:pPr>
        <w:widowControl/>
        <w:jc w:val="left"/>
        <w:rPr>
          <w:color w:val="auto"/>
        </w:rPr>
      </w:pPr>
      <w:r>
        <w:rPr>
          <w:color w:val="auto"/>
        </w:rPr>
        <w:br w:type="page"/>
      </w:r>
    </w:p>
    <w:p>
      <w:pPr>
        <w:pStyle w:val="2"/>
        <w:rPr>
          <w:color w:val="auto"/>
        </w:rPr>
      </w:pPr>
      <w:bookmarkStart w:id="227" w:name="_Toc2140261740"/>
      <w:bookmarkStart w:id="228" w:name="_Toc8933"/>
      <w:bookmarkStart w:id="229" w:name="_Toc17682"/>
      <w:bookmarkStart w:id="230" w:name="_Toc5410"/>
      <w:bookmarkStart w:id="231" w:name="_Toc20786"/>
      <w:bookmarkStart w:id="232" w:name="_Toc114072203"/>
      <w:bookmarkStart w:id="233" w:name="_Toc19960"/>
      <w:bookmarkStart w:id="234" w:name="_Toc4905"/>
      <w:r>
        <w:rPr>
          <w:rFonts w:hint="eastAsia"/>
          <w:color w:val="auto"/>
        </w:rPr>
        <w:t>第七章</w:t>
      </w:r>
      <w:r>
        <w:rPr>
          <w:color w:val="auto"/>
        </w:rPr>
        <w:t xml:space="preserve"> </w:t>
      </w:r>
      <w:r>
        <w:rPr>
          <w:rFonts w:hint="eastAsia"/>
          <w:color w:val="auto"/>
        </w:rPr>
        <w:t>文旅融合发展计划</w:t>
      </w:r>
      <w:bookmarkEnd w:id="227"/>
      <w:bookmarkEnd w:id="228"/>
      <w:bookmarkEnd w:id="229"/>
      <w:bookmarkEnd w:id="230"/>
      <w:bookmarkEnd w:id="231"/>
      <w:bookmarkEnd w:id="232"/>
      <w:bookmarkEnd w:id="233"/>
      <w:bookmarkEnd w:id="234"/>
    </w:p>
    <w:p>
      <w:pPr>
        <w:pStyle w:val="3"/>
        <w:rPr>
          <w:color w:val="auto"/>
        </w:rPr>
      </w:pPr>
      <w:bookmarkStart w:id="235" w:name="_Toc1027976930"/>
      <w:bookmarkStart w:id="236" w:name="_Toc114072204"/>
      <w:bookmarkStart w:id="237" w:name="_Toc31628"/>
      <w:bookmarkStart w:id="238" w:name="_Toc31831"/>
      <w:bookmarkStart w:id="239" w:name="_Toc27584"/>
      <w:bookmarkStart w:id="240" w:name="_Toc21102"/>
      <w:bookmarkStart w:id="241" w:name="_Toc12841"/>
      <w:bookmarkStart w:id="242" w:name="_Toc28967"/>
      <w:r>
        <w:rPr>
          <w:color w:val="auto"/>
        </w:rPr>
        <w:t>7.1</w:t>
      </w:r>
      <w:r>
        <w:rPr>
          <w:rFonts w:hint="eastAsia"/>
          <w:color w:val="auto"/>
        </w:rPr>
        <w:t>打造特色旅游线路</w:t>
      </w:r>
      <w:bookmarkEnd w:id="235"/>
      <w:bookmarkEnd w:id="236"/>
      <w:bookmarkEnd w:id="237"/>
      <w:bookmarkEnd w:id="238"/>
      <w:bookmarkEnd w:id="239"/>
      <w:bookmarkEnd w:id="240"/>
      <w:bookmarkEnd w:id="241"/>
      <w:bookmarkEnd w:id="242"/>
    </w:p>
    <w:p>
      <w:pPr>
        <w:pStyle w:val="8"/>
        <w:rPr>
          <w:color w:val="auto"/>
        </w:rPr>
      </w:pPr>
      <w:r>
        <w:rPr>
          <w:rFonts w:hint="eastAsia"/>
          <w:color w:val="auto"/>
        </w:rPr>
        <w:t>特色旅游线路以“一轴，两区”为主，依托改革开放重要史迹和道路交通条件、沿线景观，规划形成四条特色文旅线路和一条绿道。四条特色文旅线路分别是深南大道改革创新主题线路、蛇口-前海滨海文化休闲游线、大鹏湾-大亚湾滨海生态游线、关内外工业展示线；绿道即为二线关经济特区纪念绿道。</w:t>
      </w:r>
    </w:p>
    <w:p>
      <w:pPr>
        <w:pStyle w:val="8"/>
        <w:rPr>
          <w:color w:val="auto"/>
        </w:rPr>
      </w:pPr>
      <w:r>
        <w:rPr>
          <w:rFonts w:hint="eastAsia"/>
          <w:color w:val="auto"/>
        </w:rPr>
        <w:t>同时，与“粤港澳大湾区文化遗产游径”、“南粤古驿道”、“山海连城”公园城市建设等文化线路和公共空间网络衔接，有利于提升公共文化产品的社会效益和经济效益。其中大鹏新区的特色旅游线路与南湾古驿道有衔接。</w:t>
      </w:r>
    </w:p>
    <w:p>
      <w:pPr>
        <w:pStyle w:val="8"/>
        <w:ind w:firstLine="482"/>
        <w:rPr>
          <w:b/>
          <w:color w:val="auto"/>
        </w:rPr>
      </w:pPr>
      <w:r>
        <w:rPr>
          <w:rFonts w:hint="eastAsia"/>
          <w:b/>
          <w:color w:val="auto"/>
        </w:rPr>
        <w:t>（1）深南大道改革创新主题线路：半部深圳改革开放史</w:t>
      </w:r>
    </w:p>
    <w:p>
      <w:pPr>
        <w:pStyle w:val="8"/>
        <w:ind w:firstLine="482"/>
        <w:rPr>
          <w:color w:val="auto"/>
        </w:rPr>
      </w:pPr>
      <w:r>
        <w:rPr>
          <w:rFonts w:hint="eastAsia"/>
          <w:b/>
          <w:color w:val="auto"/>
        </w:rPr>
        <w:t>线路说明：</w:t>
      </w:r>
      <w:r>
        <w:rPr>
          <w:rFonts w:hint="eastAsia"/>
          <w:color w:val="auto"/>
        </w:rPr>
        <w:t>该线路依托深南大道，全长约2</w:t>
      </w:r>
      <w:r>
        <w:rPr>
          <w:color w:val="auto"/>
        </w:rPr>
        <w:t>5</w:t>
      </w:r>
      <w:r>
        <w:rPr>
          <w:rFonts w:hint="eastAsia"/>
          <w:color w:val="auto"/>
        </w:rPr>
        <w:t>公里，自东向西串联罗湖区、福田区、南山区1</w:t>
      </w:r>
      <w:r>
        <w:rPr>
          <w:color w:val="auto"/>
        </w:rPr>
        <w:t>6</w:t>
      </w:r>
      <w:r>
        <w:rPr>
          <w:rFonts w:hint="eastAsia"/>
          <w:color w:val="auto"/>
        </w:rPr>
        <w:t>处重要史迹（南头中学校史馆→世界之窗→上海宾馆→电子大厦→深圳新闻大厦→孺子牛雕像→地王大厦→国贸大厦），并与沿线的荷兰花卉小镇、中山公园、大沙河公园、香蜜公园、市民中心、南头古城（省保）、关山月美术馆等景点和展示场馆充分融合，形成集中展示深圳经济特区改革开放伟大历程的主题游线。</w:t>
      </w:r>
    </w:p>
    <w:p>
      <w:pPr>
        <w:pStyle w:val="8"/>
        <w:ind w:firstLine="482"/>
        <w:rPr>
          <w:color w:val="auto"/>
        </w:rPr>
      </w:pPr>
      <w:r>
        <w:rPr>
          <w:rFonts w:hint="eastAsia"/>
          <w:b/>
          <w:color w:val="auto"/>
        </w:rPr>
        <w:t>游览方式：</w:t>
      </w:r>
      <w:r>
        <w:rPr>
          <w:rFonts w:hint="eastAsia"/>
          <w:color w:val="auto"/>
        </w:rPr>
        <w:t>依托深南大道及沿线便捷的公交、地铁线路，形成自驾游、骑行游、公共交通游等多种游览方式。</w:t>
      </w:r>
    </w:p>
    <w:p>
      <w:pPr>
        <w:pStyle w:val="8"/>
        <w:ind w:firstLine="482"/>
        <w:rPr>
          <w:b/>
          <w:color w:val="auto"/>
        </w:rPr>
      </w:pPr>
      <w:r>
        <w:rPr>
          <w:rFonts w:hint="eastAsia"/>
          <w:b/>
          <w:color w:val="auto"/>
        </w:rPr>
        <w:t>规划措施：</w:t>
      </w:r>
    </w:p>
    <w:p>
      <w:pPr>
        <w:pStyle w:val="8"/>
        <w:numPr>
          <w:ilvl w:val="0"/>
          <w:numId w:val="5"/>
        </w:numPr>
        <w:ind w:firstLineChars="0"/>
        <w:rPr>
          <w:color w:val="auto"/>
        </w:rPr>
      </w:pPr>
      <w:r>
        <w:rPr>
          <w:rFonts w:hint="eastAsia"/>
          <w:color w:val="auto"/>
        </w:rPr>
        <w:t>改善骑行条件、增设道路指引等。</w:t>
      </w:r>
    </w:p>
    <w:p>
      <w:pPr>
        <w:pStyle w:val="8"/>
        <w:numPr>
          <w:ilvl w:val="0"/>
          <w:numId w:val="5"/>
        </w:numPr>
        <w:ind w:firstLineChars="0"/>
        <w:rPr>
          <w:color w:val="auto"/>
        </w:rPr>
      </w:pPr>
      <w:r>
        <w:rPr>
          <w:rFonts w:hint="eastAsia"/>
          <w:color w:val="auto"/>
        </w:rPr>
        <w:t>改善沿线旅游服务设施，设置服务节点等。</w:t>
      </w:r>
    </w:p>
    <w:p>
      <w:pPr>
        <w:pStyle w:val="8"/>
        <w:numPr>
          <w:ilvl w:val="0"/>
          <w:numId w:val="5"/>
        </w:numPr>
        <w:ind w:firstLineChars="0"/>
        <w:rPr>
          <w:color w:val="auto"/>
        </w:rPr>
      </w:pPr>
      <w:r>
        <w:rPr>
          <w:rFonts w:hint="eastAsia"/>
          <w:color w:val="auto"/>
        </w:rPr>
        <w:t>沿线增设改革开放介绍标识。</w:t>
      </w:r>
    </w:p>
    <w:p>
      <w:pPr>
        <w:pStyle w:val="8"/>
        <w:rPr>
          <w:color w:val="auto"/>
        </w:rPr>
      </w:pPr>
    </w:p>
    <w:p>
      <w:pPr>
        <w:pStyle w:val="8"/>
        <w:ind w:firstLine="482"/>
        <w:rPr>
          <w:b/>
          <w:color w:val="auto"/>
        </w:rPr>
      </w:pPr>
      <w:r>
        <w:rPr>
          <w:rFonts w:hint="eastAsia"/>
          <w:b/>
          <w:color w:val="auto"/>
        </w:rPr>
        <w:t>（2）蛇口-前海滨水游览带</w:t>
      </w:r>
    </w:p>
    <w:p>
      <w:pPr>
        <w:pStyle w:val="8"/>
        <w:ind w:firstLine="482"/>
        <w:rPr>
          <w:color w:val="auto"/>
        </w:rPr>
      </w:pPr>
      <w:r>
        <w:rPr>
          <w:rFonts w:hint="eastAsia"/>
          <w:b/>
          <w:color w:val="auto"/>
        </w:rPr>
        <w:t>线路说明：</w:t>
      </w:r>
      <w:r>
        <w:rPr>
          <w:rFonts w:hint="eastAsia"/>
          <w:color w:val="auto"/>
        </w:rPr>
        <w:t>该线路依托蛇口工业区的海岸线，全长约</w:t>
      </w:r>
      <w:r>
        <w:rPr>
          <w:color w:val="auto"/>
        </w:rPr>
        <w:t>17</w:t>
      </w:r>
      <w:r>
        <w:rPr>
          <w:rFonts w:hint="eastAsia"/>
          <w:color w:val="auto"/>
        </w:rPr>
        <w:t>公里，串联了9处重要史迹点（前海石公园→大成面粉厂→袁庚像）并与沿线的福田红树林生态公园、深圳湾公园、深圳人才公园、海上世界、蛇口港等景观和景点充分结合，形成蛇口区域滨水景观展示主题线。</w:t>
      </w:r>
    </w:p>
    <w:p>
      <w:pPr>
        <w:pStyle w:val="8"/>
        <w:ind w:firstLine="482"/>
        <w:rPr>
          <w:color w:val="auto"/>
        </w:rPr>
      </w:pPr>
      <w:r>
        <w:rPr>
          <w:rFonts w:hint="eastAsia"/>
          <w:b/>
          <w:color w:val="auto"/>
        </w:rPr>
        <w:t>游览方式：</w:t>
      </w:r>
      <w:r>
        <w:rPr>
          <w:rFonts w:hint="eastAsia"/>
          <w:color w:val="auto"/>
        </w:rPr>
        <w:t>依托南海大道以及沿线便捷的地铁公交等多种游览方式。</w:t>
      </w:r>
    </w:p>
    <w:p>
      <w:pPr>
        <w:pStyle w:val="8"/>
        <w:ind w:firstLine="482"/>
        <w:rPr>
          <w:b/>
          <w:color w:val="auto"/>
        </w:rPr>
      </w:pPr>
      <w:r>
        <w:rPr>
          <w:rFonts w:hint="eastAsia"/>
          <w:b/>
          <w:color w:val="auto"/>
        </w:rPr>
        <w:t>规划措施：</w:t>
      </w:r>
    </w:p>
    <w:p>
      <w:pPr>
        <w:pStyle w:val="8"/>
        <w:numPr>
          <w:ilvl w:val="0"/>
          <w:numId w:val="6"/>
        </w:numPr>
        <w:ind w:firstLineChars="0"/>
        <w:rPr>
          <w:color w:val="auto"/>
        </w:rPr>
      </w:pPr>
      <w:r>
        <w:rPr>
          <w:rFonts w:hint="eastAsia"/>
          <w:color w:val="auto"/>
        </w:rPr>
        <w:t>设置沿海景观游览船，规划航线，展示蛇口沿海风景。</w:t>
      </w:r>
    </w:p>
    <w:p>
      <w:pPr>
        <w:pStyle w:val="8"/>
        <w:numPr>
          <w:ilvl w:val="0"/>
          <w:numId w:val="6"/>
        </w:numPr>
        <w:ind w:firstLineChars="0"/>
        <w:rPr>
          <w:color w:val="auto"/>
        </w:rPr>
      </w:pPr>
      <w:r>
        <w:rPr>
          <w:rFonts w:hint="eastAsia"/>
          <w:color w:val="auto"/>
        </w:rPr>
        <w:t>改善沿线旅游服务设施，设置服务节点等。</w:t>
      </w:r>
    </w:p>
    <w:p>
      <w:pPr>
        <w:pStyle w:val="8"/>
        <w:numPr>
          <w:ilvl w:val="0"/>
          <w:numId w:val="6"/>
        </w:numPr>
        <w:ind w:firstLineChars="0"/>
        <w:rPr>
          <w:color w:val="auto"/>
        </w:rPr>
      </w:pPr>
      <w:r>
        <w:rPr>
          <w:rFonts w:hint="eastAsia"/>
          <w:color w:val="auto"/>
        </w:rPr>
        <w:t>规划沿海骑行、步行廊道线路。</w:t>
      </w:r>
    </w:p>
    <w:p>
      <w:pPr>
        <w:pStyle w:val="8"/>
        <w:rPr>
          <w:color w:val="auto"/>
        </w:rPr>
      </w:pPr>
    </w:p>
    <w:p>
      <w:pPr>
        <w:pStyle w:val="8"/>
        <w:ind w:firstLine="482"/>
        <w:rPr>
          <w:b/>
          <w:color w:val="auto"/>
        </w:rPr>
      </w:pPr>
      <w:r>
        <w:rPr>
          <w:rFonts w:hint="eastAsia"/>
          <w:b/>
          <w:color w:val="auto"/>
        </w:rPr>
        <w:t>（3）“大鹏湾—大亚湾”滨海生态景观带</w:t>
      </w:r>
    </w:p>
    <w:p>
      <w:pPr>
        <w:pStyle w:val="8"/>
        <w:ind w:firstLine="482"/>
        <w:rPr>
          <w:color w:val="auto"/>
        </w:rPr>
      </w:pPr>
      <w:r>
        <w:rPr>
          <w:rFonts w:hint="eastAsia"/>
          <w:b/>
          <w:color w:val="auto"/>
        </w:rPr>
        <w:t>线路说明：</w:t>
      </w:r>
      <w:r>
        <w:rPr>
          <w:rFonts w:hint="eastAsia"/>
          <w:color w:val="auto"/>
        </w:rPr>
        <w:t>该线路依托从盐田区至大鹏新区的海岸线，全长约</w:t>
      </w:r>
      <w:r>
        <w:rPr>
          <w:color w:val="auto"/>
        </w:rPr>
        <w:t>41</w:t>
      </w:r>
      <w:r>
        <w:rPr>
          <w:rFonts w:hint="eastAsia"/>
          <w:color w:val="auto"/>
        </w:rPr>
        <w:t>公里，串联了</w:t>
      </w:r>
      <w:r>
        <w:rPr>
          <w:color w:val="auto"/>
        </w:rPr>
        <w:t>7</w:t>
      </w:r>
      <w:r>
        <w:rPr>
          <w:rFonts w:hint="eastAsia"/>
          <w:color w:val="auto"/>
        </w:rPr>
        <w:t>处重要史迹点（中英街历史博物馆→沙头角保税区→艺象I</w:t>
      </w:r>
      <w:r>
        <w:rPr>
          <w:color w:val="auto"/>
        </w:rPr>
        <w:t>D TOWN</w:t>
      </w:r>
      <w:r>
        <w:rPr>
          <w:rFonts w:hint="eastAsia"/>
          <w:color w:val="auto"/>
        </w:rPr>
        <w:t>→鹤薮小学），国保单位土洋村东江纵队司令部旧址、中英街界碑皆分布在这条景观带上，沿景观带上还分布有沙栏吓天后宫、吴氏宗祠、大梅沙古遗址等文物保护单位。沿海岸线还分布着许多海滩，大小梅沙、溪涌、沙鱼涌、官湖沙滩、柚柑湾、鹅公湾、东西涌、较场尾等，共同构成深圳最具特色的生态景观展示线。</w:t>
      </w:r>
    </w:p>
    <w:p>
      <w:pPr>
        <w:pStyle w:val="8"/>
        <w:ind w:firstLine="482"/>
        <w:rPr>
          <w:color w:val="auto"/>
        </w:rPr>
      </w:pPr>
      <w:r>
        <w:rPr>
          <w:rFonts w:hint="eastAsia"/>
          <w:b/>
          <w:color w:val="auto"/>
        </w:rPr>
        <w:t>游览方式：</w:t>
      </w:r>
      <w:r>
        <w:rPr>
          <w:rFonts w:hint="eastAsia"/>
          <w:color w:val="auto"/>
        </w:rPr>
        <w:t>自驾或乘坐公交。</w:t>
      </w:r>
    </w:p>
    <w:p>
      <w:pPr>
        <w:pStyle w:val="8"/>
        <w:ind w:firstLine="482"/>
        <w:rPr>
          <w:b/>
          <w:color w:val="auto"/>
        </w:rPr>
      </w:pPr>
      <w:r>
        <w:rPr>
          <w:rFonts w:hint="eastAsia"/>
          <w:b/>
          <w:color w:val="auto"/>
        </w:rPr>
        <w:t>规划措施：</w:t>
      </w:r>
    </w:p>
    <w:p>
      <w:pPr>
        <w:pStyle w:val="8"/>
        <w:numPr>
          <w:ilvl w:val="0"/>
          <w:numId w:val="7"/>
        </w:numPr>
        <w:ind w:firstLineChars="0"/>
        <w:rPr>
          <w:color w:val="auto"/>
        </w:rPr>
      </w:pPr>
      <w:r>
        <w:rPr>
          <w:rFonts w:hint="eastAsia"/>
          <w:color w:val="auto"/>
        </w:rPr>
        <w:t>适当处开辟滨海航线，缓解节假日交通压力，更好地将滨海景观带与改革开放重要史迹串联起来。</w:t>
      </w:r>
    </w:p>
    <w:p>
      <w:pPr>
        <w:pStyle w:val="8"/>
        <w:numPr>
          <w:ilvl w:val="0"/>
          <w:numId w:val="7"/>
        </w:numPr>
        <w:ind w:firstLineChars="0"/>
        <w:rPr>
          <w:color w:val="auto"/>
        </w:rPr>
      </w:pPr>
      <w:r>
        <w:rPr>
          <w:rFonts w:hint="eastAsia"/>
          <w:color w:val="auto"/>
        </w:rPr>
        <w:t>规划沿海骑行、步行廊道线路。</w:t>
      </w:r>
    </w:p>
    <w:p>
      <w:pPr>
        <w:pStyle w:val="28"/>
        <w:numPr>
          <w:ilvl w:val="0"/>
          <w:numId w:val="7"/>
        </w:numPr>
        <w:ind w:firstLineChars="0"/>
        <w:rPr>
          <w:rFonts w:ascii="Times New Roman" w:hAnsi="Times New Roman" w:eastAsia="宋体"/>
          <w:color w:val="auto"/>
          <w:sz w:val="24"/>
        </w:rPr>
      </w:pPr>
      <w:r>
        <w:rPr>
          <w:rFonts w:hint="eastAsia" w:ascii="Times New Roman" w:hAnsi="Times New Roman" w:eastAsia="宋体"/>
          <w:color w:val="auto"/>
          <w:sz w:val="24"/>
        </w:rPr>
        <w:t>改善沿线旅游服务设施，设置服务节点等。</w:t>
      </w:r>
    </w:p>
    <w:p>
      <w:pPr>
        <w:pStyle w:val="8"/>
        <w:ind w:firstLine="0" w:firstLineChars="0"/>
        <w:rPr>
          <w:color w:val="auto"/>
        </w:rPr>
      </w:pPr>
    </w:p>
    <w:p>
      <w:pPr>
        <w:pStyle w:val="8"/>
        <w:ind w:firstLine="482"/>
        <w:rPr>
          <w:b/>
          <w:color w:val="auto"/>
        </w:rPr>
      </w:pPr>
      <w:r>
        <w:rPr>
          <w:rFonts w:hint="eastAsia"/>
          <w:b/>
          <w:color w:val="auto"/>
        </w:rPr>
        <w:t>（4）关内外工业线：见证深圳改革开放工业史</w:t>
      </w:r>
    </w:p>
    <w:p>
      <w:pPr>
        <w:pStyle w:val="8"/>
        <w:ind w:firstLine="482"/>
        <w:rPr>
          <w:color w:val="auto"/>
        </w:rPr>
      </w:pPr>
      <w:r>
        <w:rPr>
          <w:rFonts w:hint="eastAsia"/>
          <w:b/>
          <w:color w:val="auto"/>
        </w:rPr>
        <w:t>线路说明：</w:t>
      </w:r>
      <w:r>
        <w:rPr>
          <w:rFonts w:hint="eastAsia"/>
          <w:color w:val="auto"/>
        </w:rPr>
        <w:t>该线路依托深圳特区关内外的工业线路，全长约</w:t>
      </w:r>
      <w:r>
        <w:rPr>
          <w:color w:val="auto"/>
        </w:rPr>
        <w:t>20</w:t>
      </w:r>
      <w:r>
        <w:rPr>
          <w:rFonts w:hint="eastAsia"/>
          <w:color w:val="auto"/>
        </w:rPr>
        <w:t>公里，自北向南串联了宝安区、南山区共</w:t>
      </w:r>
      <w:r>
        <w:rPr>
          <w:color w:val="auto"/>
        </w:rPr>
        <w:t>11</w:t>
      </w:r>
      <w:r>
        <w:rPr>
          <w:rFonts w:hint="eastAsia"/>
          <w:color w:val="auto"/>
        </w:rPr>
        <w:t>处重要史迹点（光明街道糖厂→深圳劳务工博物馆→二线关同乐检查站→三洋厂房→大成面粉厂）</w:t>
      </w:r>
      <w:r>
        <w:rPr>
          <w:rFonts w:hint="eastAsia"/>
          <w:color w:val="auto"/>
          <w:lang w:eastAsia="zh-CN"/>
        </w:rPr>
        <w:t>，</w:t>
      </w:r>
      <w:r>
        <w:rPr>
          <w:rFonts w:hint="eastAsia"/>
          <w:color w:val="auto"/>
        </w:rPr>
        <w:t>沿路线主要分布光明森林公园——观澜森林公园——荷兰花卉小镇——南山公园等风景区公园，结合周边的文化景观形成一条见证深圳改革开放工业史的重要景观文化旅游线路。</w:t>
      </w:r>
    </w:p>
    <w:p>
      <w:pPr>
        <w:pStyle w:val="8"/>
        <w:ind w:firstLine="482"/>
        <w:rPr>
          <w:color w:val="auto"/>
        </w:rPr>
      </w:pPr>
      <w:r>
        <w:rPr>
          <w:rFonts w:hint="eastAsia"/>
          <w:b/>
          <w:color w:val="auto"/>
        </w:rPr>
        <w:t>游览方式：</w:t>
      </w:r>
      <w:r>
        <w:rPr>
          <w:rFonts w:hint="eastAsia"/>
          <w:color w:val="auto"/>
        </w:rPr>
        <w:t>自驾或乘坐公交。</w:t>
      </w:r>
    </w:p>
    <w:p>
      <w:pPr>
        <w:pStyle w:val="8"/>
        <w:ind w:firstLine="482"/>
        <w:rPr>
          <w:b/>
          <w:color w:val="auto"/>
        </w:rPr>
      </w:pPr>
      <w:r>
        <w:rPr>
          <w:rFonts w:hint="eastAsia"/>
          <w:b/>
          <w:color w:val="auto"/>
        </w:rPr>
        <w:t>规划措施：</w:t>
      </w:r>
    </w:p>
    <w:p>
      <w:pPr>
        <w:pStyle w:val="8"/>
        <w:numPr>
          <w:ilvl w:val="0"/>
          <w:numId w:val="8"/>
        </w:numPr>
        <w:ind w:firstLineChars="0"/>
        <w:rPr>
          <w:color w:val="auto"/>
        </w:rPr>
      </w:pPr>
      <w:r>
        <w:rPr>
          <w:rFonts w:hint="eastAsia"/>
          <w:color w:val="auto"/>
        </w:rPr>
        <w:t>沿线设置</w:t>
      </w:r>
      <w:r>
        <w:rPr>
          <w:color w:val="auto"/>
        </w:rPr>
        <w:t>相关标识，</w:t>
      </w:r>
      <w:r>
        <w:rPr>
          <w:rFonts w:hint="eastAsia"/>
          <w:color w:val="auto"/>
        </w:rPr>
        <w:t>整合</w:t>
      </w:r>
      <w:r>
        <w:rPr>
          <w:color w:val="auto"/>
        </w:rPr>
        <w:t>线上的其他工业资源</w:t>
      </w:r>
      <w:r>
        <w:rPr>
          <w:rFonts w:hint="eastAsia"/>
          <w:color w:val="auto"/>
        </w:rPr>
        <w:t>。</w:t>
      </w:r>
    </w:p>
    <w:p>
      <w:pPr>
        <w:pStyle w:val="8"/>
        <w:numPr>
          <w:ilvl w:val="0"/>
          <w:numId w:val="8"/>
        </w:numPr>
        <w:ind w:firstLineChars="0"/>
        <w:rPr>
          <w:color w:val="auto"/>
        </w:rPr>
      </w:pPr>
      <w:r>
        <w:rPr>
          <w:rFonts w:hint="eastAsia"/>
          <w:color w:val="auto"/>
        </w:rPr>
        <w:t>改善沿线旅游服务设施，设置服务节点等。</w:t>
      </w:r>
    </w:p>
    <w:p>
      <w:pPr>
        <w:pStyle w:val="8"/>
        <w:numPr>
          <w:ilvl w:val="0"/>
          <w:numId w:val="8"/>
        </w:numPr>
        <w:ind w:firstLineChars="0"/>
        <w:rPr>
          <w:b/>
          <w:color w:val="auto"/>
        </w:rPr>
      </w:pPr>
      <w:r>
        <w:rPr>
          <w:rFonts w:hint="eastAsia"/>
          <w:color w:val="auto"/>
        </w:rPr>
        <w:t>规划深圳</w:t>
      </w:r>
      <w:r>
        <w:rPr>
          <w:color w:val="auto"/>
        </w:rPr>
        <w:t>改革开放工业自驾游路线。</w:t>
      </w:r>
    </w:p>
    <w:p>
      <w:pPr>
        <w:pStyle w:val="8"/>
        <w:ind w:firstLine="482"/>
        <w:rPr>
          <w:b/>
          <w:color w:val="auto"/>
        </w:rPr>
      </w:pPr>
      <w:r>
        <w:rPr>
          <w:rFonts w:hint="eastAsia"/>
          <w:b/>
          <w:color w:val="auto"/>
        </w:rPr>
        <w:t>（5）二线关经济特区纪念绿道</w:t>
      </w:r>
    </w:p>
    <w:p>
      <w:pPr>
        <w:pStyle w:val="8"/>
        <w:ind w:firstLine="482"/>
        <w:rPr>
          <w:color w:val="auto"/>
        </w:rPr>
      </w:pPr>
      <w:r>
        <w:rPr>
          <w:rFonts w:hint="eastAsia"/>
          <w:b/>
          <w:color w:val="auto"/>
        </w:rPr>
        <w:t>线路说明：</w:t>
      </w:r>
      <w:r>
        <w:rPr>
          <w:rFonts w:hint="eastAsia"/>
          <w:color w:val="auto"/>
        </w:rPr>
        <w:t>该线路依托深圳特区原有的二线关线路，全长约</w:t>
      </w:r>
      <w:r>
        <w:rPr>
          <w:color w:val="auto"/>
        </w:rPr>
        <w:t>83</w:t>
      </w:r>
      <w:r>
        <w:rPr>
          <w:rFonts w:hint="eastAsia"/>
          <w:color w:val="auto"/>
        </w:rPr>
        <w:t>公里，自西向东串联了除光明区、大鹏新区外的所有市区。其中除同乐检查站外所有关口均已拆除，并进行了交通组织优化设计。</w:t>
      </w:r>
    </w:p>
    <w:p>
      <w:pPr>
        <w:pStyle w:val="8"/>
        <w:ind w:firstLine="482"/>
        <w:rPr>
          <w:color w:val="auto"/>
        </w:rPr>
      </w:pPr>
      <w:r>
        <w:rPr>
          <w:rFonts w:hint="eastAsia"/>
          <w:b/>
          <w:color w:val="auto"/>
        </w:rPr>
        <w:t>游览方式：</w:t>
      </w:r>
      <w:r>
        <w:rPr>
          <w:rFonts w:hint="eastAsia"/>
          <w:color w:val="auto"/>
        </w:rPr>
        <w:t>自驾、骑行、步行等方式。</w:t>
      </w:r>
    </w:p>
    <w:p>
      <w:pPr>
        <w:pStyle w:val="8"/>
        <w:ind w:firstLine="482"/>
        <w:rPr>
          <w:b/>
          <w:color w:val="auto"/>
        </w:rPr>
      </w:pPr>
      <w:r>
        <w:rPr>
          <w:rFonts w:hint="eastAsia"/>
          <w:b/>
          <w:color w:val="auto"/>
        </w:rPr>
        <w:t>规划措施：</w:t>
      </w:r>
    </w:p>
    <w:p>
      <w:pPr>
        <w:pStyle w:val="8"/>
        <w:numPr>
          <w:ilvl w:val="0"/>
          <w:numId w:val="9"/>
        </w:numPr>
        <w:ind w:firstLineChars="0"/>
        <w:rPr>
          <w:color w:val="auto"/>
        </w:rPr>
      </w:pPr>
      <w:r>
        <w:rPr>
          <w:rFonts w:hint="eastAsia"/>
          <w:color w:val="auto"/>
        </w:rPr>
        <w:t>在二线关的两端新城关和背仔角关修建二线关纪念公园，在二线关绿道上结合各区的规划修建景观广场或小公园作为绿道的节点。改善沿线旅游服务设施，设置服务节点等。</w:t>
      </w:r>
    </w:p>
    <w:p>
      <w:pPr>
        <w:pStyle w:val="8"/>
        <w:numPr>
          <w:ilvl w:val="0"/>
          <w:numId w:val="9"/>
        </w:numPr>
        <w:ind w:firstLineChars="0"/>
        <w:rPr>
          <w:color w:val="auto"/>
        </w:rPr>
      </w:pPr>
      <w:r>
        <w:rPr>
          <w:rFonts w:hint="eastAsia"/>
          <w:color w:val="auto"/>
        </w:rPr>
        <w:t>在绿道中设置景观节点，如南光关等。对景观节点进行统一的设计规划</w:t>
      </w:r>
      <w:r>
        <w:rPr>
          <w:color w:val="auto"/>
        </w:rPr>
        <w:t>。</w:t>
      </w:r>
    </w:p>
    <w:p>
      <w:pPr>
        <w:pStyle w:val="8"/>
        <w:numPr>
          <w:ilvl w:val="0"/>
          <w:numId w:val="9"/>
        </w:numPr>
        <w:ind w:firstLineChars="0"/>
        <w:rPr>
          <w:color w:val="auto"/>
        </w:rPr>
      </w:pPr>
      <w:r>
        <w:rPr>
          <w:rFonts w:hint="eastAsia"/>
          <w:color w:val="auto"/>
        </w:rPr>
        <w:t>沿线的景观绿道可根据各区自身的情况进行调整，如因市域规划而中断的，需标明下一阶段的起始口，方便游客和市民继续游览。</w:t>
      </w:r>
    </w:p>
    <w:p>
      <w:pPr>
        <w:pStyle w:val="8"/>
        <w:rPr>
          <w:color w:val="auto"/>
        </w:rPr>
      </w:pPr>
    </w:p>
    <w:p>
      <w:pPr>
        <w:pStyle w:val="3"/>
        <w:rPr>
          <w:color w:val="auto"/>
        </w:rPr>
      </w:pPr>
      <w:bookmarkStart w:id="243" w:name="_Toc3175"/>
      <w:bookmarkStart w:id="244" w:name="_Toc297"/>
      <w:bookmarkStart w:id="245" w:name="_Toc22119"/>
      <w:bookmarkStart w:id="246" w:name="_Toc28507"/>
      <w:bookmarkStart w:id="247" w:name="_Toc14398"/>
      <w:bookmarkStart w:id="248" w:name="_Toc114072205"/>
      <w:bookmarkStart w:id="249" w:name="_Toc702322395"/>
      <w:bookmarkStart w:id="250" w:name="_Toc11673"/>
      <w:r>
        <w:rPr>
          <w:color w:val="auto"/>
        </w:rPr>
        <w:t>7.2</w:t>
      </w:r>
      <w:r>
        <w:rPr>
          <w:rFonts w:hint="eastAsia"/>
          <w:color w:val="auto"/>
        </w:rPr>
        <w:t>发展特色旅游片区</w:t>
      </w:r>
      <w:bookmarkEnd w:id="243"/>
      <w:bookmarkEnd w:id="244"/>
      <w:bookmarkEnd w:id="245"/>
      <w:bookmarkEnd w:id="246"/>
      <w:bookmarkEnd w:id="247"/>
      <w:bookmarkEnd w:id="248"/>
      <w:bookmarkEnd w:id="249"/>
      <w:bookmarkEnd w:id="250"/>
    </w:p>
    <w:p>
      <w:pPr>
        <w:pStyle w:val="4"/>
        <w:rPr>
          <w:color w:val="auto"/>
        </w:rPr>
      </w:pPr>
      <w:r>
        <w:rPr>
          <w:rFonts w:hint="eastAsia"/>
          <w:color w:val="auto"/>
        </w:rPr>
        <w:t>7</w:t>
      </w:r>
      <w:r>
        <w:rPr>
          <w:color w:val="auto"/>
        </w:rPr>
        <w:t>.2.1</w:t>
      </w:r>
      <w:r>
        <w:rPr>
          <w:rFonts w:hint="eastAsia"/>
          <w:color w:val="auto"/>
        </w:rPr>
        <w:t>“实干兴邦”主题旅游片区</w:t>
      </w:r>
    </w:p>
    <w:p>
      <w:pPr>
        <w:pStyle w:val="8"/>
        <w:ind w:firstLine="0" w:firstLineChars="0"/>
        <w:rPr>
          <w:b/>
          <w:color w:val="auto"/>
        </w:rPr>
      </w:pPr>
      <w:r>
        <w:rPr>
          <w:rFonts w:hint="eastAsia"/>
          <w:b/>
          <w:color w:val="auto"/>
        </w:rPr>
        <w:t>（1）片区说明</w:t>
      </w:r>
    </w:p>
    <w:p>
      <w:pPr>
        <w:pStyle w:val="8"/>
        <w:rPr>
          <w:color w:val="auto"/>
        </w:rPr>
      </w:pPr>
      <w:r>
        <w:rPr>
          <w:rFonts w:hint="eastAsia"/>
          <w:color w:val="auto"/>
        </w:rPr>
        <w:t>位于深圳市南山区，大致面积1</w:t>
      </w:r>
      <w:r>
        <w:rPr>
          <w:color w:val="auto"/>
        </w:rPr>
        <w:t>0</w:t>
      </w:r>
      <w:r>
        <w:rPr>
          <w:rFonts w:hint="eastAsia"/>
          <w:color w:val="auto"/>
        </w:rPr>
        <w:t>平方公里，片区内有较多文物保护单位，区域内可规划景点有赤湾左炮台、天后庙遗址、南山公园、文天祥纪念公园、四海公园等。片区内生态资源也较丰富，如南山公园。该片区是集中展现深圳改革开放以来工业发展、经济发展、社会发展的主题传承片区。</w:t>
      </w:r>
    </w:p>
    <w:p>
      <w:pPr>
        <w:pStyle w:val="8"/>
        <w:ind w:firstLine="0" w:firstLineChars="0"/>
        <w:rPr>
          <w:b/>
          <w:color w:val="auto"/>
        </w:rPr>
      </w:pPr>
      <w:r>
        <w:rPr>
          <w:rFonts w:hint="eastAsia"/>
          <w:b/>
          <w:color w:val="auto"/>
        </w:rPr>
        <w:t>（</w:t>
      </w:r>
      <w:r>
        <w:rPr>
          <w:b/>
          <w:color w:val="auto"/>
        </w:rPr>
        <w:t>2</w:t>
      </w:r>
      <w:r>
        <w:rPr>
          <w:rFonts w:hint="eastAsia"/>
          <w:b/>
          <w:color w:val="auto"/>
        </w:rPr>
        <w:t>）片区文旅融合发展布局</w:t>
      </w:r>
    </w:p>
    <w:p>
      <w:pPr>
        <w:pStyle w:val="8"/>
        <w:rPr>
          <w:color w:val="auto"/>
        </w:rPr>
      </w:pPr>
      <w:r>
        <w:rPr>
          <w:rFonts w:hint="eastAsia"/>
          <w:color w:val="auto"/>
        </w:rPr>
        <w:t>根据片区重要史迹分布特征、价值内涵、周围资源分布情况及上位规划，将片区文旅融合发展布局规划为：</w:t>
      </w:r>
      <w:r>
        <w:rPr>
          <w:rFonts w:hint="eastAsia"/>
          <w:b/>
          <w:color w:val="auto"/>
        </w:rPr>
        <w:t>一轴、三核、两片区</w:t>
      </w:r>
      <w:r>
        <w:rPr>
          <w:rFonts w:hint="eastAsia"/>
          <w:color w:val="auto"/>
        </w:rPr>
        <w:t>。</w:t>
      </w:r>
    </w:p>
    <w:p>
      <w:pPr>
        <w:pStyle w:val="8"/>
        <w:ind w:firstLine="482"/>
        <w:rPr>
          <w:color w:val="auto"/>
        </w:rPr>
      </w:pPr>
      <w:r>
        <w:rPr>
          <w:rFonts w:hint="eastAsia"/>
          <w:b/>
          <w:color w:val="auto"/>
        </w:rPr>
        <w:t>一轴：</w:t>
      </w:r>
      <w:r>
        <w:rPr>
          <w:rFonts w:hint="eastAsia"/>
          <w:color w:val="auto"/>
        </w:rPr>
        <w:t>由“空谈误国，实干兴邦”标语牌向微波山时间广场延伸至广东浮法玻璃厂。</w:t>
      </w:r>
    </w:p>
    <w:p>
      <w:pPr>
        <w:pStyle w:val="8"/>
        <w:ind w:firstLine="482"/>
        <w:rPr>
          <w:color w:val="auto"/>
        </w:rPr>
      </w:pPr>
      <w:r>
        <w:rPr>
          <w:rFonts w:hint="eastAsia"/>
          <w:b/>
          <w:color w:val="auto"/>
        </w:rPr>
        <w:t>三核：</w:t>
      </w:r>
      <w:r>
        <w:rPr>
          <w:rFonts w:hint="eastAsia"/>
          <w:color w:val="auto"/>
        </w:rPr>
        <w:t>轴线上三个重要文旅融合节点，分别以“空谈误国 实干兴邦”标语牌、微波山时间广场、大成面粉厂为核心。</w:t>
      </w:r>
    </w:p>
    <w:p>
      <w:pPr>
        <w:pStyle w:val="8"/>
        <w:ind w:firstLine="482"/>
        <w:rPr>
          <w:color w:val="auto"/>
        </w:rPr>
      </w:pPr>
      <w:r>
        <w:rPr>
          <w:rFonts w:hint="eastAsia"/>
          <w:b/>
          <w:color w:val="auto"/>
        </w:rPr>
        <w:t>两片区：</w:t>
      </w:r>
      <w:r>
        <w:rPr>
          <w:rFonts w:hint="eastAsia"/>
          <w:color w:val="auto"/>
        </w:rPr>
        <w:t>一是工业遗产创意展示区，依托广东浮法玻璃厂、大成面粉厂及滨海景观，打造改革开放初期工业遗产展示和创意文化体验片区；二是休闲娱乐文化展示区，依托微波山时间广场、明华轮、南海酒店、袁庚像、三洋厂房以及其他旅游资源如海上世界、南山公园等打造集商业、文化、娱乐一体的展示体验区。</w:t>
      </w:r>
    </w:p>
    <w:p>
      <w:pPr>
        <w:pStyle w:val="8"/>
        <w:ind w:firstLine="0" w:firstLineChars="0"/>
        <w:rPr>
          <w:b/>
          <w:color w:val="auto"/>
        </w:rPr>
      </w:pPr>
      <w:r>
        <w:rPr>
          <w:rFonts w:hint="eastAsia"/>
          <w:b/>
          <w:color w:val="auto"/>
        </w:rPr>
        <w:t>（</w:t>
      </w:r>
      <w:r>
        <w:rPr>
          <w:b/>
          <w:color w:val="auto"/>
        </w:rPr>
        <w:t>3</w:t>
      </w:r>
      <w:r>
        <w:rPr>
          <w:rFonts w:hint="eastAsia"/>
          <w:b/>
          <w:color w:val="auto"/>
        </w:rPr>
        <w:t>）旅游线路规划</w:t>
      </w:r>
    </w:p>
    <w:p>
      <w:pPr>
        <w:pStyle w:val="8"/>
        <w:rPr>
          <w:color w:val="auto"/>
        </w:rPr>
      </w:pPr>
      <w:r>
        <w:rPr>
          <w:rFonts w:hint="eastAsia"/>
          <w:color w:val="auto"/>
        </w:rPr>
        <w:t>沿南山</w:t>
      </w:r>
      <w:r>
        <w:rPr>
          <w:color w:val="auto"/>
        </w:rPr>
        <w:t>大道，</w:t>
      </w:r>
      <w:r>
        <w:rPr>
          <w:rFonts w:hint="eastAsia"/>
          <w:color w:val="auto"/>
        </w:rPr>
        <w:t>从</w:t>
      </w:r>
      <w:r>
        <w:rPr>
          <w:color w:val="auto"/>
        </w:rPr>
        <w:t>“</w:t>
      </w:r>
      <w:r>
        <w:rPr>
          <w:rFonts w:hint="eastAsia"/>
          <w:color w:val="auto"/>
        </w:rPr>
        <w:t>空谈误国，</w:t>
      </w:r>
      <w:r>
        <w:rPr>
          <w:color w:val="auto"/>
        </w:rPr>
        <w:t>实干</w:t>
      </w:r>
      <w:r>
        <w:rPr>
          <w:rFonts w:hint="eastAsia"/>
          <w:color w:val="auto"/>
        </w:rPr>
        <w:t>兴邦</w:t>
      </w:r>
      <w:r>
        <w:rPr>
          <w:color w:val="auto"/>
        </w:rPr>
        <w:t>”</w:t>
      </w:r>
      <w:r>
        <w:rPr>
          <w:rFonts w:hint="eastAsia"/>
          <w:color w:val="auto"/>
        </w:rPr>
        <w:t>标语牌至</w:t>
      </w:r>
      <w:r>
        <w:rPr>
          <w:color w:val="auto"/>
        </w:rPr>
        <w:t>广东浮法玻璃厂，</w:t>
      </w:r>
      <w:r>
        <w:rPr>
          <w:rFonts w:hint="eastAsia"/>
          <w:color w:val="auto"/>
        </w:rPr>
        <w:t>设置</w:t>
      </w:r>
      <w:r>
        <w:rPr>
          <w:color w:val="auto"/>
        </w:rPr>
        <w:t>步行、骑行廊道，</w:t>
      </w:r>
      <w:r>
        <w:rPr>
          <w:rFonts w:hint="eastAsia"/>
          <w:color w:val="auto"/>
        </w:rPr>
        <w:t>路线</w:t>
      </w:r>
      <w:r>
        <w:rPr>
          <w:color w:val="auto"/>
        </w:rPr>
        <w:t>规划为“</w:t>
      </w:r>
      <w:r>
        <w:rPr>
          <w:rFonts w:hint="eastAsia"/>
          <w:color w:val="auto"/>
        </w:rPr>
        <w:t>空谈误国</w:t>
      </w:r>
      <w:r>
        <w:rPr>
          <w:color w:val="auto"/>
        </w:rPr>
        <w:t>，实干</w:t>
      </w:r>
      <w:r>
        <w:rPr>
          <w:rFonts w:hint="eastAsia"/>
          <w:color w:val="auto"/>
        </w:rPr>
        <w:t>兴邦</w:t>
      </w:r>
      <w:r>
        <w:rPr>
          <w:color w:val="auto"/>
        </w:rPr>
        <w:t>”</w:t>
      </w:r>
      <w:r>
        <w:rPr>
          <w:rFonts w:hint="eastAsia"/>
          <w:color w:val="auto"/>
        </w:rPr>
        <w:t>标语牌</w:t>
      </w:r>
      <w:r>
        <w:rPr>
          <w:color w:val="auto"/>
        </w:rPr>
        <w:t>、三洋厂房、明华轮、</w:t>
      </w:r>
      <w:r>
        <w:rPr>
          <w:rFonts w:hint="eastAsia"/>
          <w:color w:val="auto"/>
        </w:rPr>
        <w:t>袁庚像</w:t>
      </w:r>
      <w:r>
        <w:rPr>
          <w:color w:val="auto"/>
        </w:rPr>
        <w:t>、微波山时间广场、南海酒店、大成面粉厂、广东浮法玻璃厂。</w:t>
      </w:r>
    </w:p>
    <w:p>
      <w:pPr>
        <w:pStyle w:val="8"/>
        <w:ind w:firstLine="0" w:firstLineChars="0"/>
        <w:rPr>
          <w:b/>
          <w:color w:val="auto"/>
        </w:rPr>
      </w:pPr>
      <w:r>
        <w:rPr>
          <w:rFonts w:hint="eastAsia"/>
          <w:b/>
          <w:color w:val="auto"/>
        </w:rPr>
        <w:t>（</w:t>
      </w:r>
      <w:r>
        <w:rPr>
          <w:b/>
          <w:color w:val="auto"/>
        </w:rPr>
        <w:t>4</w:t>
      </w:r>
      <w:r>
        <w:rPr>
          <w:rFonts w:hint="eastAsia"/>
          <w:b/>
          <w:color w:val="auto"/>
        </w:rPr>
        <w:t>）主要景点建设与提升措施</w:t>
      </w:r>
    </w:p>
    <w:p>
      <w:pPr>
        <w:pStyle w:val="8"/>
        <w:rPr>
          <w:color w:val="auto"/>
        </w:rPr>
      </w:pPr>
      <w:r>
        <w:rPr>
          <w:rFonts w:hint="eastAsia"/>
          <w:color w:val="auto"/>
        </w:rPr>
        <w:t>片区内主要划分出两块区域，分别是浮法玻璃厂和大成面粉厂的工业展示区，与海上世界的组团区域。对每个区域进行相关主题展示。其中，工业展示区以大成面粉厂为核心，海上世界组团以微波山时间广场为核心。重要停留点为大成面粉厂和微波山广场改革开放纪念公园。区域内各类设施极为丰富，能提供游览者的多种需求，且史迹点较为聚集，能形成很好的联动展示效果。</w:t>
      </w:r>
    </w:p>
    <w:p>
      <w:pPr>
        <w:pStyle w:val="8"/>
        <w:ind w:firstLine="0" w:firstLineChars="0"/>
        <w:rPr>
          <w:b/>
          <w:color w:val="auto"/>
        </w:rPr>
      </w:pPr>
      <w:r>
        <w:rPr>
          <w:rFonts w:hint="eastAsia"/>
          <w:b/>
          <w:color w:val="auto"/>
        </w:rPr>
        <w:t>（</w:t>
      </w:r>
      <w:r>
        <w:rPr>
          <w:b/>
          <w:color w:val="auto"/>
        </w:rPr>
        <w:t>5</w:t>
      </w:r>
      <w:r>
        <w:rPr>
          <w:rFonts w:hint="eastAsia"/>
          <w:b/>
          <w:color w:val="auto"/>
        </w:rPr>
        <w:t>）道路交通改善措施</w:t>
      </w:r>
    </w:p>
    <w:p>
      <w:pPr>
        <w:pStyle w:val="8"/>
        <w:rPr>
          <w:color w:val="auto"/>
        </w:rPr>
      </w:pPr>
      <w:r>
        <w:rPr>
          <w:rFonts w:hint="eastAsia"/>
          <w:color w:val="auto"/>
        </w:rPr>
        <w:t>现状交通：区域的地铁线较为密集，可快速到达，在地铁</w:t>
      </w:r>
      <w:r>
        <w:rPr>
          <w:color w:val="auto"/>
        </w:rPr>
        <w:t>2</w:t>
      </w:r>
      <w:r>
        <w:rPr>
          <w:rFonts w:hint="eastAsia"/>
          <w:color w:val="auto"/>
        </w:rPr>
        <w:t>号线蛇口港和海上世界站等均可快速到达本区域的史迹点。同时，地铁</w:t>
      </w:r>
      <w:r>
        <w:rPr>
          <w:color w:val="auto"/>
        </w:rPr>
        <w:t>1</w:t>
      </w:r>
      <w:r>
        <w:rPr>
          <w:rFonts w:hint="eastAsia"/>
          <w:color w:val="auto"/>
        </w:rPr>
        <w:t>号线可快速到达包括前海石公园、深圳大学、世界之窗、华侨城在内的南山区的分散的史迹点。同时，通过城际快线也可快速到达蛇口港和前海湾地区进行游览。</w:t>
      </w:r>
    </w:p>
    <w:p>
      <w:pPr>
        <w:pStyle w:val="8"/>
        <w:rPr>
          <w:color w:val="auto"/>
        </w:rPr>
      </w:pPr>
      <w:r>
        <w:rPr>
          <w:rFonts w:hint="eastAsia"/>
          <w:color w:val="auto"/>
        </w:rPr>
        <w:t>规划交通：合理组织微波山纪念公园至各个史迹点的交通流线，规划出</w:t>
      </w:r>
      <w:r>
        <w:rPr>
          <w:color w:val="auto"/>
        </w:rPr>
        <w:t>3</w:t>
      </w:r>
      <w:r>
        <w:rPr>
          <w:rFonts w:hint="eastAsia"/>
          <w:color w:val="auto"/>
        </w:rPr>
        <w:t>条游览线路：机动车行驶线、非机动车行驶线、步行游览线。并在沿路进行节点导引展示。</w:t>
      </w:r>
    </w:p>
    <w:p>
      <w:pPr>
        <w:pStyle w:val="8"/>
        <w:ind w:firstLine="0" w:firstLineChars="0"/>
        <w:rPr>
          <w:b/>
          <w:color w:val="auto"/>
        </w:rPr>
      </w:pPr>
      <w:r>
        <w:rPr>
          <w:rFonts w:hint="eastAsia"/>
          <w:b/>
          <w:color w:val="auto"/>
        </w:rPr>
        <w:t>（</w:t>
      </w:r>
      <w:r>
        <w:rPr>
          <w:b/>
          <w:color w:val="auto"/>
        </w:rPr>
        <w:t>6</w:t>
      </w:r>
      <w:r>
        <w:rPr>
          <w:rFonts w:hint="eastAsia"/>
          <w:b/>
          <w:color w:val="auto"/>
        </w:rPr>
        <w:t>）旅游服务设施建设与提升措施</w:t>
      </w:r>
    </w:p>
    <w:p>
      <w:pPr>
        <w:pStyle w:val="8"/>
        <w:rPr>
          <w:color w:val="auto"/>
        </w:rPr>
      </w:pPr>
      <w:r>
        <w:rPr>
          <w:rFonts w:hint="eastAsia"/>
          <w:color w:val="auto"/>
        </w:rPr>
        <w:t>各类服务设施主要集中在海上世界周边，面粉厂、玻璃厂、标语牌附近的服务设施不齐全，需进行设施提升。沿线设置服务节点。</w:t>
      </w:r>
    </w:p>
    <w:p>
      <w:pPr>
        <w:pStyle w:val="8"/>
        <w:rPr>
          <w:color w:val="auto"/>
        </w:rPr>
      </w:pPr>
    </w:p>
    <w:p>
      <w:pPr>
        <w:pStyle w:val="4"/>
        <w:rPr>
          <w:color w:val="auto"/>
        </w:rPr>
      </w:pPr>
      <w:r>
        <w:rPr>
          <w:rFonts w:hint="eastAsia"/>
          <w:color w:val="auto"/>
        </w:rPr>
        <w:t>7</w:t>
      </w:r>
      <w:r>
        <w:rPr>
          <w:color w:val="auto"/>
        </w:rPr>
        <w:t>.2.2</w:t>
      </w:r>
      <w:r>
        <w:rPr>
          <w:rFonts w:hint="eastAsia"/>
          <w:color w:val="auto"/>
        </w:rPr>
        <w:t>“深圳速度”主题旅游片区</w:t>
      </w:r>
    </w:p>
    <w:p>
      <w:pPr>
        <w:pStyle w:val="8"/>
        <w:ind w:firstLine="0" w:firstLineChars="0"/>
        <w:rPr>
          <w:b/>
          <w:color w:val="auto"/>
        </w:rPr>
      </w:pPr>
      <w:r>
        <w:rPr>
          <w:rFonts w:hint="eastAsia"/>
          <w:b/>
          <w:color w:val="auto"/>
        </w:rPr>
        <w:t>（1）片区说明</w:t>
      </w:r>
    </w:p>
    <w:p>
      <w:pPr>
        <w:pStyle w:val="8"/>
        <w:rPr>
          <w:color w:val="auto"/>
        </w:rPr>
      </w:pPr>
      <w:r>
        <w:rPr>
          <w:rFonts w:hint="eastAsia"/>
          <w:color w:val="auto"/>
        </w:rPr>
        <w:t>“深圳速度”主题片区位于深圳福田区域罗湖区交界，大致面积约1</w:t>
      </w:r>
      <w:r>
        <w:rPr>
          <w:color w:val="auto"/>
        </w:rPr>
        <w:t>5</w:t>
      </w:r>
      <w:r>
        <w:rPr>
          <w:rFonts w:hint="eastAsia"/>
          <w:color w:val="auto"/>
        </w:rPr>
        <w:t>平方公里。主要展示路线主要沿深南大道进行规划。地王大厦、国贸大厦、电子大厦等展现了改革开放以来“深圳速度”的工程建设成果。图书馆旧馆、科技馆旧馆、博物馆等展现了“一次创业时期”的文化设施建设成果。渔民村，深圳火车站等则代表了</w:t>
      </w:r>
      <w:r>
        <w:rPr>
          <w:color w:val="auto"/>
        </w:rPr>
        <w:t>1980年前的深圳基础设施风貌和改革开放以来的设施发展历程。区域内文物景点革命烈士纪念碑、东江游击队指挥部旧址、营救文化名人旧址</w:t>
      </w:r>
      <w:r>
        <w:rPr>
          <w:rFonts w:hint="eastAsia"/>
          <w:color w:val="auto"/>
        </w:rPr>
        <w:t>、</w:t>
      </w:r>
      <w:r>
        <w:rPr>
          <w:color w:val="auto"/>
        </w:rPr>
        <w:t>深圳中心公园、梅林山郊野公园、银湖山郊野公园等</w:t>
      </w:r>
      <w:r>
        <w:rPr>
          <w:rFonts w:hint="eastAsia"/>
          <w:color w:val="auto"/>
        </w:rPr>
        <w:t>。</w:t>
      </w:r>
    </w:p>
    <w:p>
      <w:pPr>
        <w:pStyle w:val="8"/>
        <w:ind w:firstLine="0" w:firstLineChars="0"/>
        <w:rPr>
          <w:b/>
          <w:color w:val="auto"/>
        </w:rPr>
      </w:pPr>
      <w:r>
        <w:rPr>
          <w:rFonts w:hint="eastAsia"/>
          <w:b/>
          <w:color w:val="auto"/>
        </w:rPr>
        <w:t>（2）片区文旅融合发展布局</w:t>
      </w:r>
    </w:p>
    <w:p>
      <w:pPr>
        <w:pStyle w:val="8"/>
        <w:rPr>
          <w:color w:val="auto"/>
        </w:rPr>
      </w:pPr>
      <w:r>
        <w:rPr>
          <w:rFonts w:hint="eastAsia"/>
          <w:color w:val="auto"/>
        </w:rPr>
        <w:t>区域内共1</w:t>
      </w:r>
      <w:r>
        <w:rPr>
          <w:color w:val="auto"/>
        </w:rPr>
        <w:t>4</w:t>
      </w:r>
      <w:r>
        <w:rPr>
          <w:rFonts w:hint="eastAsia"/>
          <w:color w:val="auto"/>
        </w:rPr>
        <w:t>处史迹点，将保护利用格局规划为：两轴、三核、两片区。</w:t>
      </w:r>
    </w:p>
    <w:p>
      <w:pPr>
        <w:pStyle w:val="8"/>
        <w:rPr>
          <w:color w:val="auto"/>
        </w:rPr>
      </w:pPr>
      <w:r>
        <w:rPr>
          <w:rFonts w:hint="eastAsia"/>
          <w:color w:val="auto"/>
        </w:rPr>
        <w:t>两轴：以东西向的深南大道为主轴，从上海宾馆至深圳国贸大厦，南北向的人民公园路为次轴，从深圳迎宾馆至罗湖口岸联检大楼。</w:t>
      </w:r>
    </w:p>
    <w:p>
      <w:pPr>
        <w:pStyle w:val="8"/>
        <w:rPr>
          <w:color w:val="auto"/>
        </w:rPr>
      </w:pPr>
      <w:r>
        <w:rPr>
          <w:rFonts w:hint="eastAsia"/>
          <w:color w:val="auto"/>
        </w:rPr>
        <w:t>三核：以孺子牛雕像、国贸大厦、火车站和联检大楼为3个重要展示利用节点。</w:t>
      </w:r>
    </w:p>
    <w:p>
      <w:pPr>
        <w:pStyle w:val="8"/>
        <w:rPr>
          <w:b/>
          <w:color w:val="auto"/>
        </w:rPr>
      </w:pPr>
      <w:r>
        <w:rPr>
          <w:rFonts w:hint="eastAsia"/>
          <w:color w:val="auto"/>
        </w:rPr>
        <w:t>两片区：一是对岸口岸展示片区，以深圳火车站、联检大楼为核心，打造深圳改革开放以来对外开放的各项成果，展示可以与周边的渔民村形成联动关系。二是“深圳速度”展示片区，以孺子牛雕像、深圳博物馆旧馆为展示核心。孺子牛雕像可改造为户外的景观节点，深圳博物馆旧馆可开辟改革开放展示专区。</w:t>
      </w:r>
    </w:p>
    <w:p>
      <w:pPr>
        <w:pStyle w:val="8"/>
        <w:ind w:firstLine="0" w:firstLineChars="0"/>
        <w:rPr>
          <w:b/>
          <w:color w:val="auto"/>
        </w:rPr>
      </w:pPr>
      <w:r>
        <w:rPr>
          <w:rFonts w:hint="eastAsia"/>
          <w:b/>
          <w:color w:val="auto"/>
        </w:rPr>
        <w:t>（3）旅游线路规划</w:t>
      </w:r>
    </w:p>
    <w:p>
      <w:pPr>
        <w:pStyle w:val="8"/>
        <w:rPr>
          <w:color w:val="auto"/>
        </w:rPr>
      </w:pPr>
      <w:r>
        <w:rPr>
          <w:rFonts w:hint="eastAsia"/>
          <w:color w:val="auto"/>
        </w:rPr>
        <w:t>东西轴从上海宾馆，沿深南大道，至国贸大厦。南北轴自深圳迎宾馆，沿人民公园路，至罗湖口岸联检大楼。东西轴设置</w:t>
      </w:r>
      <w:r>
        <w:rPr>
          <w:color w:val="auto"/>
        </w:rPr>
        <w:t>5</w:t>
      </w:r>
      <w:r>
        <w:rPr>
          <w:rFonts w:hint="eastAsia"/>
          <w:color w:val="auto"/>
        </w:rPr>
        <w:t>处游览节点，南北轴设置</w:t>
      </w:r>
      <w:r>
        <w:rPr>
          <w:color w:val="auto"/>
        </w:rPr>
        <w:t>3</w:t>
      </w:r>
      <w:r>
        <w:rPr>
          <w:rFonts w:hint="eastAsia"/>
          <w:color w:val="auto"/>
        </w:rPr>
        <w:t>处游览节点。</w:t>
      </w:r>
    </w:p>
    <w:p>
      <w:pPr>
        <w:pStyle w:val="8"/>
        <w:ind w:firstLine="0" w:firstLineChars="0"/>
        <w:rPr>
          <w:b/>
          <w:color w:val="auto"/>
        </w:rPr>
      </w:pPr>
      <w:r>
        <w:rPr>
          <w:rFonts w:hint="eastAsia"/>
          <w:b/>
          <w:color w:val="auto"/>
        </w:rPr>
        <w:t>（4）主要景点建设和提升措施</w:t>
      </w:r>
    </w:p>
    <w:p>
      <w:pPr>
        <w:pStyle w:val="8"/>
        <w:rPr>
          <w:color w:val="auto"/>
        </w:rPr>
      </w:pPr>
      <w:r>
        <w:rPr>
          <w:rFonts w:hint="eastAsia"/>
          <w:color w:val="auto"/>
        </w:rPr>
        <w:t>在孺子牛雕像、罗湖口岸联检大楼、国贸大厦设置</w:t>
      </w:r>
      <w:r>
        <w:rPr>
          <w:color w:val="auto"/>
        </w:rPr>
        <w:t>3</w:t>
      </w:r>
      <w:r>
        <w:rPr>
          <w:rFonts w:hint="eastAsia"/>
          <w:color w:val="auto"/>
        </w:rPr>
        <w:t>处综合展示节点，进行节点展示。区域内共分为两个片区，对外口岸展示片区有深圳火车站和罗湖口岸联检大楼，展示深圳改革开放以来对外联系。文化教育片区有孺子牛雕像、深圳科学馆旧馆、深圳图书馆旧馆等，主要展示改革开放以来深圳在文化教育方面的进步。</w:t>
      </w:r>
    </w:p>
    <w:p>
      <w:pPr>
        <w:pStyle w:val="8"/>
        <w:ind w:firstLine="0" w:firstLineChars="0"/>
        <w:rPr>
          <w:b/>
          <w:color w:val="auto"/>
        </w:rPr>
      </w:pPr>
      <w:r>
        <w:rPr>
          <w:rFonts w:hint="eastAsia"/>
          <w:b/>
          <w:color w:val="auto"/>
        </w:rPr>
        <w:t>（5）道路交通改善措施</w:t>
      </w:r>
    </w:p>
    <w:p>
      <w:pPr>
        <w:pStyle w:val="8"/>
        <w:rPr>
          <w:color w:val="auto"/>
        </w:rPr>
      </w:pPr>
      <w:r>
        <w:rPr>
          <w:rFonts w:hint="eastAsia"/>
          <w:color w:val="auto"/>
        </w:rPr>
        <w:t>现状交通：该区域的地铁线分布极为密集，地铁1号线、5号线、3号线、7号线等多条地铁线均可直接到达。道路网也非常丰富，交通极为便利。</w:t>
      </w:r>
    </w:p>
    <w:p>
      <w:pPr>
        <w:pStyle w:val="8"/>
        <w:rPr>
          <w:b/>
          <w:color w:val="auto"/>
        </w:rPr>
      </w:pPr>
      <w:r>
        <w:rPr>
          <w:rFonts w:hint="eastAsia"/>
          <w:color w:val="auto"/>
        </w:rPr>
        <w:t>规划交通：沿</w:t>
      </w:r>
      <w:r>
        <w:rPr>
          <w:color w:val="auto"/>
        </w:rPr>
        <w:t>深南大道规划出绿色骑行道路和</w:t>
      </w:r>
      <w:r>
        <w:rPr>
          <w:rFonts w:hint="eastAsia"/>
          <w:color w:val="auto"/>
        </w:rPr>
        <w:t>步行</w:t>
      </w:r>
      <w:r>
        <w:rPr>
          <w:color w:val="auto"/>
        </w:rPr>
        <w:t>道路，</w:t>
      </w:r>
    </w:p>
    <w:p>
      <w:pPr>
        <w:pStyle w:val="8"/>
        <w:ind w:firstLine="0" w:firstLineChars="0"/>
        <w:rPr>
          <w:b/>
          <w:color w:val="auto"/>
        </w:rPr>
      </w:pPr>
      <w:r>
        <w:rPr>
          <w:rFonts w:hint="eastAsia"/>
          <w:b/>
          <w:color w:val="auto"/>
        </w:rPr>
        <w:t>（6）旅游服务设施建设与提升措施</w:t>
      </w:r>
    </w:p>
    <w:p>
      <w:pPr>
        <w:pStyle w:val="8"/>
        <w:rPr>
          <w:color w:val="auto"/>
        </w:rPr>
      </w:pPr>
      <w:r>
        <w:rPr>
          <w:rFonts w:hint="eastAsia"/>
          <w:color w:val="auto"/>
        </w:rPr>
        <w:t>大多史迹点和景点都具有对外开放参观功能，因此都具备一定的服务设施。且周边商业设施极丰富，能很好的满足游客需求。</w:t>
      </w:r>
    </w:p>
    <w:p>
      <w:pPr>
        <w:pStyle w:val="4"/>
        <w:rPr>
          <w:color w:val="auto"/>
        </w:rPr>
      </w:pPr>
      <w:r>
        <w:rPr>
          <w:rFonts w:hint="eastAsia"/>
          <w:color w:val="auto"/>
        </w:rPr>
        <w:t>7</w:t>
      </w:r>
      <w:r>
        <w:rPr>
          <w:color w:val="auto"/>
        </w:rPr>
        <w:t xml:space="preserve">.2.3 </w:t>
      </w:r>
      <w:r>
        <w:rPr>
          <w:rFonts w:hint="eastAsia"/>
          <w:color w:val="auto"/>
        </w:rPr>
        <w:t>其他特色片区</w:t>
      </w:r>
    </w:p>
    <w:p>
      <w:pPr>
        <w:pStyle w:val="8"/>
        <w:ind w:firstLine="482"/>
        <w:rPr>
          <w:b/>
          <w:color w:val="auto"/>
        </w:rPr>
      </w:pPr>
      <w:r>
        <w:rPr>
          <w:rFonts w:hint="eastAsia"/>
          <w:b/>
          <w:color w:val="auto"/>
        </w:rPr>
        <w:t>（</w:t>
      </w:r>
      <w:r>
        <w:rPr>
          <w:b/>
          <w:color w:val="auto"/>
        </w:rPr>
        <w:t>1</w:t>
      </w:r>
      <w:r>
        <w:rPr>
          <w:rFonts w:hint="eastAsia"/>
          <w:b/>
          <w:color w:val="auto"/>
        </w:rPr>
        <w:t>）文化教育体验区</w:t>
      </w:r>
    </w:p>
    <w:p>
      <w:pPr>
        <w:pStyle w:val="8"/>
        <w:ind w:firstLine="482"/>
        <w:rPr>
          <w:b/>
          <w:color w:val="auto"/>
        </w:rPr>
      </w:pPr>
      <w:r>
        <w:rPr>
          <w:rFonts w:hint="eastAsia"/>
          <w:b/>
          <w:color w:val="auto"/>
        </w:rPr>
        <w:t>片区说明：</w:t>
      </w:r>
      <w:r>
        <w:rPr>
          <w:rFonts w:hint="eastAsia"/>
          <w:color w:val="auto"/>
        </w:rPr>
        <w:t xml:space="preserve"> </w:t>
      </w:r>
    </w:p>
    <w:p>
      <w:pPr>
        <w:pStyle w:val="8"/>
        <w:rPr>
          <w:color w:val="auto"/>
        </w:rPr>
      </w:pPr>
      <w:r>
        <w:rPr>
          <w:rFonts w:hint="eastAsia"/>
          <w:color w:val="auto"/>
        </w:rPr>
        <w:t>主要位于深圳南山区，片区内有深圳南头中学、深圳大学、世界之窗、锦绣中华民俗村等。周边景点有南头古城以及各类城市公园广场等。片区展示深圳改革开放以来在文化教育方面发生的变革。对深圳本土文化和改革开放以来认识的国外文化的学习。</w:t>
      </w:r>
    </w:p>
    <w:p>
      <w:pPr>
        <w:pStyle w:val="8"/>
        <w:ind w:firstLine="482"/>
        <w:rPr>
          <w:b/>
          <w:color w:val="auto"/>
        </w:rPr>
      </w:pPr>
      <w:r>
        <w:rPr>
          <w:rFonts w:hint="eastAsia"/>
          <w:b/>
          <w:color w:val="auto"/>
        </w:rPr>
        <w:t>游览线路：</w:t>
      </w:r>
    </w:p>
    <w:p>
      <w:pPr>
        <w:pStyle w:val="8"/>
        <w:rPr>
          <w:color w:val="auto"/>
        </w:rPr>
      </w:pPr>
      <w:r>
        <w:rPr>
          <w:rFonts w:hint="eastAsia"/>
          <w:color w:val="auto"/>
        </w:rPr>
        <w:t>深圳南头中学→深圳大学→世界之窗→华侨城</w:t>
      </w:r>
    </w:p>
    <w:p>
      <w:pPr>
        <w:pStyle w:val="8"/>
        <w:ind w:firstLine="482"/>
        <w:rPr>
          <w:b/>
          <w:color w:val="auto"/>
        </w:rPr>
      </w:pPr>
      <w:r>
        <w:rPr>
          <w:rFonts w:hint="eastAsia"/>
          <w:b/>
          <w:color w:val="auto"/>
        </w:rPr>
        <w:t>规划措施：</w:t>
      </w:r>
    </w:p>
    <w:p>
      <w:pPr>
        <w:pStyle w:val="8"/>
        <w:ind w:firstLine="480" w:firstLineChars="200"/>
        <w:rPr>
          <w:color w:val="auto"/>
        </w:rPr>
      </w:pPr>
      <w:r>
        <w:rPr>
          <w:rFonts w:hint="eastAsia"/>
          <w:color w:val="auto"/>
        </w:rPr>
        <w:t>a</w:t>
      </w:r>
      <w:r>
        <w:rPr>
          <w:color w:val="auto"/>
        </w:rPr>
        <w:t>)</w:t>
      </w:r>
      <w:r>
        <w:rPr>
          <w:rFonts w:hint="eastAsia"/>
          <w:color w:val="auto"/>
        </w:rPr>
        <w:t>沿线设置相关特色标识牌，并列出深圳其他著名文化教育点。</w:t>
      </w:r>
    </w:p>
    <w:p>
      <w:pPr>
        <w:pStyle w:val="8"/>
        <w:ind w:firstLine="482"/>
        <w:rPr>
          <w:b/>
          <w:color w:val="auto"/>
        </w:rPr>
      </w:pPr>
    </w:p>
    <w:p>
      <w:pPr>
        <w:pStyle w:val="8"/>
        <w:ind w:firstLine="482"/>
        <w:rPr>
          <w:b/>
          <w:color w:val="auto"/>
        </w:rPr>
      </w:pPr>
      <w:r>
        <w:rPr>
          <w:rFonts w:hint="eastAsia"/>
          <w:b/>
          <w:color w:val="auto"/>
        </w:rPr>
        <w:t>（</w:t>
      </w:r>
      <w:r>
        <w:rPr>
          <w:b/>
          <w:color w:val="auto"/>
        </w:rPr>
        <w:t>2</w:t>
      </w:r>
      <w:r>
        <w:rPr>
          <w:rFonts w:hint="eastAsia"/>
          <w:b/>
          <w:color w:val="auto"/>
        </w:rPr>
        <w:t>）早期“前店后厂”对外贸易区</w:t>
      </w:r>
    </w:p>
    <w:p>
      <w:pPr>
        <w:pStyle w:val="8"/>
        <w:ind w:firstLine="482"/>
        <w:rPr>
          <w:b/>
          <w:color w:val="auto"/>
        </w:rPr>
      </w:pPr>
      <w:r>
        <w:rPr>
          <w:rFonts w:hint="eastAsia"/>
          <w:b/>
          <w:color w:val="auto"/>
        </w:rPr>
        <w:t>片区说明：</w:t>
      </w:r>
      <w:r>
        <w:rPr>
          <w:rFonts w:hint="eastAsia"/>
          <w:color w:val="auto"/>
        </w:rPr>
        <w:t xml:space="preserve"> </w:t>
      </w:r>
    </w:p>
    <w:p>
      <w:pPr>
        <w:pStyle w:val="8"/>
        <w:rPr>
          <w:color w:val="auto"/>
        </w:rPr>
      </w:pPr>
      <w:r>
        <w:rPr>
          <w:rFonts w:hint="eastAsia"/>
          <w:color w:val="auto"/>
        </w:rPr>
        <w:t>主要位于盐田区，片区内有中英街历史博物馆、盐田国际集装箱码头、沙头角保税区3处史迹点。还有中英街和中英街界碑等人文资源，周边自然景观丰富有梧桐山风景名胜区、梧桐山森林公园、大梅沙、小梅沙等。</w:t>
      </w:r>
    </w:p>
    <w:p>
      <w:pPr>
        <w:pStyle w:val="8"/>
        <w:ind w:firstLine="482"/>
        <w:rPr>
          <w:b/>
          <w:color w:val="auto"/>
        </w:rPr>
      </w:pPr>
      <w:r>
        <w:rPr>
          <w:rFonts w:hint="eastAsia"/>
          <w:b/>
          <w:color w:val="auto"/>
        </w:rPr>
        <w:t>游览线路：</w:t>
      </w:r>
    </w:p>
    <w:p>
      <w:pPr>
        <w:pStyle w:val="8"/>
        <w:rPr>
          <w:color w:val="auto"/>
        </w:rPr>
      </w:pPr>
      <w:r>
        <w:rPr>
          <w:rFonts w:hint="eastAsia"/>
          <w:color w:val="auto"/>
        </w:rPr>
        <w:t>中英街历史博物馆→沙头角保税区→盐田港国际集装箱码头</w:t>
      </w:r>
    </w:p>
    <w:p>
      <w:pPr>
        <w:pStyle w:val="8"/>
        <w:ind w:firstLine="482"/>
        <w:rPr>
          <w:b/>
          <w:color w:val="auto"/>
        </w:rPr>
      </w:pPr>
      <w:r>
        <w:rPr>
          <w:rFonts w:hint="eastAsia"/>
          <w:b/>
          <w:color w:val="auto"/>
        </w:rPr>
        <w:t>规划措施：</w:t>
      </w:r>
    </w:p>
    <w:p>
      <w:pPr>
        <w:pStyle w:val="8"/>
        <w:numPr>
          <w:ilvl w:val="0"/>
          <w:numId w:val="10"/>
        </w:numPr>
        <w:ind w:firstLineChars="0"/>
        <w:rPr>
          <w:color w:val="auto"/>
        </w:rPr>
      </w:pPr>
      <w:r>
        <w:rPr>
          <w:rFonts w:hint="eastAsia"/>
          <w:color w:val="auto"/>
        </w:rPr>
        <w:t>中英街历史博物馆可结合中英街片区进行打造。</w:t>
      </w:r>
    </w:p>
    <w:p>
      <w:pPr>
        <w:pStyle w:val="8"/>
        <w:numPr>
          <w:ilvl w:val="0"/>
          <w:numId w:val="10"/>
        </w:numPr>
        <w:ind w:firstLineChars="0"/>
        <w:rPr>
          <w:color w:val="auto"/>
        </w:rPr>
      </w:pPr>
      <w:r>
        <w:rPr>
          <w:rFonts w:hint="eastAsia"/>
          <w:color w:val="auto"/>
        </w:rPr>
        <w:t>沙头角保税区进行腾退后，保留的建筑可延续保税区的功能，对其进行改造再利用。对现有的沙头角的建筑群进行数字化的建模保存，对现有资料进行收集归档。</w:t>
      </w:r>
    </w:p>
    <w:p>
      <w:pPr>
        <w:pStyle w:val="8"/>
        <w:numPr>
          <w:ilvl w:val="0"/>
          <w:numId w:val="10"/>
        </w:numPr>
        <w:ind w:firstLineChars="0"/>
        <w:rPr>
          <w:color w:val="auto"/>
        </w:rPr>
      </w:pPr>
      <w:r>
        <w:rPr>
          <w:rFonts w:hint="eastAsia"/>
          <w:color w:val="auto"/>
        </w:rPr>
        <w:t>盐田港码头结合自身情况进行保护或再利用。利用可局部开放公共展示区域挖掘码头的历史，进行码头的展示利用。</w:t>
      </w:r>
    </w:p>
    <w:p>
      <w:pPr>
        <w:pStyle w:val="8"/>
        <w:rPr>
          <w:color w:val="auto"/>
        </w:rPr>
      </w:pPr>
    </w:p>
    <w:p>
      <w:pPr>
        <w:pStyle w:val="8"/>
        <w:ind w:firstLine="482"/>
        <w:rPr>
          <w:b/>
          <w:color w:val="auto"/>
        </w:rPr>
      </w:pPr>
      <w:r>
        <w:rPr>
          <w:rFonts w:hint="eastAsia"/>
          <w:b/>
          <w:color w:val="auto"/>
        </w:rPr>
        <w:t>（</w:t>
      </w:r>
      <w:r>
        <w:rPr>
          <w:b/>
          <w:color w:val="auto"/>
        </w:rPr>
        <w:t>3</w:t>
      </w:r>
      <w:r>
        <w:rPr>
          <w:rFonts w:hint="eastAsia"/>
          <w:b/>
          <w:color w:val="auto"/>
        </w:rPr>
        <w:t>）大鹏生态景观区</w:t>
      </w:r>
    </w:p>
    <w:p>
      <w:pPr>
        <w:pStyle w:val="8"/>
        <w:ind w:firstLine="482"/>
        <w:rPr>
          <w:b/>
          <w:color w:val="auto"/>
        </w:rPr>
      </w:pPr>
      <w:r>
        <w:rPr>
          <w:rFonts w:hint="eastAsia"/>
          <w:b/>
          <w:color w:val="auto"/>
        </w:rPr>
        <w:t>片区说明：</w:t>
      </w:r>
      <w:r>
        <w:rPr>
          <w:rFonts w:hint="eastAsia"/>
          <w:color w:val="auto"/>
        </w:rPr>
        <w:t xml:space="preserve"> </w:t>
      </w:r>
    </w:p>
    <w:p>
      <w:pPr>
        <w:pStyle w:val="8"/>
        <w:rPr>
          <w:color w:val="auto"/>
        </w:rPr>
      </w:pPr>
      <w:r>
        <w:rPr>
          <w:rFonts w:hint="eastAsia"/>
          <w:color w:val="auto"/>
        </w:rPr>
        <w:t>主要位于大鹏新区，片区内有艺象I</w:t>
      </w:r>
      <w:r>
        <w:rPr>
          <w:color w:val="auto"/>
        </w:rPr>
        <w:t>D TOWN</w:t>
      </w:r>
      <w:r>
        <w:rPr>
          <w:rFonts w:hint="eastAsia"/>
          <w:color w:val="auto"/>
        </w:rPr>
        <w:t>、袁庚祖居、大亚湾核电站、鹤薮小学4处史迹点。大鹏半岛国家地质公园和深圳天文台。周边有还有东西涌徒步路线、柚柑湾、鹅公湾等景点。自然风光和旅游观赏体验极好。景点上有</w:t>
      </w:r>
      <w:r>
        <w:rPr>
          <w:color w:val="auto"/>
        </w:rPr>
        <w:t>2处国家级保护单位大鹏所城和土洋村东江纵队司令部旧址，其他保护单位还有咸头岭遗址、钟氏宅邸等</w:t>
      </w:r>
      <w:r>
        <w:rPr>
          <w:rFonts w:hint="eastAsia"/>
          <w:color w:val="auto"/>
        </w:rPr>
        <w:t>，</w:t>
      </w:r>
      <w:r>
        <w:rPr>
          <w:color w:val="auto"/>
        </w:rPr>
        <w:t>文化景点也较为丰富。</w:t>
      </w:r>
    </w:p>
    <w:p>
      <w:pPr>
        <w:pStyle w:val="8"/>
        <w:ind w:firstLine="482"/>
        <w:rPr>
          <w:b/>
          <w:color w:val="auto"/>
        </w:rPr>
      </w:pPr>
      <w:r>
        <w:rPr>
          <w:rFonts w:hint="eastAsia"/>
          <w:b/>
          <w:color w:val="auto"/>
        </w:rPr>
        <w:t>游览线路：</w:t>
      </w:r>
    </w:p>
    <w:p>
      <w:pPr>
        <w:pStyle w:val="8"/>
        <w:rPr>
          <w:color w:val="auto"/>
        </w:rPr>
      </w:pPr>
      <w:r>
        <w:rPr>
          <w:rFonts w:hint="eastAsia"/>
          <w:color w:val="auto"/>
        </w:rPr>
        <w:t>艺象I</w:t>
      </w:r>
      <w:r>
        <w:rPr>
          <w:color w:val="auto"/>
        </w:rPr>
        <w:t>D TOWN</w:t>
      </w:r>
      <w:r>
        <w:rPr>
          <w:rFonts w:hint="eastAsia"/>
          <w:color w:val="auto"/>
        </w:rPr>
        <w:t>→袁庚祖居→鹤薮小学</w:t>
      </w:r>
    </w:p>
    <w:p>
      <w:pPr>
        <w:pStyle w:val="8"/>
        <w:ind w:firstLine="482"/>
        <w:rPr>
          <w:b/>
          <w:color w:val="auto"/>
        </w:rPr>
      </w:pPr>
      <w:r>
        <w:rPr>
          <w:rFonts w:hint="eastAsia"/>
          <w:b/>
          <w:color w:val="auto"/>
        </w:rPr>
        <w:t>规划措施：</w:t>
      </w:r>
    </w:p>
    <w:p>
      <w:pPr>
        <w:pStyle w:val="8"/>
        <w:numPr>
          <w:ilvl w:val="0"/>
          <w:numId w:val="11"/>
        </w:numPr>
        <w:ind w:firstLineChars="0"/>
        <w:rPr>
          <w:color w:val="auto"/>
        </w:rPr>
      </w:pPr>
      <w:r>
        <w:rPr>
          <w:rFonts w:hint="eastAsia"/>
          <w:color w:val="auto"/>
        </w:rPr>
        <w:t>艺象I</w:t>
      </w:r>
      <w:r>
        <w:rPr>
          <w:color w:val="auto"/>
        </w:rPr>
        <w:t>D TOWN</w:t>
      </w:r>
      <w:r>
        <w:rPr>
          <w:rFonts w:hint="eastAsia"/>
          <w:color w:val="auto"/>
        </w:rPr>
        <w:t>内进行区域相关改革开放史迹点的展示。</w:t>
      </w:r>
    </w:p>
    <w:p>
      <w:pPr>
        <w:pStyle w:val="8"/>
        <w:numPr>
          <w:ilvl w:val="0"/>
          <w:numId w:val="11"/>
        </w:numPr>
        <w:ind w:firstLineChars="0"/>
        <w:rPr>
          <w:color w:val="auto"/>
        </w:rPr>
      </w:pPr>
      <w:r>
        <w:rPr>
          <w:rFonts w:hint="eastAsia"/>
          <w:color w:val="auto"/>
        </w:rPr>
        <w:t>可围绕袁庚祖居，打造大鹏新区博物馆或纪念馆，健全大鹏新区的基础设施建设，以绿色生态为最大特色进行发展。</w:t>
      </w:r>
    </w:p>
    <w:p>
      <w:pPr>
        <w:pStyle w:val="8"/>
        <w:numPr>
          <w:ilvl w:val="0"/>
          <w:numId w:val="11"/>
        </w:numPr>
        <w:ind w:firstLineChars="0"/>
        <w:rPr>
          <w:color w:val="auto"/>
        </w:rPr>
      </w:pPr>
      <w:r>
        <w:rPr>
          <w:rFonts w:hint="eastAsia"/>
          <w:color w:val="auto"/>
        </w:rPr>
        <w:t>增加服务设施节点。</w:t>
      </w:r>
    </w:p>
    <w:p>
      <w:pPr>
        <w:pStyle w:val="8"/>
        <w:rPr>
          <w:color w:val="auto"/>
        </w:rPr>
      </w:pPr>
    </w:p>
    <w:p>
      <w:pPr>
        <w:pStyle w:val="8"/>
        <w:ind w:firstLine="482"/>
        <w:rPr>
          <w:b/>
          <w:color w:val="auto"/>
        </w:rPr>
      </w:pPr>
      <w:r>
        <w:rPr>
          <w:rFonts w:hint="eastAsia"/>
          <w:b/>
          <w:color w:val="auto"/>
        </w:rPr>
        <w:t>（</w:t>
      </w:r>
      <w:r>
        <w:rPr>
          <w:b/>
          <w:color w:val="auto"/>
        </w:rPr>
        <w:t>4</w:t>
      </w:r>
      <w:r>
        <w:rPr>
          <w:rFonts w:hint="eastAsia"/>
          <w:b/>
          <w:color w:val="auto"/>
        </w:rPr>
        <w:t>）龙岗乡村文化振兴区</w:t>
      </w:r>
    </w:p>
    <w:p>
      <w:pPr>
        <w:pStyle w:val="8"/>
        <w:ind w:firstLine="482"/>
        <w:rPr>
          <w:b/>
          <w:color w:val="auto"/>
        </w:rPr>
      </w:pPr>
      <w:r>
        <w:rPr>
          <w:rFonts w:hint="eastAsia"/>
          <w:b/>
          <w:color w:val="auto"/>
        </w:rPr>
        <w:t>片区说明：</w:t>
      </w:r>
      <w:r>
        <w:rPr>
          <w:rFonts w:hint="eastAsia"/>
          <w:color w:val="auto"/>
        </w:rPr>
        <w:t xml:space="preserve"> </w:t>
      </w:r>
    </w:p>
    <w:p>
      <w:pPr>
        <w:pStyle w:val="8"/>
        <w:rPr>
          <w:color w:val="auto"/>
        </w:rPr>
      </w:pPr>
      <w:r>
        <w:rPr>
          <w:rFonts w:hint="eastAsia"/>
          <w:color w:val="auto"/>
        </w:rPr>
        <w:t>主要位于龙岗区，片区内有大芬油画村、南岭村</w:t>
      </w:r>
      <w:r>
        <w:rPr>
          <w:color w:val="auto"/>
        </w:rPr>
        <w:t>2</w:t>
      </w:r>
      <w:r>
        <w:rPr>
          <w:rFonts w:hint="eastAsia"/>
          <w:color w:val="auto"/>
        </w:rPr>
        <w:t>处史迹点。展现村落发展的不同方向的成果。周边资源有观祥古寺、布心山郊野公园、南湾郊野公园等。</w:t>
      </w:r>
    </w:p>
    <w:p>
      <w:pPr>
        <w:pStyle w:val="8"/>
        <w:ind w:firstLine="482"/>
        <w:rPr>
          <w:b/>
          <w:color w:val="auto"/>
        </w:rPr>
      </w:pPr>
      <w:r>
        <w:rPr>
          <w:rFonts w:hint="eastAsia"/>
          <w:b/>
          <w:color w:val="auto"/>
        </w:rPr>
        <w:t>游览线路：</w:t>
      </w:r>
    </w:p>
    <w:p>
      <w:pPr>
        <w:pStyle w:val="8"/>
        <w:rPr>
          <w:color w:val="auto"/>
        </w:rPr>
      </w:pPr>
      <w:r>
        <w:rPr>
          <w:rFonts w:hint="eastAsia"/>
          <w:color w:val="auto"/>
        </w:rPr>
        <w:t>大芬油画村→南岭村</w:t>
      </w:r>
    </w:p>
    <w:p>
      <w:pPr>
        <w:pStyle w:val="8"/>
        <w:ind w:firstLine="482"/>
        <w:rPr>
          <w:b/>
          <w:color w:val="auto"/>
        </w:rPr>
      </w:pPr>
      <w:r>
        <w:rPr>
          <w:rFonts w:hint="eastAsia"/>
          <w:b/>
          <w:color w:val="auto"/>
        </w:rPr>
        <w:t>规划措施：</w:t>
      </w:r>
    </w:p>
    <w:p>
      <w:pPr>
        <w:pStyle w:val="8"/>
        <w:numPr>
          <w:ilvl w:val="0"/>
          <w:numId w:val="12"/>
        </w:numPr>
        <w:ind w:firstLineChars="0"/>
        <w:rPr>
          <w:color w:val="auto"/>
        </w:rPr>
      </w:pPr>
      <w:r>
        <w:rPr>
          <w:rFonts w:hint="eastAsia"/>
          <w:color w:val="auto"/>
        </w:rPr>
        <w:t>在南岭村设施村落特色改革开放文化展示空间。</w:t>
      </w:r>
    </w:p>
    <w:p>
      <w:pPr>
        <w:pStyle w:val="8"/>
        <w:numPr>
          <w:ilvl w:val="0"/>
          <w:numId w:val="12"/>
        </w:numPr>
        <w:ind w:firstLineChars="0"/>
        <w:rPr>
          <w:color w:val="auto"/>
        </w:rPr>
      </w:pPr>
      <w:r>
        <w:rPr>
          <w:rFonts w:hint="eastAsia"/>
          <w:color w:val="auto"/>
        </w:rPr>
        <w:t>健全服务设施和节点。</w:t>
      </w:r>
    </w:p>
    <w:p>
      <w:pPr>
        <w:pStyle w:val="3"/>
        <w:rPr>
          <w:color w:val="auto"/>
        </w:rPr>
      </w:pPr>
      <w:bookmarkStart w:id="251" w:name="_Toc25138"/>
      <w:bookmarkStart w:id="252" w:name="_Toc29924"/>
      <w:bookmarkStart w:id="253" w:name="_Toc1554"/>
      <w:bookmarkStart w:id="254" w:name="_Toc6371"/>
      <w:bookmarkStart w:id="255" w:name="_Toc1424"/>
      <w:bookmarkStart w:id="256" w:name="_Toc114072206"/>
      <w:bookmarkStart w:id="257" w:name="_Toc14879"/>
      <w:bookmarkStart w:id="258" w:name="_Toc1362368853"/>
      <w:r>
        <w:rPr>
          <w:color w:val="auto"/>
        </w:rPr>
        <w:t>7.3</w:t>
      </w:r>
      <w:r>
        <w:rPr>
          <w:rFonts w:hint="eastAsia"/>
          <w:color w:val="auto"/>
        </w:rPr>
        <w:t>塑造深圳“改革开放”特色旅游名片</w:t>
      </w:r>
      <w:bookmarkEnd w:id="251"/>
      <w:bookmarkEnd w:id="252"/>
      <w:bookmarkEnd w:id="253"/>
      <w:bookmarkEnd w:id="254"/>
      <w:bookmarkEnd w:id="255"/>
      <w:bookmarkEnd w:id="256"/>
      <w:bookmarkEnd w:id="257"/>
      <w:bookmarkEnd w:id="258"/>
    </w:p>
    <w:p>
      <w:pPr>
        <w:pStyle w:val="8"/>
        <w:ind w:firstLine="482"/>
        <w:rPr>
          <w:b/>
          <w:color w:val="auto"/>
        </w:rPr>
      </w:pPr>
      <w:r>
        <w:rPr>
          <w:rFonts w:hint="eastAsia"/>
          <w:b/>
          <w:color w:val="auto"/>
        </w:rPr>
        <w:t>（1）建设品牌体系</w:t>
      </w:r>
    </w:p>
    <w:p>
      <w:pPr>
        <w:pStyle w:val="8"/>
        <w:rPr>
          <w:color w:val="auto"/>
        </w:rPr>
      </w:pPr>
      <w:r>
        <w:rPr>
          <w:rFonts w:hint="eastAsia"/>
          <w:color w:val="auto"/>
        </w:rPr>
        <w:t>“品牌”就是知名度，有了知名度就具有凝聚力与扩散力，就成为发展的动力。创建改革开放为中心的深圳特色品牌，提炼核心价值，为深圳改革开放的特色品牌进行多媒体形式的宣传，增强深圳的吸引力与辐射力，是提高深圳知名度和强化竞争力的一种文化力量和手段。</w:t>
      </w:r>
    </w:p>
    <w:p>
      <w:pPr>
        <w:pStyle w:val="8"/>
        <w:ind w:firstLine="482"/>
        <w:rPr>
          <w:b/>
          <w:color w:val="auto"/>
        </w:rPr>
      </w:pPr>
      <w:r>
        <w:rPr>
          <w:rFonts w:hint="eastAsia"/>
          <w:b/>
          <w:color w:val="auto"/>
        </w:rPr>
        <w:t>（2）完善旅游市场</w:t>
      </w:r>
    </w:p>
    <w:p>
      <w:pPr>
        <w:pStyle w:val="8"/>
        <w:rPr>
          <w:color w:val="auto"/>
        </w:rPr>
      </w:pPr>
      <w:r>
        <w:rPr>
          <w:rFonts w:hint="eastAsia"/>
          <w:color w:val="auto"/>
        </w:rPr>
        <w:t>进入大众旅游时代，大众对旅游安全、秩序和品质的需求越来越高。在此背景下，既要千方百计地扩大旅游消费、增加旅游供给，也要积极回应旅游发展进程中客观存在的一些问题。对重点区域和重点业态，文旅、市场监管、金融、公安等部门要加强联合执法力度。对旅行社、线上旅行代理商、</w:t>
      </w:r>
      <w:r>
        <w:rPr>
          <w:color w:val="auto"/>
        </w:rPr>
        <w:t>A</w:t>
      </w:r>
      <w:r>
        <w:rPr>
          <w:rFonts w:hint="eastAsia"/>
          <w:color w:val="auto"/>
        </w:rPr>
        <w:t>级景区、主题公园、旅游零售等涉旅企业，应有服务质量监管部门或专业人员监管，探索建立关键岗位和重点人员的准入条件和禁入机制。促进文化和旅游高质量发展，要全面、全员、全程实施文化和旅游场所、设施以及市场秩序安全保障、诚信保障的精细化管理制度。在促进文化和旅游消费的措施中，完善市场监管、维护市场秩序不仅有助于为大众提供丰富多样的游玩方式，也可以更好保护消费者权益，为文化和旅游产业营造良好的市场环境。</w:t>
      </w:r>
    </w:p>
    <w:p>
      <w:pPr>
        <w:pStyle w:val="8"/>
        <w:ind w:firstLine="482"/>
        <w:rPr>
          <w:b/>
          <w:color w:val="auto"/>
        </w:rPr>
      </w:pPr>
      <w:r>
        <w:rPr>
          <w:rFonts w:hint="eastAsia"/>
          <w:b/>
          <w:color w:val="auto"/>
        </w:rPr>
        <w:t>（3）促进产业融合</w:t>
      </w:r>
    </w:p>
    <w:p>
      <w:pPr>
        <w:pStyle w:val="8"/>
        <w:rPr>
          <w:color w:val="auto"/>
        </w:rPr>
      </w:pPr>
      <w:r>
        <w:rPr>
          <w:rFonts w:hint="eastAsia"/>
          <w:color w:val="auto"/>
        </w:rPr>
        <w:t>从“特区”“先行区”到“先行示范区”，深圳的使命不断深化，示范区的内涵不断丰富。这其中，文旅产业发展作为“社会主义文化繁荣兴盛的现代城市文明”重要组成部分被重点提及，成为文旅融合大趋势下事业繁荣、产业兴旺的有力见证。推动文化和旅游融合发展，丰富中外文化交流内容。有序推动国际邮轮港建设，进一步增加国际班轮航线，探索研究简化邮轮、游艇及旅客出入境手续，可谓指向明确、发力精准。要善于利用“创意深圳、时尚之都”的深厚基础，充分融合粤港澳三地文化积淀，发挥“移民城市”开放包容、兼收并蓄的特质，在遵循产业发展规律和企业自愿的前提下，促进旅游相关要素和产业在空间上集聚；吸引包括港澳台在内的各地优秀文化创意成果和杰出人才，打造创意的栖息地、艺术家的乐土、文化创意旅游新高地。除做好“旅游</w:t>
      </w:r>
      <w:r>
        <w:rPr>
          <w:color w:val="auto"/>
        </w:rPr>
        <w:t>+</w:t>
      </w:r>
      <w:r>
        <w:rPr>
          <w:rFonts w:hint="eastAsia"/>
          <w:color w:val="auto"/>
        </w:rPr>
        <w:t>文化创意”开发外，还要大力发展“旅游</w:t>
      </w:r>
      <w:r>
        <w:rPr>
          <w:color w:val="auto"/>
        </w:rPr>
        <w:t>+</w:t>
      </w:r>
      <w:r>
        <w:rPr>
          <w:rFonts w:hint="eastAsia"/>
          <w:color w:val="auto"/>
        </w:rPr>
        <w:t>特色小镇”“旅游</w:t>
      </w:r>
      <w:r>
        <w:rPr>
          <w:color w:val="auto"/>
        </w:rPr>
        <w:t>+</w:t>
      </w:r>
      <w:r>
        <w:rPr>
          <w:rFonts w:hint="eastAsia"/>
          <w:color w:val="auto"/>
        </w:rPr>
        <w:t>邮轮游艇”“旅游</w:t>
      </w:r>
      <w:r>
        <w:rPr>
          <w:color w:val="auto"/>
        </w:rPr>
        <w:t>+</w:t>
      </w:r>
      <w:r>
        <w:rPr>
          <w:rFonts w:hint="eastAsia"/>
          <w:color w:val="auto"/>
        </w:rPr>
        <w:t>信息科技”“旅游</w:t>
      </w:r>
      <w:r>
        <w:rPr>
          <w:color w:val="auto"/>
        </w:rPr>
        <w:t>+</w:t>
      </w:r>
      <w:r>
        <w:rPr>
          <w:rFonts w:hint="eastAsia"/>
          <w:color w:val="auto"/>
        </w:rPr>
        <w:t>工业体验”“旅游</w:t>
      </w:r>
      <w:r>
        <w:rPr>
          <w:color w:val="auto"/>
        </w:rPr>
        <w:t>+</w:t>
      </w:r>
      <w:r>
        <w:rPr>
          <w:rFonts w:hint="eastAsia"/>
          <w:color w:val="auto"/>
        </w:rPr>
        <w:t>体育运动”等一系列新业态。以敢为天下先的气魄，充分挖掘资源，做“旅游</w:t>
      </w:r>
      <w:r>
        <w:rPr>
          <w:color w:val="auto"/>
        </w:rPr>
        <w:t>+</w:t>
      </w:r>
      <w:r>
        <w:rPr>
          <w:rFonts w:hint="eastAsia"/>
          <w:color w:val="auto"/>
        </w:rPr>
        <w:t>”领域先行探索者。</w:t>
      </w:r>
    </w:p>
    <w:p>
      <w:pPr>
        <w:pStyle w:val="3"/>
        <w:rPr>
          <w:color w:val="auto"/>
        </w:rPr>
      </w:pPr>
      <w:bookmarkStart w:id="259" w:name="_Toc24862"/>
      <w:bookmarkStart w:id="260" w:name="_Toc26931"/>
      <w:bookmarkStart w:id="261" w:name="_Toc862668057"/>
      <w:bookmarkStart w:id="262" w:name="_Toc18915"/>
      <w:bookmarkStart w:id="263" w:name="_Toc14261"/>
      <w:bookmarkStart w:id="264" w:name="_Toc114072207"/>
      <w:bookmarkStart w:id="265" w:name="_Toc19837"/>
      <w:bookmarkStart w:id="266" w:name="_Toc13386"/>
      <w:r>
        <w:rPr>
          <w:color w:val="auto"/>
        </w:rPr>
        <w:t>7.4</w:t>
      </w:r>
      <w:r>
        <w:rPr>
          <w:rFonts w:hint="eastAsia"/>
          <w:color w:val="auto"/>
        </w:rPr>
        <w:t>融入区域旅游市场</w:t>
      </w:r>
      <w:bookmarkEnd w:id="259"/>
      <w:bookmarkEnd w:id="260"/>
      <w:bookmarkEnd w:id="261"/>
      <w:bookmarkEnd w:id="262"/>
      <w:bookmarkEnd w:id="263"/>
      <w:bookmarkEnd w:id="264"/>
      <w:bookmarkEnd w:id="265"/>
      <w:bookmarkEnd w:id="266"/>
    </w:p>
    <w:p>
      <w:pPr>
        <w:pStyle w:val="8"/>
        <w:ind w:firstLine="482"/>
        <w:rPr>
          <w:b/>
          <w:color w:val="auto"/>
        </w:rPr>
      </w:pPr>
      <w:r>
        <w:rPr>
          <w:rFonts w:hint="eastAsia"/>
          <w:b/>
          <w:color w:val="auto"/>
        </w:rPr>
        <w:t>（1）融入粤港澳大湾区一体化旅游市场</w:t>
      </w:r>
    </w:p>
    <w:p>
      <w:pPr>
        <w:pStyle w:val="8"/>
        <w:numPr>
          <w:ilvl w:val="0"/>
          <w:numId w:val="13"/>
        </w:numPr>
        <w:ind w:firstLineChars="0"/>
        <w:rPr>
          <w:color w:val="auto"/>
        </w:rPr>
      </w:pPr>
      <w:r>
        <w:rPr>
          <w:rFonts w:hint="eastAsia"/>
          <w:color w:val="auto"/>
        </w:rPr>
        <w:t>构建多元的旅游产品体系，如文化历史、休闲度假等，丰富粤港澳旅游精品路线。</w:t>
      </w:r>
    </w:p>
    <w:p>
      <w:pPr>
        <w:pStyle w:val="8"/>
        <w:numPr>
          <w:ilvl w:val="0"/>
          <w:numId w:val="13"/>
        </w:numPr>
        <w:ind w:firstLineChars="0"/>
        <w:rPr>
          <w:color w:val="auto"/>
        </w:rPr>
      </w:pPr>
      <w:r>
        <w:rPr>
          <w:rFonts w:hint="eastAsia"/>
          <w:color w:val="auto"/>
        </w:rPr>
        <w:t>开发高铁“一程多站”的旅游产品，建设粤港澳大湾区世界级旅游目的地。对深圳的酒店、旅游、交通、餐饮等行业有直接的拉动作用。</w:t>
      </w:r>
    </w:p>
    <w:p>
      <w:pPr>
        <w:pStyle w:val="8"/>
        <w:numPr>
          <w:ilvl w:val="0"/>
          <w:numId w:val="13"/>
        </w:numPr>
        <w:ind w:firstLineChars="0"/>
        <w:rPr>
          <w:color w:val="auto"/>
        </w:rPr>
      </w:pPr>
      <w:r>
        <w:rPr>
          <w:rFonts w:hint="eastAsia"/>
          <w:color w:val="auto"/>
        </w:rPr>
        <w:t>加强粤港澳等周边旅游主管部门、景点、饭店、旅行社、旅游产品企业的全面协作。实现互为市场、互享资源、互送客源。</w:t>
      </w:r>
    </w:p>
    <w:p>
      <w:pPr>
        <w:pStyle w:val="8"/>
        <w:numPr>
          <w:ilvl w:val="0"/>
          <w:numId w:val="13"/>
        </w:numPr>
        <w:ind w:firstLineChars="0"/>
        <w:rPr>
          <w:color w:val="auto"/>
        </w:rPr>
      </w:pPr>
      <w:r>
        <w:rPr>
          <w:rFonts w:hint="eastAsia"/>
          <w:color w:val="auto"/>
        </w:rPr>
        <w:t>全面宣传深圳的旅游品牌，推介深圳特色改革开放旅游线路及相关产品。</w:t>
      </w:r>
    </w:p>
    <w:p>
      <w:pPr>
        <w:pStyle w:val="8"/>
        <w:ind w:firstLine="482"/>
        <w:rPr>
          <w:b/>
          <w:color w:val="auto"/>
        </w:rPr>
      </w:pPr>
      <w:r>
        <w:rPr>
          <w:rFonts w:hint="eastAsia"/>
          <w:b/>
          <w:color w:val="auto"/>
        </w:rPr>
        <w:t>（2）融入“南粤古驿道”、“山海连城”公园城市建设</w:t>
      </w:r>
    </w:p>
    <w:p>
      <w:pPr>
        <w:pStyle w:val="8"/>
        <w:rPr>
          <w:color w:val="auto"/>
        </w:rPr>
      </w:pPr>
      <w:r>
        <w:rPr>
          <w:rFonts w:hint="eastAsia"/>
          <w:color w:val="auto"/>
        </w:rPr>
        <w:t>一，改革开放特色线路和片区融入“南粤古驿道”特色线路，可进行联合打造。南粤古驿道是大湾区历史文化游径的重要组成部分，《大鹏新区南粤古驿道详细规划及实施指引》已出台，与相关线路整合资源，打造深圳的城市他特色名片。</w:t>
      </w:r>
    </w:p>
    <w:p>
      <w:pPr>
        <w:pStyle w:val="8"/>
        <w:rPr>
          <w:color w:val="auto"/>
        </w:rPr>
      </w:pPr>
      <w:r>
        <w:rPr>
          <w:rFonts w:hint="eastAsia"/>
          <w:color w:val="auto"/>
        </w:rPr>
        <w:t>二，改革开放特色线路可与深圳“山海连城”公园建设相结合，共同打造相关服务设施和服务节点，增强改革开放特色线路的影响力。《深圳市公园城市建设总体规划（草案）》中预计构建由自然郊野公园、城市公园、社区公园三大类组成的全域公园体系，衔接城市重点发展区域。</w:t>
      </w:r>
    </w:p>
    <w:p>
      <w:pPr>
        <w:pStyle w:val="8"/>
        <w:rPr>
          <w:color w:val="auto"/>
        </w:rPr>
      </w:pPr>
    </w:p>
    <w:p>
      <w:pPr>
        <w:pStyle w:val="8"/>
        <w:rPr>
          <w:color w:val="auto"/>
        </w:rPr>
        <w:sectPr>
          <w:pgSz w:w="23811" w:h="16838" w:orient="landscape"/>
          <w:pgMar w:top="1800" w:right="1440" w:bottom="1800" w:left="1440" w:header="851" w:footer="992" w:gutter="0"/>
          <w:cols w:space="1051" w:num="2"/>
          <w:docGrid w:type="lines" w:linePitch="312" w:charSpace="0"/>
        </w:sectPr>
      </w:pPr>
    </w:p>
    <w:p>
      <w:pPr>
        <w:pStyle w:val="2"/>
        <w:rPr>
          <w:color w:val="auto"/>
        </w:rPr>
      </w:pPr>
      <w:bookmarkStart w:id="267" w:name="_Toc32284"/>
      <w:bookmarkStart w:id="268" w:name="_Toc1199933102"/>
      <w:bookmarkStart w:id="269" w:name="_Toc27251"/>
      <w:bookmarkStart w:id="270" w:name="_Toc9550"/>
      <w:bookmarkStart w:id="271" w:name="_Toc4337"/>
      <w:bookmarkStart w:id="272" w:name="_Toc114072208"/>
      <w:bookmarkStart w:id="273" w:name="_Toc81838556"/>
      <w:bookmarkStart w:id="274" w:name="_Toc15213"/>
      <w:bookmarkStart w:id="275" w:name="_Toc24191"/>
      <w:r>
        <w:rPr>
          <w:rFonts w:hint="eastAsia"/>
          <w:color w:val="auto"/>
        </w:rPr>
        <w:t>第八章</w:t>
      </w:r>
      <w:r>
        <w:rPr>
          <w:color w:val="auto"/>
        </w:rPr>
        <w:t xml:space="preserve"> </w:t>
      </w:r>
      <w:r>
        <w:rPr>
          <w:rFonts w:hint="eastAsia"/>
          <w:color w:val="auto"/>
        </w:rPr>
        <w:t>实施分期与经费估算</w:t>
      </w:r>
      <w:bookmarkEnd w:id="267"/>
      <w:bookmarkEnd w:id="268"/>
      <w:bookmarkEnd w:id="269"/>
      <w:bookmarkEnd w:id="270"/>
      <w:bookmarkEnd w:id="271"/>
      <w:bookmarkEnd w:id="272"/>
      <w:bookmarkEnd w:id="273"/>
      <w:bookmarkEnd w:id="274"/>
      <w:bookmarkEnd w:id="275"/>
    </w:p>
    <w:p>
      <w:pPr>
        <w:pStyle w:val="3"/>
        <w:rPr>
          <w:color w:val="auto"/>
        </w:rPr>
      </w:pPr>
      <w:bookmarkStart w:id="276" w:name="_Toc81838557"/>
      <w:bookmarkStart w:id="277" w:name="_Toc114072209"/>
      <w:bookmarkStart w:id="278" w:name="_Toc14220"/>
      <w:bookmarkStart w:id="279" w:name="_Toc2378"/>
      <w:bookmarkStart w:id="280" w:name="_Toc256716337"/>
      <w:bookmarkStart w:id="281" w:name="_Toc18354"/>
      <w:bookmarkStart w:id="282" w:name="_Toc4483"/>
      <w:bookmarkStart w:id="283" w:name="_Toc6115"/>
      <w:bookmarkStart w:id="284" w:name="_Toc6462"/>
      <w:r>
        <w:rPr>
          <w:color w:val="auto"/>
        </w:rPr>
        <w:t>8.1</w:t>
      </w:r>
      <w:r>
        <w:rPr>
          <w:rFonts w:hint="eastAsia"/>
          <w:color w:val="auto"/>
        </w:rPr>
        <w:t>近期（</w:t>
      </w:r>
      <w:r>
        <w:rPr>
          <w:color w:val="auto"/>
        </w:rPr>
        <w:t>2023-2027</w:t>
      </w:r>
      <w:r>
        <w:rPr>
          <w:rFonts w:hint="eastAsia"/>
          <w:color w:val="auto"/>
        </w:rPr>
        <w:t>年）工作</w:t>
      </w:r>
      <w:bookmarkEnd w:id="276"/>
      <w:bookmarkEnd w:id="277"/>
      <w:bookmarkEnd w:id="278"/>
      <w:bookmarkEnd w:id="279"/>
      <w:bookmarkEnd w:id="280"/>
      <w:bookmarkEnd w:id="281"/>
      <w:bookmarkEnd w:id="282"/>
      <w:bookmarkEnd w:id="283"/>
      <w:bookmarkEnd w:id="284"/>
      <w:r>
        <w:rPr>
          <w:color w:val="auto"/>
        </w:rPr>
        <w:tab/>
      </w:r>
    </w:p>
    <w:p>
      <w:pPr>
        <w:pStyle w:val="8"/>
        <w:rPr>
          <w:color w:val="auto"/>
        </w:rPr>
      </w:pPr>
      <w:r>
        <w:rPr>
          <w:rFonts w:hint="eastAsia"/>
          <w:color w:val="auto"/>
        </w:rPr>
        <w:t>近期做示范、出成效，通过打造重点工程项目，实现深圳改革开放示范区的推出。</w:t>
      </w:r>
    </w:p>
    <w:p>
      <w:pPr>
        <w:pStyle w:val="8"/>
        <w:rPr>
          <w:color w:val="auto"/>
        </w:rPr>
      </w:pPr>
      <w:r>
        <w:rPr>
          <w:color w:val="auto"/>
        </w:rPr>
        <w:t>完成改革开放重要史迹及相关线路上的重点工程及抢救性保护项目的重要史迹本体保护利用工作。</w:t>
      </w:r>
    </w:p>
    <w:p>
      <w:pPr>
        <w:pStyle w:val="8"/>
        <w:rPr>
          <w:color w:val="auto"/>
        </w:rPr>
      </w:pPr>
      <w:r>
        <w:rPr>
          <w:color w:val="auto"/>
        </w:rPr>
        <w:t>完成改革开放重点史迹的集中片区保护展示利用建设，建成改革开放重要史迹保护示范区。</w:t>
      </w:r>
    </w:p>
    <w:p>
      <w:pPr>
        <w:pStyle w:val="8"/>
        <w:rPr>
          <w:color w:val="auto"/>
        </w:rPr>
      </w:pPr>
      <w:r>
        <w:rPr>
          <w:color w:val="auto"/>
        </w:rPr>
        <w:t>根据整体重要史迹管理规划</w:t>
      </w:r>
      <w:r>
        <w:rPr>
          <w:rFonts w:hint="eastAsia"/>
          <w:color w:val="auto"/>
        </w:rPr>
        <w:t>，</w:t>
      </w:r>
      <w:r>
        <w:rPr>
          <w:color w:val="auto"/>
        </w:rPr>
        <w:t>各个保护单位出台有针对性的管理具体措施。</w:t>
      </w:r>
    </w:p>
    <w:p>
      <w:pPr>
        <w:pStyle w:val="8"/>
        <w:rPr>
          <w:color w:val="auto"/>
        </w:rPr>
      </w:pPr>
      <w:r>
        <w:rPr>
          <w:color w:val="auto"/>
        </w:rPr>
        <w:t>初步完成改革开放史迹及相关线路利用展示配套公共服务设施建设。</w:t>
      </w:r>
    </w:p>
    <w:p>
      <w:pPr>
        <w:pStyle w:val="8"/>
        <w:rPr>
          <w:color w:val="auto"/>
        </w:rPr>
      </w:pPr>
      <w:r>
        <w:rPr>
          <w:color w:val="auto"/>
        </w:rPr>
        <w:t>与利益相关人（相关的企业、协会、组织）共同开展改革开放史迹及相关线路展示利用的体系建设试点运营工作。</w:t>
      </w:r>
    </w:p>
    <w:p>
      <w:pPr>
        <w:pStyle w:val="8"/>
        <w:rPr>
          <w:color w:val="auto"/>
        </w:rPr>
      </w:pPr>
      <w:r>
        <w:rPr>
          <w:rFonts w:hint="eastAsia"/>
          <w:color w:val="auto"/>
        </w:rPr>
        <w:t>开展相关资料整理工作及深圳改革开放史的专项研究工作。</w:t>
      </w:r>
    </w:p>
    <w:p>
      <w:pPr>
        <w:pStyle w:val="8"/>
        <w:rPr>
          <w:color w:val="auto"/>
        </w:rPr>
      </w:pPr>
      <w:r>
        <w:rPr>
          <w:rFonts w:hint="eastAsia"/>
          <w:color w:val="auto"/>
        </w:rPr>
        <w:t>围绕规划内容，开展数字化专项研究及博物馆建设展陈研究工作。</w:t>
      </w:r>
    </w:p>
    <w:p>
      <w:pPr>
        <w:pStyle w:val="8"/>
        <w:ind w:firstLineChars="0"/>
        <w:rPr>
          <w:color w:val="auto"/>
        </w:rPr>
      </w:pPr>
      <w:r>
        <w:rPr>
          <w:rFonts w:hint="eastAsia"/>
          <w:color w:val="auto"/>
        </w:rPr>
        <w:t>优先开展前海石公园、二线关同乐检查站、南海酒店、“空谈误国，实干兴邦”标语牌、莲花山公园</w:t>
      </w:r>
      <w:r>
        <w:rPr>
          <w:rFonts w:hint="default"/>
          <w:color w:val="auto"/>
          <w:lang w:val="en"/>
        </w:rPr>
        <w:t>邓小平铜像</w:t>
      </w:r>
      <w:r>
        <w:rPr>
          <w:rFonts w:hint="eastAsia"/>
          <w:color w:val="auto"/>
        </w:rPr>
        <w:t>、渔民村、国贸大厦、南岭村、艺象I</w:t>
      </w:r>
      <w:r>
        <w:rPr>
          <w:color w:val="auto"/>
        </w:rPr>
        <w:t>D TOWN</w:t>
      </w:r>
      <w:r>
        <w:rPr>
          <w:rFonts w:hint="eastAsia"/>
          <w:color w:val="auto"/>
        </w:rPr>
        <w:t>等重要史迹保护、展示利用项目；</w:t>
      </w:r>
    </w:p>
    <w:p>
      <w:pPr>
        <w:pStyle w:val="8"/>
        <w:ind w:firstLine="0" w:firstLineChars="0"/>
        <w:rPr>
          <w:color w:val="auto"/>
        </w:rPr>
      </w:pPr>
      <w:r>
        <w:rPr>
          <w:rFonts w:hint="eastAsia"/>
          <w:color w:val="auto"/>
        </w:rPr>
        <w:t>（</w:t>
      </w:r>
      <w:r>
        <w:rPr>
          <w:rFonts w:hint="eastAsia"/>
          <w:color w:val="auto"/>
          <w:lang w:val="en-US" w:eastAsia="zh-CN"/>
        </w:rPr>
        <w:t>1</w:t>
      </w:r>
      <w:r>
        <w:rPr>
          <w:rFonts w:hint="eastAsia"/>
          <w:color w:val="auto"/>
        </w:rPr>
        <w:t>）微波山时间广场改造利用</w:t>
      </w:r>
    </w:p>
    <w:p>
      <w:pPr>
        <w:pStyle w:val="8"/>
        <w:rPr>
          <w:color w:val="auto"/>
        </w:rPr>
      </w:pPr>
      <w:r>
        <w:rPr>
          <w:rFonts w:hint="eastAsia"/>
          <w:color w:val="auto"/>
        </w:rPr>
        <w:t>保护：对标语牌进行相关的保养维护工作，进行保护范围划定和建设控制地带划定。对周边广场环境进行整治。</w:t>
      </w:r>
    </w:p>
    <w:p>
      <w:pPr>
        <w:pStyle w:val="8"/>
        <w:rPr>
          <w:color w:val="auto"/>
        </w:rPr>
      </w:pPr>
      <w:r>
        <w:rPr>
          <w:rFonts w:hint="eastAsia"/>
          <w:color w:val="auto"/>
        </w:rPr>
        <w:t>展示利用：</w:t>
      </w:r>
      <w:r>
        <w:rPr>
          <w:color w:val="auto"/>
        </w:rPr>
        <w:t xml:space="preserve"> </w:t>
      </w:r>
      <w:r>
        <w:rPr>
          <w:rFonts w:hint="eastAsia"/>
          <w:color w:val="auto"/>
        </w:rPr>
        <w:t>对标语牌周边的空间进行整合、设计，打造可游可聊、精致美观的街头公园。广场内利用现状前区空间，建设配套城市家具，为游客和居民营造游憩交流空间。</w:t>
      </w:r>
    </w:p>
    <w:p>
      <w:pPr>
        <w:pStyle w:val="8"/>
        <w:rPr>
          <w:color w:val="auto"/>
        </w:rPr>
      </w:pPr>
      <w:r>
        <w:rPr>
          <w:rFonts w:hint="eastAsia"/>
          <w:color w:val="auto"/>
        </w:rPr>
        <w:t>结合广场后面的绿地打造微波山时间广场公园。在公园内对标语牌等进行保护规划，对景观进行设计规划，增加改革开放的相关展示牌展示。以改革开放为核心，进行相关的景观设计。</w:t>
      </w:r>
    </w:p>
    <w:p>
      <w:pPr>
        <w:pStyle w:val="8"/>
        <w:ind w:firstLine="0" w:firstLineChars="0"/>
        <w:rPr>
          <w:color w:val="auto"/>
        </w:rPr>
      </w:pPr>
      <w:r>
        <w:rPr>
          <w:rFonts w:hint="eastAsia"/>
          <w:color w:val="auto"/>
        </w:rPr>
        <w:t>（2）二线关同乐检查站利用改造</w:t>
      </w:r>
    </w:p>
    <w:p>
      <w:pPr>
        <w:pStyle w:val="8"/>
        <w:ind w:firstLineChars="0"/>
        <w:rPr>
          <w:color w:val="auto"/>
        </w:rPr>
      </w:pPr>
      <w:r>
        <w:rPr>
          <w:rFonts w:hint="eastAsia"/>
          <w:color w:val="auto"/>
        </w:rPr>
        <w:t>保护：对检查站的检查流线的重要场景空间以及相关重要场景进行保护。对检查站的主体结构进行日常维护和加固。</w:t>
      </w:r>
    </w:p>
    <w:p>
      <w:pPr>
        <w:pStyle w:val="8"/>
        <w:rPr>
          <w:color w:val="auto"/>
        </w:rPr>
      </w:pPr>
      <w:r>
        <w:rPr>
          <w:rFonts w:hint="eastAsia"/>
          <w:color w:val="auto"/>
        </w:rPr>
        <w:t>展示利用：对检查站进行博物馆类的改造，其中开辟主题展厅或展示廊道对深圳改革开放历程进行展示。在周边也可配套进行商业综合体的建设。尝试开发二线关的相关旅游线路或廊道，以检查站为中心进行利用发展。</w:t>
      </w:r>
    </w:p>
    <w:p>
      <w:pPr>
        <w:pStyle w:val="8"/>
        <w:ind w:firstLine="0" w:firstLineChars="0"/>
        <w:rPr>
          <w:color w:val="auto"/>
        </w:rPr>
      </w:pPr>
      <w:r>
        <w:rPr>
          <w:rFonts w:hint="eastAsia"/>
          <w:color w:val="auto"/>
        </w:rPr>
        <w:t>（3）南海酒店改造利用</w:t>
      </w:r>
    </w:p>
    <w:p>
      <w:pPr>
        <w:pStyle w:val="8"/>
        <w:ind w:firstLineChars="0"/>
        <w:rPr>
          <w:color w:val="auto"/>
        </w:rPr>
      </w:pPr>
      <w:r>
        <w:rPr>
          <w:rFonts w:hint="eastAsia"/>
          <w:color w:val="auto"/>
        </w:rPr>
        <w:t>保护：对酒店的主体结构和外立面做好保存维护工作。</w:t>
      </w:r>
    </w:p>
    <w:p>
      <w:pPr>
        <w:pStyle w:val="8"/>
        <w:ind w:firstLineChars="0"/>
        <w:rPr>
          <w:color w:val="auto"/>
        </w:rPr>
      </w:pPr>
      <w:r>
        <w:rPr>
          <w:rFonts w:hint="eastAsia"/>
          <w:color w:val="auto"/>
        </w:rPr>
        <w:t>展示利用：在明显地区设置标识，介绍与改革开放相关的历史。局部开放酒店的相关公共区域，参考国贸大厦的展示运作模式，宣传打造南海酒店的地标性建筑的特点，在公共区域对酒店的历史进行说明展示。结合酒店的中餐厅对外开放。</w:t>
      </w:r>
    </w:p>
    <w:p>
      <w:pPr>
        <w:pStyle w:val="8"/>
        <w:ind w:firstLine="0" w:firstLineChars="0"/>
        <w:rPr>
          <w:color w:val="auto"/>
        </w:rPr>
      </w:pPr>
      <w:r>
        <w:rPr>
          <w:rFonts w:hint="eastAsia"/>
          <w:color w:val="auto"/>
        </w:rPr>
        <w:t>（4）“空谈误国、实干兴邦”标语牌改造利用</w:t>
      </w:r>
    </w:p>
    <w:p>
      <w:pPr>
        <w:pStyle w:val="8"/>
        <w:rPr>
          <w:color w:val="auto"/>
        </w:rPr>
      </w:pPr>
      <w:r>
        <w:rPr>
          <w:rFonts w:hint="eastAsia"/>
          <w:color w:val="auto"/>
        </w:rPr>
        <w:t>保护：严格的定期保养维护工作，史迹周边设好相应的防护栏，禁止人群对构筑物的触摸。不得对史迹进行平面布局等方面的改动。</w:t>
      </w:r>
    </w:p>
    <w:p>
      <w:pPr>
        <w:pStyle w:val="8"/>
        <w:ind w:firstLine="0" w:firstLineChars="0"/>
        <w:rPr>
          <w:rFonts w:hint="eastAsia"/>
          <w:color w:val="auto"/>
        </w:rPr>
      </w:pPr>
      <w:r>
        <w:rPr>
          <w:rFonts w:hint="eastAsia"/>
          <w:color w:val="auto"/>
        </w:rPr>
        <w:t>展示利用：可在标语牌周边进行小范围的环境改造，设置市民街头口袋公园，可配套休闲步道、廊道等，附以相应的绿化设施，形成城市的小空间聚集点。</w:t>
      </w:r>
    </w:p>
    <w:p>
      <w:pPr>
        <w:pStyle w:val="8"/>
        <w:ind w:firstLine="0" w:firstLineChars="0"/>
        <w:rPr>
          <w:color w:val="auto"/>
        </w:rPr>
      </w:pPr>
      <w:r>
        <w:rPr>
          <w:rFonts w:hint="eastAsia"/>
          <w:color w:val="auto"/>
        </w:rPr>
        <w:t>（</w:t>
      </w:r>
      <w:r>
        <w:rPr>
          <w:rFonts w:hint="eastAsia"/>
          <w:color w:val="auto"/>
          <w:lang w:val="en-US" w:eastAsia="zh-CN"/>
        </w:rPr>
        <w:t>5</w:t>
      </w:r>
      <w:r>
        <w:rPr>
          <w:rFonts w:hint="eastAsia"/>
          <w:color w:val="auto"/>
        </w:rPr>
        <w:t>）大成面粉厂改造利用</w:t>
      </w:r>
    </w:p>
    <w:p>
      <w:pPr>
        <w:pStyle w:val="8"/>
        <w:rPr>
          <w:color w:val="auto"/>
        </w:rPr>
      </w:pPr>
      <w:r>
        <w:rPr>
          <w:rFonts w:hint="eastAsia"/>
          <w:color w:val="auto"/>
        </w:rPr>
        <w:t>保护：保护和恢复历史加工区，赋予加工的构筑物适当的新用途；结合深圳的蛇口码头发展的新需求，去除污染环境的相关措施；仓库等地对结构、大的平面布局等原址保护，原功能继续利用。</w:t>
      </w:r>
    </w:p>
    <w:p>
      <w:pPr>
        <w:pStyle w:val="8"/>
        <w:rPr>
          <w:rFonts w:hint="eastAsia"/>
          <w:color w:val="auto"/>
        </w:rPr>
      </w:pPr>
      <w:r>
        <w:rPr>
          <w:rFonts w:hint="eastAsia"/>
          <w:color w:val="auto"/>
        </w:rPr>
        <w:t>展示利用：大成面粉厂具体可改造为相关文化产业融合的工业遗产创意园区，或主题博物馆。面粉生产区是大成面粉厂最具特色的区域，也是工业遗产风貌最为鲜明的区域，将这一区域作为核心保护区，保留格局和工业风貌特征。对其他区域部分则在蛇口码头的发展基础上进行适当改造或产业升级。</w:t>
      </w:r>
    </w:p>
    <w:p>
      <w:pPr>
        <w:pStyle w:val="8"/>
        <w:ind w:firstLine="0" w:firstLineChars="0"/>
        <w:rPr>
          <w:color w:val="auto"/>
        </w:rPr>
      </w:pPr>
      <w:r>
        <w:rPr>
          <w:rFonts w:hint="eastAsia"/>
          <w:color w:val="auto"/>
        </w:rPr>
        <w:t>（</w:t>
      </w:r>
      <w:r>
        <w:rPr>
          <w:rFonts w:hint="eastAsia"/>
          <w:color w:val="auto"/>
          <w:lang w:val="en-US" w:eastAsia="zh-CN"/>
        </w:rPr>
        <w:t>6</w:t>
      </w:r>
      <w:r>
        <w:rPr>
          <w:rFonts w:hint="eastAsia"/>
          <w:color w:val="auto"/>
        </w:rPr>
        <w:t>）莲花山公园</w:t>
      </w:r>
      <w:r>
        <w:rPr>
          <w:rFonts w:hint="default"/>
          <w:color w:val="auto"/>
          <w:lang w:val="en"/>
        </w:rPr>
        <w:t>邓小平铜像</w:t>
      </w:r>
      <w:r>
        <w:rPr>
          <w:rFonts w:hint="eastAsia"/>
          <w:color w:val="auto"/>
        </w:rPr>
        <w:t>改造利用</w:t>
      </w:r>
    </w:p>
    <w:p>
      <w:pPr>
        <w:pStyle w:val="8"/>
        <w:rPr>
          <w:color w:val="auto"/>
        </w:rPr>
      </w:pPr>
      <w:r>
        <w:rPr>
          <w:rFonts w:hint="eastAsia"/>
          <w:color w:val="auto"/>
        </w:rPr>
        <w:t>保护：进行定期的雕像保养维护工作，注意雨水、风等对雕像本身的侵蚀等影响，对周边环境进行保护清理。</w:t>
      </w:r>
    </w:p>
    <w:p>
      <w:pPr>
        <w:pStyle w:val="8"/>
        <w:rPr>
          <w:color w:val="auto"/>
        </w:rPr>
      </w:pPr>
      <w:r>
        <w:rPr>
          <w:rFonts w:hint="eastAsia"/>
          <w:color w:val="auto"/>
        </w:rPr>
        <w:t>展示利用：打造全市最具特色的改革开放纪念公园，成为深圳改革开放重要史迹的中心，围绕</w:t>
      </w:r>
      <w:r>
        <w:rPr>
          <w:rFonts w:hint="default"/>
          <w:color w:val="auto"/>
          <w:lang w:val="en"/>
        </w:rPr>
        <w:t>邓小平铜像</w:t>
      </w:r>
      <w:r>
        <w:rPr>
          <w:rFonts w:hint="eastAsia"/>
          <w:color w:val="auto"/>
        </w:rPr>
        <w:t>对整个莲花山公园进行改造，打造深圳最具特色的改革开放相关的纪念公园，与前方的改革开放纪念馆相呼应。在</w:t>
      </w:r>
      <w:r>
        <w:rPr>
          <w:rFonts w:hint="default"/>
          <w:color w:val="auto"/>
          <w:lang w:val="en"/>
        </w:rPr>
        <w:t>邓小平铜像</w:t>
      </w:r>
      <w:r>
        <w:rPr>
          <w:rFonts w:hint="eastAsia"/>
          <w:color w:val="auto"/>
        </w:rPr>
        <w:t>周边设置相关的展陈区域，着重展陈</w:t>
      </w:r>
      <w:r>
        <w:rPr>
          <w:rFonts w:hint="default"/>
          <w:color w:val="auto"/>
          <w:lang w:val="en"/>
        </w:rPr>
        <w:t>邓小平铜像</w:t>
      </w:r>
      <w:r>
        <w:rPr>
          <w:rFonts w:hint="eastAsia"/>
          <w:color w:val="auto"/>
        </w:rPr>
        <w:t>与深圳改革开放的相关历史。可在莲花山公园进行公园范围内的展示陈列，并设置相关的其他重要史迹的介绍。</w:t>
      </w:r>
    </w:p>
    <w:p>
      <w:pPr>
        <w:pStyle w:val="8"/>
        <w:ind w:firstLine="0" w:firstLineChars="0"/>
        <w:rPr>
          <w:color w:val="auto"/>
        </w:rPr>
      </w:pPr>
      <w:r>
        <w:rPr>
          <w:rFonts w:hint="eastAsia"/>
          <w:color w:val="auto"/>
        </w:rPr>
        <w:t>（7）国贸大厦展示利用</w:t>
      </w:r>
    </w:p>
    <w:p>
      <w:pPr>
        <w:pStyle w:val="8"/>
        <w:rPr>
          <w:color w:val="auto"/>
        </w:rPr>
      </w:pPr>
      <w:r>
        <w:rPr>
          <w:rFonts w:hint="eastAsia"/>
          <w:color w:val="auto"/>
        </w:rPr>
        <w:t>保护：对建筑的结构和外观风貌进行维护修缮，对建筑内部的结构布局等进行维护。</w:t>
      </w:r>
    </w:p>
    <w:p>
      <w:pPr>
        <w:pStyle w:val="8"/>
        <w:rPr>
          <w:color w:val="auto"/>
        </w:rPr>
      </w:pPr>
      <w:r>
        <w:rPr>
          <w:rFonts w:hint="eastAsia"/>
          <w:color w:val="auto"/>
        </w:rPr>
        <w:t>展示利用：可对国贸大厦的入口空间进行改造利用，进行一层的整体展陈，展示国贸大厦与改革开放相关的各类历史事件等。国贸大厦顶层的展陈空间和邓小平南方谈话的邓公厅展示利用较好，进行日常维护即可，增加与改革开放相关的展陈。</w:t>
      </w:r>
    </w:p>
    <w:p>
      <w:pPr>
        <w:pStyle w:val="8"/>
        <w:spacing w:line="312" w:lineRule="auto"/>
        <w:jc w:val="center"/>
        <w:rPr>
          <w:rFonts w:hint="eastAsia"/>
          <w:color w:val="auto"/>
        </w:rPr>
      </w:pPr>
    </w:p>
    <w:p>
      <w:pPr>
        <w:pStyle w:val="8"/>
        <w:spacing w:line="312" w:lineRule="auto"/>
        <w:jc w:val="center"/>
        <w:rPr>
          <w:color w:val="auto"/>
        </w:rPr>
      </w:pPr>
      <w:r>
        <w:rPr>
          <w:rFonts w:hint="eastAsia"/>
          <w:color w:val="auto"/>
        </w:rPr>
        <w:t>表8-</w:t>
      </w:r>
      <w:r>
        <w:rPr>
          <w:color w:val="auto"/>
        </w:rPr>
        <w:t xml:space="preserve">1 </w:t>
      </w:r>
      <w:r>
        <w:rPr>
          <w:rFonts w:hint="eastAsia"/>
          <w:color w:val="auto"/>
        </w:rPr>
        <w:t>近期重要史迹保护利用重点实施项目清单</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972"/>
        <w:gridCol w:w="3018"/>
        <w:gridCol w:w="2598"/>
        <w:gridCol w:w="2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968" w:type="dxa"/>
            <w:shd w:val="clear" w:color="auto" w:fill="D8D8D8" w:themeFill="background1" w:themeFillShade="D9"/>
            <w:vAlign w:val="center"/>
          </w:tcPr>
          <w:p>
            <w:pPr>
              <w:pStyle w:val="8"/>
              <w:spacing w:line="312" w:lineRule="auto"/>
              <w:ind w:firstLine="0" w:firstLineChars="0"/>
              <w:jc w:val="center"/>
              <w:rPr>
                <w:b/>
                <w:color w:val="auto"/>
                <w:sz w:val="21"/>
                <w:szCs w:val="21"/>
              </w:rPr>
            </w:pPr>
            <w:r>
              <w:rPr>
                <w:rFonts w:hint="eastAsia"/>
                <w:b/>
                <w:color w:val="auto"/>
                <w:sz w:val="21"/>
                <w:szCs w:val="21"/>
              </w:rPr>
              <w:t>市区</w:t>
            </w:r>
          </w:p>
        </w:tc>
        <w:tc>
          <w:tcPr>
            <w:tcW w:w="972" w:type="dxa"/>
            <w:shd w:val="clear" w:color="auto" w:fill="D8D8D8" w:themeFill="background1" w:themeFillShade="D9"/>
            <w:vAlign w:val="center"/>
          </w:tcPr>
          <w:p>
            <w:pPr>
              <w:pStyle w:val="8"/>
              <w:spacing w:line="312" w:lineRule="auto"/>
              <w:ind w:firstLine="0" w:firstLineChars="0"/>
              <w:jc w:val="center"/>
              <w:rPr>
                <w:b/>
                <w:color w:val="auto"/>
                <w:sz w:val="21"/>
                <w:szCs w:val="21"/>
              </w:rPr>
            </w:pPr>
            <w:r>
              <w:rPr>
                <w:rFonts w:hint="eastAsia"/>
                <w:b/>
                <w:color w:val="auto"/>
                <w:sz w:val="21"/>
                <w:szCs w:val="21"/>
              </w:rPr>
              <w:t>序号</w:t>
            </w:r>
          </w:p>
        </w:tc>
        <w:tc>
          <w:tcPr>
            <w:tcW w:w="3018" w:type="dxa"/>
            <w:shd w:val="clear" w:color="auto" w:fill="D8D8D8" w:themeFill="background1" w:themeFillShade="D9"/>
            <w:vAlign w:val="center"/>
          </w:tcPr>
          <w:p>
            <w:pPr>
              <w:pStyle w:val="8"/>
              <w:spacing w:line="312" w:lineRule="auto"/>
              <w:ind w:firstLine="0" w:firstLineChars="0"/>
              <w:jc w:val="center"/>
              <w:rPr>
                <w:b/>
                <w:color w:val="auto"/>
                <w:sz w:val="21"/>
                <w:szCs w:val="21"/>
              </w:rPr>
            </w:pPr>
            <w:r>
              <w:rPr>
                <w:rFonts w:hint="eastAsia"/>
                <w:b/>
                <w:color w:val="auto"/>
                <w:sz w:val="21"/>
                <w:szCs w:val="21"/>
              </w:rPr>
              <w:t>项目名称</w:t>
            </w:r>
          </w:p>
        </w:tc>
        <w:tc>
          <w:tcPr>
            <w:tcW w:w="2598" w:type="dxa"/>
            <w:shd w:val="clear" w:color="auto" w:fill="D8D8D8" w:themeFill="background1" w:themeFillShade="D9"/>
            <w:vAlign w:val="center"/>
          </w:tcPr>
          <w:p>
            <w:pPr>
              <w:pStyle w:val="8"/>
              <w:spacing w:line="312" w:lineRule="auto"/>
              <w:ind w:firstLine="0" w:firstLineChars="0"/>
              <w:jc w:val="center"/>
              <w:rPr>
                <w:b/>
                <w:color w:val="auto"/>
                <w:sz w:val="21"/>
                <w:szCs w:val="21"/>
              </w:rPr>
            </w:pPr>
            <w:r>
              <w:rPr>
                <w:rFonts w:hint="eastAsia"/>
                <w:b/>
                <w:color w:val="auto"/>
                <w:sz w:val="21"/>
                <w:szCs w:val="21"/>
              </w:rPr>
              <w:t>项目介绍</w:t>
            </w:r>
          </w:p>
        </w:tc>
        <w:tc>
          <w:tcPr>
            <w:tcW w:w="2598" w:type="dxa"/>
            <w:shd w:val="clear" w:color="auto" w:fill="D8D8D8" w:themeFill="background1" w:themeFillShade="D9"/>
            <w:vAlign w:val="center"/>
          </w:tcPr>
          <w:p>
            <w:pPr>
              <w:pStyle w:val="8"/>
              <w:spacing w:line="312" w:lineRule="auto"/>
              <w:ind w:firstLine="0" w:firstLineChars="0"/>
              <w:jc w:val="center"/>
              <w:rPr>
                <w:rFonts w:hint="eastAsia" w:eastAsia="宋体"/>
                <w:b/>
                <w:color w:val="auto"/>
                <w:sz w:val="21"/>
                <w:szCs w:val="21"/>
                <w:lang w:val="en-US" w:eastAsia="zh-CN"/>
              </w:rPr>
            </w:pPr>
            <w:r>
              <w:rPr>
                <w:rFonts w:hint="eastAsia"/>
                <w:b/>
                <w:color w:val="auto"/>
                <w:sz w:val="21"/>
                <w:szCs w:val="21"/>
                <w:lang w:val="en-US" w:eastAsia="zh-CN"/>
              </w:rPr>
              <w:t>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68" w:type="dxa"/>
            <w:vMerge w:val="restart"/>
            <w:vAlign w:val="center"/>
          </w:tcPr>
          <w:p>
            <w:pPr>
              <w:pStyle w:val="8"/>
              <w:spacing w:line="312" w:lineRule="auto"/>
              <w:ind w:firstLine="0" w:firstLineChars="0"/>
              <w:jc w:val="center"/>
              <w:rPr>
                <w:color w:val="auto"/>
                <w:sz w:val="21"/>
                <w:szCs w:val="21"/>
              </w:rPr>
            </w:pPr>
            <w:r>
              <w:rPr>
                <w:rFonts w:hint="eastAsia"/>
                <w:color w:val="auto"/>
                <w:sz w:val="21"/>
                <w:szCs w:val="21"/>
              </w:rPr>
              <w:t>南山区</w:t>
            </w:r>
          </w:p>
        </w:tc>
        <w:tc>
          <w:tcPr>
            <w:tcW w:w="972" w:type="dxa"/>
            <w:vAlign w:val="center"/>
          </w:tcPr>
          <w:p>
            <w:pPr>
              <w:pStyle w:val="8"/>
              <w:spacing w:line="312" w:lineRule="auto"/>
              <w:ind w:firstLine="0" w:firstLineChars="0"/>
              <w:jc w:val="center"/>
              <w:rPr>
                <w:color w:val="0000FF"/>
                <w:sz w:val="21"/>
                <w:szCs w:val="21"/>
              </w:rPr>
            </w:pPr>
            <w:r>
              <w:rPr>
                <w:rFonts w:hint="eastAsia"/>
                <w:color w:val="0000FF"/>
                <w:sz w:val="21"/>
                <w:szCs w:val="21"/>
              </w:rPr>
              <w:t>1</w:t>
            </w:r>
          </w:p>
        </w:tc>
        <w:tc>
          <w:tcPr>
            <w:tcW w:w="3018"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rPr>
              <w:t>微波山时间广场</w:t>
            </w:r>
          </w:p>
        </w:tc>
        <w:tc>
          <w:tcPr>
            <w:tcW w:w="2598"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rPr>
              <w:t>改革开放纪念公园改造</w:t>
            </w:r>
          </w:p>
        </w:tc>
        <w:tc>
          <w:tcPr>
            <w:tcW w:w="2598"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lang w:val="en-US" w:eastAsia="zh-CN"/>
              </w:rPr>
              <w:t>“实干兴邦”传承区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968" w:type="dxa"/>
            <w:vMerge w:val="continue"/>
            <w:vAlign w:val="center"/>
          </w:tcPr>
          <w:p>
            <w:pPr>
              <w:pStyle w:val="8"/>
              <w:spacing w:line="312" w:lineRule="auto"/>
              <w:ind w:firstLine="0" w:firstLineChars="0"/>
              <w:jc w:val="center"/>
              <w:rPr>
                <w:color w:val="auto"/>
                <w:sz w:val="21"/>
                <w:szCs w:val="21"/>
              </w:rPr>
            </w:pPr>
          </w:p>
        </w:tc>
        <w:tc>
          <w:tcPr>
            <w:tcW w:w="972" w:type="dxa"/>
            <w:vAlign w:val="center"/>
          </w:tcPr>
          <w:p>
            <w:pPr>
              <w:pStyle w:val="8"/>
              <w:spacing w:line="312" w:lineRule="auto"/>
              <w:ind w:firstLine="0" w:firstLineChars="0"/>
              <w:jc w:val="center"/>
              <w:rPr>
                <w:color w:val="auto"/>
                <w:sz w:val="21"/>
                <w:szCs w:val="21"/>
              </w:rPr>
            </w:pPr>
            <w:r>
              <w:rPr>
                <w:rFonts w:hint="eastAsia"/>
                <w:color w:val="auto"/>
                <w:sz w:val="21"/>
                <w:szCs w:val="21"/>
              </w:rPr>
              <w:t>2</w:t>
            </w:r>
          </w:p>
        </w:tc>
        <w:tc>
          <w:tcPr>
            <w:tcW w:w="3018"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rPr>
              <w:t>二线关同乐检查站</w:t>
            </w:r>
          </w:p>
        </w:tc>
        <w:tc>
          <w:tcPr>
            <w:tcW w:w="2598"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rPr>
              <w:t>改革开放纪念博物馆利用</w:t>
            </w:r>
          </w:p>
        </w:tc>
        <w:tc>
          <w:tcPr>
            <w:tcW w:w="2598" w:type="dxa"/>
            <w:vAlign w:val="center"/>
          </w:tcPr>
          <w:p>
            <w:pPr>
              <w:pStyle w:val="8"/>
              <w:spacing w:line="312" w:lineRule="auto"/>
              <w:ind w:firstLine="0" w:firstLineChars="0"/>
              <w:jc w:val="center"/>
              <w:rPr>
                <w:rFonts w:hint="default"/>
                <w:color w:val="auto"/>
                <w:sz w:val="21"/>
                <w:szCs w:val="21"/>
                <w:lang w:val="en-US" w:eastAsia="zh-CN"/>
              </w:rPr>
            </w:pPr>
            <w:r>
              <w:rPr>
                <w:rFonts w:hint="eastAsia"/>
                <w:color w:val="auto"/>
                <w:sz w:val="21"/>
                <w:szCs w:val="21"/>
                <w:lang w:val="en-US" w:eastAsia="zh-CN"/>
              </w:rPr>
              <w:t>深圳改革开放博物馆之城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968" w:type="dxa"/>
            <w:vMerge w:val="continue"/>
            <w:vAlign w:val="center"/>
          </w:tcPr>
          <w:p>
            <w:pPr>
              <w:pStyle w:val="8"/>
              <w:spacing w:line="312" w:lineRule="auto"/>
              <w:ind w:firstLine="0" w:firstLineChars="0"/>
              <w:jc w:val="center"/>
              <w:rPr>
                <w:color w:val="auto"/>
                <w:sz w:val="21"/>
                <w:szCs w:val="21"/>
              </w:rPr>
            </w:pPr>
          </w:p>
        </w:tc>
        <w:tc>
          <w:tcPr>
            <w:tcW w:w="972" w:type="dxa"/>
            <w:vAlign w:val="center"/>
          </w:tcPr>
          <w:p>
            <w:pPr>
              <w:pStyle w:val="8"/>
              <w:spacing w:line="312" w:lineRule="auto"/>
              <w:ind w:firstLine="0" w:firstLineChars="0"/>
              <w:jc w:val="center"/>
              <w:rPr>
                <w:color w:val="auto"/>
                <w:sz w:val="21"/>
                <w:szCs w:val="21"/>
              </w:rPr>
            </w:pPr>
            <w:r>
              <w:rPr>
                <w:rFonts w:hint="eastAsia"/>
                <w:color w:val="auto"/>
                <w:sz w:val="21"/>
                <w:szCs w:val="21"/>
              </w:rPr>
              <w:t>3</w:t>
            </w:r>
          </w:p>
        </w:tc>
        <w:tc>
          <w:tcPr>
            <w:tcW w:w="3018"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rPr>
              <w:t>南海酒店外立面及中餐厅</w:t>
            </w:r>
          </w:p>
        </w:tc>
        <w:tc>
          <w:tcPr>
            <w:tcW w:w="2598"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rPr>
              <w:t>结合中餐厅改造公共开放区域</w:t>
            </w:r>
          </w:p>
        </w:tc>
        <w:tc>
          <w:tcPr>
            <w:tcW w:w="2598" w:type="dxa"/>
            <w:vAlign w:val="center"/>
          </w:tcPr>
          <w:p>
            <w:pPr>
              <w:pStyle w:val="8"/>
              <w:spacing w:line="312" w:lineRule="auto"/>
              <w:ind w:firstLine="0" w:firstLineChars="0"/>
              <w:jc w:val="center"/>
              <w:rPr>
                <w:rFonts w:hint="default"/>
                <w:color w:val="auto"/>
                <w:sz w:val="21"/>
                <w:szCs w:val="21"/>
                <w:lang w:val="en-US" w:eastAsia="zh-CN"/>
              </w:rPr>
            </w:pPr>
            <w:r>
              <w:rPr>
                <w:rFonts w:hint="eastAsia"/>
                <w:color w:val="auto"/>
                <w:sz w:val="21"/>
                <w:szCs w:val="21"/>
                <w:lang w:val="en-US" w:eastAsia="zh-CN"/>
              </w:rPr>
              <w:t>“实干兴邦”传承区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968" w:type="dxa"/>
            <w:vMerge w:val="continue"/>
            <w:vAlign w:val="center"/>
          </w:tcPr>
          <w:p>
            <w:pPr>
              <w:pStyle w:val="8"/>
              <w:spacing w:line="312" w:lineRule="auto"/>
              <w:ind w:firstLine="0" w:firstLineChars="0"/>
              <w:jc w:val="center"/>
              <w:rPr>
                <w:color w:val="auto"/>
                <w:sz w:val="21"/>
                <w:szCs w:val="21"/>
              </w:rPr>
            </w:pPr>
          </w:p>
        </w:tc>
        <w:tc>
          <w:tcPr>
            <w:tcW w:w="972" w:type="dxa"/>
            <w:vAlign w:val="center"/>
          </w:tcPr>
          <w:p>
            <w:pPr>
              <w:pStyle w:val="8"/>
              <w:spacing w:line="312" w:lineRule="auto"/>
              <w:ind w:firstLine="0" w:firstLineChars="0"/>
              <w:jc w:val="center"/>
              <w:rPr>
                <w:color w:val="auto"/>
                <w:sz w:val="21"/>
                <w:szCs w:val="21"/>
              </w:rPr>
            </w:pPr>
            <w:r>
              <w:rPr>
                <w:rFonts w:hint="eastAsia"/>
                <w:color w:val="auto"/>
                <w:sz w:val="21"/>
                <w:szCs w:val="21"/>
              </w:rPr>
              <w:t>4</w:t>
            </w:r>
          </w:p>
        </w:tc>
        <w:tc>
          <w:tcPr>
            <w:tcW w:w="3018"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rPr>
              <w:t>“空谈误国，实干兴邦”标语牌</w:t>
            </w:r>
          </w:p>
        </w:tc>
        <w:tc>
          <w:tcPr>
            <w:tcW w:w="2598"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rPr>
              <w:t>市民广场改造</w:t>
            </w:r>
          </w:p>
        </w:tc>
        <w:tc>
          <w:tcPr>
            <w:tcW w:w="2598"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lang w:val="en-US" w:eastAsia="zh-CN"/>
              </w:rPr>
              <w:t>“实干兴邦”传承区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968" w:type="dxa"/>
            <w:vMerge w:val="continue"/>
            <w:vAlign w:val="center"/>
          </w:tcPr>
          <w:p>
            <w:pPr>
              <w:pStyle w:val="8"/>
              <w:spacing w:line="312" w:lineRule="auto"/>
              <w:ind w:firstLine="0" w:firstLineChars="0"/>
              <w:jc w:val="center"/>
              <w:rPr>
                <w:color w:val="auto"/>
                <w:sz w:val="21"/>
                <w:szCs w:val="21"/>
              </w:rPr>
            </w:pPr>
          </w:p>
        </w:tc>
        <w:tc>
          <w:tcPr>
            <w:tcW w:w="972" w:type="dxa"/>
            <w:vAlign w:val="center"/>
          </w:tcPr>
          <w:p>
            <w:pPr>
              <w:pStyle w:val="8"/>
              <w:spacing w:line="312"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5</w:t>
            </w:r>
          </w:p>
        </w:tc>
        <w:tc>
          <w:tcPr>
            <w:tcW w:w="3018"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rPr>
              <w:t>大成面粉厂</w:t>
            </w:r>
          </w:p>
        </w:tc>
        <w:tc>
          <w:tcPr>
            <w:tcW w:w="2598"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rPr>
              <w:t>工业遗产创意园区或蛇口工业纪念馆改造</w:t>
            </w:r>
          </w:p>
        </w:tc>
        <w:tc>
          <w:tcPr>
            <w:tcW w:w="2598"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lang w:val="en-US" w:eastAsia="zh-CN"/>
              </w:rPr>
              <w:t>“实干兴邦”传承区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968" w:type="dxa"/>
            <w:vAlign w:val="center"/>
          </w:tcPr>
          <w:p>
            <w:pPr>
              <w:pStyle w:val="8"/>
              <w:spacing w:line="312" w:lineRule="auto"/>
              <w:ind w:firstLine="0" w:firstLineChars="0"/>
              <w:jc w:val="center"/>
              <w:rPr>
                <w:color w:val="auto"/>
                <w:sz w:val="21"/>
                <w:szCs w:val="21"/>
              </w:rPr>
            </w:pPr>
            <w:r>
              <w:rPr>
                <w:rFonts w:hint="eastAsia"/>
                <w:color w:val="auto"/>
                <w:sz w:val="21"/>
                <w:szCs w:val="21"/>
              </w:rPr>
              <w:t>福田区</w:t>
            </w:r>
          </w:p>
        </w:tc>
        <w:tc>
          <w:tcPr>
            <w:tcW w:w="972" w:type="dxa"/>
            <w:vAlign w:val="center"/>
          </w:tcPr>
          <w:p>
            <w:pPr>
              <w:pStyle w:val="8"/>
              <w:spacing w:line="312"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6</w:t>
            </w:r>
          </w:p>
        </w:tc>
        <w:tc>
          <w:tcPr>
            <w:tcW w:w="3018"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rPr>
              <w:t>莲花山公园（</w:t>
            </w:r>
            <w:r>
              <w:rPr>
                <w:rFonts w:hint="default"/>
                <w:color w:val="auto"/>
                <w:sz w:val="21"/>
                <w:szCs w:val="21"/>
                <w:lang w:val="en"/>
              </w:rPr>
              <w:t>邓小平铜像</w:t>
            </w:r>
            <w:r>
              <w:rPr>
                <w:rFonts w:hint="eastAsia"/>
                <w:color w:val="auto"/>
                <w:sz w:val="21"/>
                <w:szCs w:val="21"/>
              </w:rPr>
              <w:t>）</w:t>
            </w:r>
          </w:p>
        </w:tc>
        <w:tc>
          <w:tcPr>
            <w:tcW w:w="2598"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rPr>
              <w:t>打造全市最具特色的改革开放纪念公园</w:t>
            </w:r>
          </w:p>
        </w:tc>
        <w:tc>
          <w:tcPr>
            <w:tcW w:w="2598" w:type="dxa"/>
            <w:vAlign w:val="center"/>
          </w:tcPr>
          <w:p>
            <w:pPr>
              <w:pStyle w:val="8"/>
              <w:spacing w:line="312" w:lineRule="auto"/>
              <w:ind w:firstLine="0" w:firstLineChars="0"/>
              <w:jc w:val="center"/>
              <w:rPr>
                <w:rFonts w:hint="default"/>
                <w:color w:val="auto"/>
                <w:sz w:val="21"/>
                <w:szCs w:val="21"/>
                <w:lang w:val="en-US" w:eastAsia="zh-CN"/>
              </w:rPr>
            </w:pPr>
            <w:r>
              <w:rPr>
                <w:rFonts w:hint="eastAsia"/>
                <w:color w:val="auto"/>
                <w:sz w:val="21"/>
                <w:szCs w:val="21"/>
                <w:lang w:eastAsia="zh-CN"/>
              </w:rPr>
              <w:t>“</w:t>
            </w:r>
            <w:r>
              <w:rPr>
                <w:rFonts w:hint="eastAsia"/>
                <w:color w:val="auto"/>
                <w:sz w:val="21"/>
                <w:szCs w:val="21"/>
                <w:lang w:val="en-US" w:eastAsia="zh-CN"/>
              </w:rPr>
              <w:t>深圳速度”传承区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968" w:type="dxa"/>
            <w:vAlign w:val="center"/>
          </w:tcPr>
          <w:p>
            <w:pPr>
              <w:pStyle w:val="8"/>
              <w:spacing w:line="312"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罗湖区</w:t>
            </w:r>
          </w:p>
        </w:tc>
        <w:tc>
          <w:tcPr>
            <w:tcW w:w="972" w:type="dxa"/>
            <w:vAlign w:val="center"/>
          </w:tcPr>
          <w:p>
            <w:pPr>
              <w:pStyle w:val="8"/>
              <w:spacing w:line="312" w:lineRule="auto"/>
              <w:ind w:firstLine="0" w:firstLineChars="0"/>
              <w:jc w:val="center"/>
              <w:rPr>
                <w:color w:val="auto"/>
                <w:sz w:val="21"/>
                <w:szCs w:val="21"/>
              </w:rPr>
            </w:pPr>
            <w:r>
              <w:rPr>
                <w:rFonts w:hint="eastAsia"/>
                <w:color w:val="auto"/>
                <w:sz w:val="21"/>
                <w:szCs w:val="21"/>
              </w:rPr>
              <w:t>7</w:t>
            </w:r>
          </w:p>
        </w:tc>
        <w:tc>
          <w:tcPr>
            <w:tcW w:w="3018"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rPr>
              <w:t>国贸大厦</w:t>
            </w:r>
          </w:p>
        </w:tc>
        <w:tc>
          <w:tcPr>
            <w:tcW w:w="2598"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rPr>
              <w:t>一层展陈大厅的扩建</w:t>
            </w:r>
          </w:p>
        </w:tc>
        <w:tc>
          <w:tcPr>
            <w:tcW w:w="2598"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lang w:eastAsia="zh-CN"/>
              </w:rPr>
              <w:t>“</w:t>
            </w:r>
            <w:r>
              <w:rPr>
                <w:rFonts w:hint="eastAsia"/>
                <w:color w:val="auto"/>
                <w:sz w:val="21"/>
                <w:szCs w:val="21"/>
                <w:lang w:val="en-US" w:eastAsia="zh-CN"/>
              </w:rPr>
              <w:t>深圳速度”传承区</w:t>
            </w:r>
          </w:p>
        </w:tc>
      </w:tr>
    </w:tbl>
    <w:p>
      <w:pPr>
        <w:pStyle w:val="3"/>
        <w:rPr>
          <w:color w:val="auto"/>
        </w:rPr>
      </w:pPr>
      <w:bookmarkStart w:id="285" w:name="_Toc9944"/>
      <w:bookmarkStart w:id="286" w:name="_Toc336829136"/>
      <w:bookmarkStart w:id="287" w:name="_Toc114072210"/>
      <w:bookmarkStart w:id="288" w:name="_Toc17464"/>
      <w:bookmarkStart w:id="289" w:name="_Toc32095"/>
      <w:bookmarkStart w:id="290" w:name="_Toc24205"/>
      <w:bookmarkStart w:id="291" w:name="_Toc81838558"/>
      <w:bookmarkStart w:id="292" w:name="_Toc16231"/>
      <w:bookmarkStart w:id="293" w:name="_Toc19873"/>
      <w:r>
        <w:rPr>
          <w:color w:val="auto"/>
        </w:rPr>
        <w:t>8.2</w:t>
      </w:r>
      <w:r>
        <w:rPr>
          <w:rFonts w:hint="eastAsia"/>
          <w:color w:val="auto"/>
        </w:rPr>
        <w:t>中期（</w:t>
      </w:r>
      <w:r>
        <w:rPr>
          <w:color w:val="auto"/>
        </w:rPr>
        <w:t>2028-2032</w:t>
      </w:r>
      <w:r>
        <w:rPr>
          <w:rFonts w:hint="eastAsia"/>
          <w:color w:val="auto"/>
        </w:rPr>
        <w:t>年）工作</w:t>
      </w:r>
      <w:bookmarkEnd w:id="285"/>
      <w:bookmarkEnd w:id="286"/>
      <w:bookmarkEnd w:id="287"/>
      <w:bookmarkEnd w:id="288"/>
      <w:bookmarkEnd w:id="289"/>
      <w:bookmarkEnd w:id="290"/>
      <w:bookmarkEnd w:id="291"/>
      <w:bookmarkEnd w:id="292"/>
      <w:bookmarkEnd w:id="293"/>
      <w:r>
        <w:rPr>
          <w:color w:val="auto"/>
        </w:rPr>
        <w:tab/>
      </w:r>
    </w:p>
    <w:p>
      <w:pPr>
        <w:pStyle w:val="8"/>
        <w:rPr>
          <w:color w:val="auto"/>
        </w:rPr>
      </w:pPr>
      <w:r>
        <w:rPr>
          <w:rFonts w:hint="eastAsia"/>
          <w:color w:val="auto"/>
        </w:rPr>
        <w:t>中期基本完成改革开放史迹示范点和示范片区的打造。在全国层推出改革开放特色示范区。</w:t>
      </w:r>
    </w:p>
    <w:p>
      <w:pPr>
        <w:pStyle w:val="8"/>
        <w:rPr>
          <w:color w:val="auto"/>
        </w:rPr>
      </w:pPr>
      <w:r>
        <w:rPr>
          <w:color w:val="auto"/>
        </w:rPr>
        <w:t>完成改革开放重要史迹及相关线路以外非重点史迹工程重要史迹本体保护利用工作。</w:t>
      </w:r>
    </w:p>
    <w:p>
      <w:pPr>
        <w:pStyle w:val="8"/>
        <w:rPr>
          <w:color w:val="auto"/>
        </w:rPr>
      </w:pPr>
      <w:r>
        <w:rPr>
          <w:color w:val="auto"/>
        </w:rPr>
        <w:t>基本完成改革开放史迹及相关线路利用展示配套公共服务设施建设。</w:t>
      </w:r>
    </w:p>
    <w:p>
      <w:pPr>
        <w:pStyle w:val="8"/>
        <w:rPr>
          <w:color w:val="auto"/>
        </w:rPr>
      </w:pPr>
      <w:r>
        <w:rPr>
          <w:color w:val="auto"/>
        </w:rPr>
        <w:t>完善改革开放史迹及相关线路展示利用的体系建设工作，打造改革开放重点史迹经典“网红”线路。</w:t>
      </w:r>
    </w:p>
    <w:p>
      <w:pPr>
        <w:pStyle w:val="8"/>
        <w:rPr>
          <w:color w:val="auto"/>
        </w:rPr>
      </w:pPr>
      <w:r>
        <w:rPr>
          <w:rFonts w:hint="eastAsia"/>
          <w:color w:val="auto"/>
        </w:rPr>
        <w:t>开展沙头角保税区、大成面粉厂、微波山时间广场、光明街道糖厂的保护、展示利用项目。</w:t>
      </w:r>
    </w:p>
    <w:p>
      <w:pPr>
        <w:pStyle w:val="8"/>
        <w:ind w:firstLine="0" w:firstLineChars="0"/>
        <w:rPr>
          <w:color w:val="auto"/>
        </w:rPr>
      </w:pPr>
      <w:r>
        <w:rPr>
          <w:rFonts w:hint="eastAsia"/>
          <w:color w:val="auto"/>
        </w:rPr>
        <w:t>（1）沙头角保税区改造利用</w:t>
      </w:r>
    </w:p>
    <w:p>
      <w:pPr>
        <w:pStyle w:val="8"/>
        <w:rPr>
          <w:color w:val="auto"/>
        </w:rPr>
      </w:pPr>
      <w:r>
        <w:rPr>
          <w:rFonts w:hint="eastAsia"/>
          <w:color w:val="auto"/>
        </w:rPr>
        <w:t>保护：在沙头角还未退区完成时，对现有的沙头角片区进行资料收集、相关模型的建设等数字化存档。</w:t>
      </w:r>
    </w:p>
    <w:p>
      <w:pPr>
        <w:pStyle w:val="8"/>
        <w:rPr>
          <w:rFonts w:hint="eastAsia"/>
          <w:color w:val="auto"/>
        </w:rPr>
      </w:pPr>
      <w:r>
        <w:rPr>
          <w:rFonts w:hint="eastAsia"/>
          <w:color w:val="auto"/>
        </w:rPr>
        <w:t>展示利用：在预计保存的一栋建筑中进行相关的展示。对保留的建筑进行产业的创新升级，延续保税区的特色进行发展。或可新建盐田区保税区纪念馆，记录改革开放以来盐田区的保税区的变化，感受深圳特殊的经济增长点的历史发展。对沙头角保税区进行相关资料收集和整理工作。</w:t>
      </w:r>
    </w:p>
    <w:p>
      <w:pPr>
        <w:pStyle w:val="8"/>
        <w:ind w:firstLine="0" w:firstLineChars="0"/>
        <w:rPr>
          <w:color w:val="auto"/>
        </w:rPr>
      </w:pPr>
      <w:r>
        <w:rPr>
          <w:rFonts w:hint="eastAsia"/>
          <w:color w:val="auto"/>
        </w:rPr>
        <w:t>（</w:t>
      </w:r>
      <w:r>
        <w:rPr>
          <w:rFonts w:hint="eastAsia"/>
          <w:color w:val="auto"/>
          <w:lang w:val="en-US" w:eastAsia="zh-CN"/>
        </w:rPr>
        <w:t>2</w:t>
      </w:r>
      <w:r>
        <w:rPr>
          <w:rFonts w:hint="eastAsia"/>
          <w:color w:val="auto"/>
        </w:rPr>
        <w:t>）前海石公园利用改造</w:t>
      </w:r>
    </w:p>
    <w:p>
      <w:pPr>
        <w:pStyle w:val="8"/>
        <w:ind w:firstLineChars="0"/>
        <w:rPr>
          <w:color w:val="auto"/>
        </w:rPr>
      </w:pPr>
      <w:r>
        <w:rPr>
          <w:rFonts w:hint="eastAsia"/>
          <w:color w:val="auto"/>
        </w:rPr>
        <w:t>保护：对相关领导人视察的场景空间进行保护，甚至可以划定相关保护范围。对前海石进行石材的相关保养维护。对前海石公园的格局进行保护。</w:t>
      </w:r>
    </w:p>
    <w:p>
      <w:pPr>
        <w:pStyle w:val="8"/>
        <w:ind w:firstLineChars="0"/>
        <w:rPr>
          <w:color w:val="auto"/>
        </w:rPr>
      </w:pPr>
      <w:r>
        <w:rPr>
          <w:rFonts w:hint="eastAsia"/>
          <w:color w:val="auto"/>
        </w:rPr>
        <w:t>展示利用：进行重新规划设计，在介绍内容里强调改革开放的相关板块。设计展示廊道，陈列相关领导人雕像、展牌介绍改革开放重要事迹等。本体展示、陈列展示、标识展示、数字展示同时进行。</w:t>
      </w:r>
    </w:p>
    <w:p>
      <w:pPr>
        <w:pStyle w:val="8"/>
        <w:ind w:firstLine="0" w:firstLineChars="0"/>
        <w:rPr>
          <w:color w:val="auto"/>
        </w:rPr>
      </w:pPr>
      <w:r>
        <w:rPr>
          <w:rFonts w:hint="eastAsia"/>
          <w:color w:val="auto"/>
        </w:rPr>
        <w:t>（</w:t>
      </w:r>
      <w:r>
        <w:rPr>
          <w:rFonts w:hint="eastAsia"/>
          <w:color w:val="auto"/>
          <w:lang w:val="en-US" w:eastAsia="zh-CN"/>
        </w:rPr>
        <w:t>3</w:t>
      </w:r>
      <w:r>
        <w:rPr>
          <w:rFonts w:hint="eastAsia"/>
          <w:color w:val="auto"/>
        </w:rPr>
        <w:t>）光明街道糖厂改造利用</w:t>
      </w:r>
    </w:p>
    <w:p>
      <w:pPr>
        <w:pStyle w:val="8"/>
        <w:rPr>
          <w:color w:val="auto"/>
        </w:rPr>
      </w:pPr>
      <w:r>
        <w:rPr>
          <w:rFonts w:hint="eastAsia"/>
          <w:color w:val="auto"/>
        </w:rPr>
        <w:t>保护：糖厂现处于废弃状态，对糖厂进行原址恢复修缮。对工业建筑格局、结构、样式、风貌特征进行维护维持，核心物项及时恢复，并进行相关的遗存收集和归档。</w:t>
      </w:r>
    </w:p>
    <w:p>
      <w:pPr>
        <w:pStyle w:val="8"/>
        <w:ind w:firstLine="0" w:firstLineChars="0"/>
        <w:rPr>
          <w:rFonts w:hint="eastAsia"/>
          <w:color w:val="auto"/>
        </w:rPr>
      </w:pPr>
      <w:r>
        <w:rPr>
          <w:rFonts w:hint="eastAsia"/>
          <w:color w:val="auto"/>
        </w:rPr>
        <w:t>展示利用：对糖厂可进行相关博物馆式改造，展示深圳改革开放前后轻工业的发展历史。或进行工业遗产创意园区的改造，结合光明区的区域规划，打造以光明街道糖厂为核心的商业文化综合体。</w:t>
      </w:r>
    </w:p>
    <w:p>
      <w:pPr>
        <w:pStyle w:val="8"/>
        <w:ind w:firstLine="0" w:firstLineChars="0"/>
        <w:rPr>
          <w:color w:val="auto"/>
        </w:rPr>
      </w:pPr>
      <w:r>
        <w:rPr>
          <w:rFonts w:hint="eastAsia"/>
          <w:color w:val="auto"/>
        </w:rPr>
        <w:t>（</w:t>
      </w:r>
      <w:r>
        <w:rPr>
          <w:rFonts w:hint="eastAsia"/>
          <w:color w:val="auto"/>
          <w:lang w:val="en-US" w:eastAsia="zh-CN"/>
        </w:rPr>
        <w:t>4</w:t>
      </w:r>
      <w:r>
        <w:rPr>
          <w:rFonts w:hint="eastAsia"/>
          <w:color w:val="auto"/>
        </w:rPr>
        <w:t>）渔民村改造利用</w:t>
      </w:r>
    </w:p>
    <w:p>
      <w:pPr>
        <w:pStyle w:val="8"/>
        <w:rPr>
          <w:color w:val="auto"/>
        </w:rPr>
      </w:pPr>
      <w:r>
        <w:rPr>
          <w:rFonts w:hint="eastAsia"/>
          <w:color w:val="auto"/>
        </w:rPr>
        <w:t>保护：对渔民村现有的空间布局、建筑风貌等进行维护修缮，维护村口的介绍展陈廊道，维护村史馆等与改革开放相关的重要空间。</w:t>
      </w:r>
    </w:p>
    <w:p>
      <w:pPr>
        <w:pStyle w:val="8"/>
        <w:rPr>
          <w:color w:val="auto"/>
        </w:rPr>
      </w:pPr>
      <w:r>
        <w:rPr>
          <w:rFonts w:hint="eastAsia"/>
          <w:color w:val="auto"/>
        </w:rPr>
        <w:t>展示利用：结合重要街巷入口空间，通过牌坊、立面字等表达形式，强化入口的标志性。艺术小品：结合广场、重要载体周边设置具有主题性、互动体验功能的装置艺术小品。继续为市民提供相关展览和参观功能。保护村落的文化长廊、村史馆等空间。在渔民村外部设置相关明显指引。内部改革开放相关介绍较为完善，但外部标识不足。</w:t>
      </w:r>
    </w:p>
    <w:p>
      <w:pPr>
        <w:pStyle w:val="8"/>
        <w:ind w:firstLine="0" w:firstLineChars="0"/>
        <w:rPr>
          <w:color w:val="auto"/>
        </w:rPr>
      </w:pPr>
      <w:r>
        <w:rPr>
          <w:rFonts w:hint="eastAsia"/>
          <w:color w:val="auto"/>
        </w:rPr>
        <w:t>（</w:t>
      </w:r>
      <w:r>
        <w:rPr>
          <w:rFonts w:hint="eastAsia"/>
          <w:color w:val="auto"/>
          <w:lang w:val="en-US" w:eastAsia="zh-CN"/>
        </w:rPr>
        <w:t>5</w:t>
      </w:r>
      <w:r>
        <w:rPr>
          <w:rFonts w:hint="eastAsia"/>
          <w:color w:val="auto"/>
        </w:rPr>
        <w:t>）南岭村改造利用</w:t>
      </w:r>
    </w:p>
    <w:p>
      <w:pPr>
        <w:pStyle w:val="8"/>
        <w:rPr>
          <w:color w:val="auto"/>
        </w:rPr>
      </w:pPr>
      <w:r>
        <w:rPr>
          <w:rFonts w:hint="eastAsia"/>
          <w:color w:val="auto"/>
        </w:rPr>
        <w:t>保护：对村落现有的办公楼进行日常维护修缮即可。</w:t>
      </w:r>
    </w:p>
    <w:p>
      <w:pPr>
        <w:pStyle w:val="8"/>
        <w:rPr>
          <w:color w:val="auto"/>
        </w:rPr>
      </w:pPr>
      <w:r>
        <w:rPr>
          <w:rFonts w:hint="eastAsia"/>
          <w:color w:val="auto"/>
        </w:rPr>
        <w:t>展示利用：对南岭村的办公楼进行改造修缮，计划将致富思源馆搬至该办公楼作为村史馆使用。利用局部开敞空间，以历史建筑、人物、事件等为题材，通过具象的表达方式，营造层次丰富的展示空间。</w:t>
      </w:r>
    </w:p>
    <w:p>
      <w:pPr>
        <w:pStyle w:val="8"/>
        <w:ind w:firstLine="0" w:firstLineChars="0"/>
        <w:rPr>
          <w:color w:val="auto"/>
        </w:rPr>
      </w:pPr>
      <w:r>
        <w:rPr>
          <w:rFonts w:hint="eastAsia"/>
          <w:color w:val="auto"/>
        </w:rPr>
        <w:t>（</w:t>
      </w:r>
      <w:r>
        <w:rPr>
          <w:rFonts w:hint="eastAsia"/>
          <w:color w:val="auto"/>
          <w:lang w:val="en-US" w:eastAsia="zh-CN"/>
        </w:rPr>
        <w:t>6</w:t>
      </w:r>
      <w:r>
        <w:rPr>
          <w:rFonts w:hint="eastAsia"/>
          <w:color w:val="auto"/>
        </w:rPr>
        <w:t>）艺象I</w:t>
      </w:r>
      <w:r>
        <w:rPr>
          <w:color w:val="auto"/>
        </w:rPr>
        <w:t>D TOWN</w:t>
      </w:r>
      <w:r>
        <w:rPr>
          <w:rFonts w:hint="eastAsia"/>
          <w:color w:val="auto"/>
        </w:rPr>
        <w:t>改造利用</w:t>
      </w:r>
    </w:p>
    <w:p>
      <w:pPr>
        <w:pStyle w:val="8"/>
        <w:rPr>
          <w:color w:val="auto"/>
        </w:rPr>
      </w:pPr>
      <w:r>
        <w:rPr>
          <w:rFonts w:hint="eastAsia"/>
          <w:color w:val="auto"/>
        </w:rPr>
        <w:t>保护：应设置专门部门或由专业监测建筑的保存情况，划定保护范围，采取有效措施，对工业建筑格局、结构、样式、风貌特征进行维护维持，确保核心物项不被破坏，如有较大改变时，应及时恢复，核心物项如有损毁应及时修复。要对相关的核心物项保护、遗存收集、维护修缮等收集相关资料并进行存档。</w:t>
      </w:r>
    </w:p>
    <w:p>
      <w:pPr>
        <w:pStyle w:val="8"/>
        <w:rPr>
          <w:color w:val="auto"/>
        </w:rPr>
      </w:pPr>
      <w:r>
        <w:rPr>
          <w:rFonts w:hint="eastAsia"/>
          <w:color w:val="auto"/>
        </w:rPr>
        <w:t>展示利用：现有部分厂区已进行了相关改造，对剩余未开发的厂区进行规划设计展陈部分，增强展示空间，突出改革开放主题，展现改革开放</w:t>
      </w:r>
      <w:r>
        <w:rPr>
          <w:color w:val="auto"/>
        </w:rPr>
        <w:t>40年来深圳的工业发展历程。</w:t>
      </w:r>
    </w:p>
    <w:p>
      <w:pPr>
        <w:pStyle w:val="8"/>
        <w:spacing w:line="312" w:lineRule="auto"/>
        <w:jc w:val="center"/>
        <w:rPr>
          <w:rFonts w:hint="eastAsia"/>
          <w:color w:val="auto"/>
        </w:rPr>
      </w:pPr>
    </w:p>
    <w:p>
      <w:pPr>
        <w:pStyle w:val="8"/>
        <w:spacing w:line="312" w:lineRule="auto"/>
        <w:jc w:val="center"/>
        <w:rPr>
          <w:color w:val="auto"/>
        </w:rPr>
      </w:pPr>
      <w:r>
        <w:rPr>
          <w:rFonts w:hint="eastAsia"/>
          <w:color w:val="auto"/>
        </w:rPr>
        <w:t>表8-</w:t>
      </w:r>
      <w:r>
        <w:rPr>
          <w:color w:val="auto"/>
        </w:rPr>
        <w:t xml:space="preserve">2 </w:t>
      </w:r>
      <w:r>
        <w:rPr>
          <w:rFonts w:hint="eastAsia"/>
          <w:color w:val="auto"/>
        </w:rPr>
        <w:t>中期建议打造项目清单</w:t>
      </w:r>
    </w:p>
    <w:tbl>
      <w:tblPr>
        <w:tblStyle w:val="19"/>
        <w:tblW w:w="9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134"/>
        <w:gridCol w:w="2552"/>
        <w:gridCol w:w="4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shd w:val="clear" w:color="auto" w:fill="D8D8D8" w:themeFill="background1" w:themeFillShade="D9"/>
            <w:vAlign w:val="center"/>
          </w:tcPr>
          <w:p>
            <w:pPr>
              <w:pStyle w:val="8"/>
              <w:spacing w:line="312" w:lineRule="auto"/>
              <w:ind w:firstLine="0" w:firstLineChars="0"/>
              <w:jc w:val="center"/>
              <w:rPr>
                <w:b/>
                <w:color w:val="auto"/>
                <w:sz w:val="21"/>
                <w:szCs w:val="21"/>
              </w:rPr>
            </w:pPr>
            <w:r>
              <w:rPr>
                <w:rFonts w:hint="eastAsia"/>
                <w:b/>
                <w:color w:val="auto"/>
                <w:sz w:val="21"/>
                <w:szCs w:val="21"/>
              </w:rPr>
              <w:t>市区</w:t>
            </w:r>
          </w:p>
        </w:tc>
        <w:tc>
          <w:tcPr>
            <w:tcW w:w="1134" w:type="dxa"/>
            <w:shd w:val="clear" w:color="auto" w:fill="D8D8D8" w:themeFill="background1" w:themeFillShade="D9"/>
          </w:tcPr>
          <w:p>
            <w:pPr>
              <w:pStyle w:val="8"/>
              <w:spacing w:line="312" w:lineRule="auto"/>
              <w:ind w:firstLine="0" w:firstLineChars="0"/>
              <w:jc w:val="center"/>
              <w:rPr>
                <w:b/>
                <w:color w:val="auto"/>
                <w:sz w:val="21"/>
                <w:szCs w:val="21"/>
              </w:rPr>
            </w:pPr>
            <w:r>
              <w:rPr>
                <w:rFonts w:hint="eastAsia"/>
                <w:b/>
                <w:color w:val="auto"/>
                <w:sz w:val="21"/>
                <w:szCs w:val="21"/>
              </w:rPr>
              <w:t>序号</w:t>
            </w:r>
          </w:p>
        </w:tc>
        <w:tc>
          <w:tcPr>
            <w:tcW w:w="2552" w:type="dxa"/>
            <w:shd w:val="clear" w:color="auto" w:fill="D8D8D8" w:themeFill="background1" w:themeFillShade="D9"/>
            <w:vAlign w:val="center"/>
          </w:tcPr>
          <w:p>
            <w:pPr>
              <w:pStyle w:val="8"/>
              <w:spacing w:line="312" w:lineRule="auto"/>
              <w:ind w:firstLine="0" w:firstLineChars="0"/>
              <w:jc w:val="center"/>
              <w:rPr>
                <w:b/>
                <w:color w:val="auto"/>
                <w:sz w:val="21"/>
                <w:szCs w:val="21"/>
              </w:rPr>
            </w:pPr>
            <w:r>
              <w:rPr>
                <w:rFonts w:hint="eastAsia"/>
                <w:b/>
                <w:color w:val="auto"/>
                <w:sz w:val="21"/>
                <w:szCs w:val="21"/>
              </w:rPr>
              <w:t>项目名称</w:t>
            </w:r>
          </w:p>
        </w:tc>
        <w:tc>
          <w:tcPr>
            <w:tcW w:w="4548" w:type="dxa"/>
            <w:shd w:val="clear" w:color="auto" w:fill="D8D8D8" w:themeFill="background1" w:themeFillShade="D9"/>
            <w:vAlign w:val="center"/>
          </w:tcPr>
          <w:p>
            <w:pPr>
              <w:pStyle w:val="8"/>
              <w:spacing w:line="312" w:lineRule="auto"/>
              <w:ind w:firstLine="0" w:firstLineChars="0"/>
              <w:jc w:val="center"/>
              <w:rPr>
                <w:b/>
                <w:color w:val="auto"/>
                <w:sz w:val="21"/>
                <w:szCs w:val="21"/>
              </w:rPr>
            </w:pPr>
            <w:r>
              <w:rPr>
                <w:rFonts w:hint="eastAsia"/>
                <w:b/>
                <w:color w:val="auto"/>
                <w:sz w:val="21"/>
                <w:szCs w:val="21"/>
              </w:rPr>
              <w:t>项目介绍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pStyle w:val="8"/>
              <w:spacing w:line="312" w:lineRule="auto"/>
              <w:ind w:firstLine="0" w:firstLineChars="0"/>
              <w:jc w:val="center"/>
              <w:rPr>
                <w:color w:val="auto"/>
                <w:sz w:val="21"/>
                <w:szCs w:val="21"/>
              </w:rPr>
            </w:pPr>
            <w:r>
              <w:rPr>
                <w:rFonts w:hint="eastAsia"/>
                <w:color w:val="auto"/>
                <w:sz w:val="21"/>
                <w:szCs w:val="21"/>
              </w:rPr>
              <w:t>盐田区</w:t>
            </w:r>
          </w:p>
        </w:tc>
        <w:tc>
          <w:tcPr>
            <w:tcW w:w="1134" w:type="dxa"/>
          </w:tcPr>
          <w:p>
            <w:pPr>
              <w:pStyle w:val="8"/>
              <w:spacing w:line="312" w:lineRule="auto"/>
              <w:ind w:firstLine="0" w:firstLineChars="0"/>
              <w:jc w:val="center"/>
              <w:rPr>
                <w:color w:val="auto"/>
                <w:sz w:val="21"/>
                <w:szCs w:val="21"/>
              </w:rPr>
            </w:pPr>
            <w:r>
              <w:rPr>
                <w:rFonts w:hint="eastAsia"/>
                <w:color w:val="auto"/>
                <w:sz w:val="21"/>
                <w:szCs w:val="21"/>
              </w:rPr>
              <w:t>1</w:t>
            </w:r>
          </w:p>
        </w:tc>
        <w:tc>
          <w:tcPr>
            <w:tcW w:w="2552"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rPr>
              <w:t>沙头角保税区</w:t>
            </w:r>
          </w:p>
        </w:tc>
        <w:tc>
          <w:tcPr>
            <w:tcW w:w="4548"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rPr>
              <w:t>纪念馆改造或盐田区改革开放博物馆打造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pStyle w:val="8"/>
              <w:spacing w:line="312" w:lineRule="auto"/>
              <w:ind w:firstLine="0" w:firstLineChars="0"/>
              <w:jc w:val="center"/>
              <w:rPr>
                <w:color w:val="auto"/>
                <w:sz w:val="21"/>
                <w:szCs w:val="21"/>
              </w:rPr>
            </w:pPr>
            <w:r>
              <w:rPr>
                <w:rFonts w:hint="eastAsia"/>
                <w:color w:val="auto"/>
                <w:sz w:val="21"/>
                <w:szCs w:val="21"/>
              </w:rPr>
              <w:t>南山区</w:t>
            </w:r>
          </w:p>
        </w:tc>
        <w:tc>
          <w:tcPr>
            <w:tcW w:w="1134" w:type="dxa"/>
          </w:tcPr>
          <w:p>
            <w:pPr>
              <w:pStyle w:val="8"/>
              <w:spacing w:line="312" w:lineRule="auto"/>
              <w:ind w:firstLine="0" w:firstLineChars="0"/>
              <w:jc w:val="center"/>
              <w:rPr>
                <w:color w:val="auto"/>
                <w:sz w:val="21"/>
                <w:szCs w:val="21"/>
              </w:rPr>
            </w:pPr>
            <w:r>
              <w:rPr>
                <w:rFonts w:hint="eastAsia"/>
                <w:color w:val="auto"/>
                <w:sz w:val="21"/>
                <w:szCs w:val="21"/>
              </w:rPr>
              <w:t>2</w:t>
            </w:r>
          </w:p>
        </w:tc>
        <w:tc>
          <w:tcPr>
            <w:tcW w:w="2552"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rPr>
              <w:t>前海石公园</w:t>
            </w:r>
          </w:p>
        </w:tc>
        <w:tc>
          <w:tcPr>
            <w:tcW w:w="4548"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rPr>
              <w:t>纪念公园改造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pStyle w:val="8"/>
              <w:spacing w:line="312" w:lineRule="auto"/>
              <w:ind w:firstLine="0" w:firstLineChars="0"/>
              <w:jc w:val="center"/>
              <w:rPr>
                <w:color w:val="auto"/>
                <w:sz w:val="21"/>
                <w:szCs w:val="21"/>
              </w:rPr>
            </w:pPr>
            <w:r>
              <w:rPr>
                <w:rFonts w:hint="eastAsia"/>
                <w:color w:val="auto"/>
                <w:sz w:val="21"/>
                <w:szCs w:val="21"/>
              </w:rPr>
              <w:t>光明区</w:t>
            </w:r>
          </w:p>
        </w:tc>
        <w:tc>
          <w:tcPr>
            <w:tcW w:w="1134" w:type="dxa"/>
          </w:tcPr>
          <w:p>
            <w:pPr>
              <w:pStyle w:val="8"/>
              <w:spacing w:line="312"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3</w:t>
            </w:r>
          </w:p>
        </w:tc>
        <w:tc>
          <w:tcPr>
            <w:tcW w:w="2552"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rPr>
              <w:t>光明街道糖厂</w:t>
            </w:r>
          </w:p>
        </w:tc>
        <w:tc>
          <w:tcPr>
            <w:tcW w:w="4548" w:type="dxa"/>
            <w:vAlign w:val="center"/>
          </w:tcPr>
          <w:p>
            <w:pPr>
              <w:pStyle w:val="8"/>
              <w:spacing w:line="312" w:lineRule="auto"/>
              <w:ind w:firstLine="0" w:firstLineChars="0"/>
              <w:jc w:val="center"/>
              <w:rPr>
                <w:rFonts w:hint="eastAsia"/>
                <w:color w:val="auto"/>
                <w:sz w:val="21"/>
                <w:szCs w:val="21"/>
              </w:rPr>
            </w:pPr>
            <w:r>
              <w:rPr>
                <w:rFonts w:hint="eastAsia"/>
                <w:color w:val="auto"/>
                <w:sz w:val="21"/>
                <w:szCs w:val="21"/>
              </w:rPr>
              <w:t>工业遗产创意园或工业纪念馆改造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pStyle w:val="8"/>
              <w:spacing w:line="312" w:lineRule="auto"/>
              <w:ind w:firstLine="0" w:firstLineChars="0"/>
              <w:jc w:val="center"/>
              <w:rPr>
                <w:rFonts w:hint="eastAsia"/>
                <w:color w:val="auto"/>
                <w:sz w:val="21"/>
                <w:szCs w:val="21"/>
              </w:rPr>
            </w:pPr>
            <w:bookmarkStart w:id="294" w:name="_Toc81838559"/>
            <w:bookmarkStart w:id="295" w:name="_Toc30392"/>
            <w:bookmarkStart w:id="296" w:name="_Toc26221"/>
            <w:bookmarkStart w:id="297" w:name="_Toc24772"/>
            <w:bookmarkStart w:id="298" w:name="_Toc11886"/>
            <w:bookmarkStart w:id="299" w:name="_Toc30386"/>
            <w:bookmarkStart w:id="300" w:name="_Toc320395260"/>
            <w:bookmarkStart w:id="301" w:name="_Toc25936"/>
            <w:bookmarkStart w:id="302" w:name="_Toc114072211"/>
            <w:r>
              <w:rPr>
                <w:rFonts w:hint="eastAsia"/>
                <w:color w:val="auto"/>
                <w:sz w:val="21"/>
                <w:szCs w:val="21"/>
              </w:rPr>
              <w:t>罗湖区</w:t>
            </w:r>
          </w:p>
        </w:tc>
        <w:tc>
          <w:tcPr>
            <w:tcW w:w="1134" w:type="dxa"/>
          </w:tcPr>
          <w:p>
            <w:pPr>
              <w:pStyle w:val="8"/>
              <w:spacing w:line="312"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4</w:t>
            </w:r>
          </w:p>
        </w:tc>
        <w:tc>
          <w:tcPr>
            <w:tcW w:w="2552" w:type="dxa"/>
            <w:vAlign w:val="center"/>
          </w:tcPr>
          <w:p>
            <w:pPr>
              <w:pStyle w:val="8"/>
              <w:spacing w:line="312" w:lineRule="auto"/>
              <w:ind w:firstLine="0" w:firstLineChars="0"/>
              <w:jc w:val="center"/>
              <w:rPr>
                <w:rFonts w:hint="eastAsia"/>
                <w:color w:val="auto"/>
                <w:sz w:val="21"/>
                <w:szCs w:val="21"/>
                <w:lang w:val="en-US" w:eastAsia="zh-CN"/>
              </w:rPr>
            </w:pPr>
            <w:r>
              <w:rPr>
                <w:rFonts w:hint="eastAsia"/>
                <w:color w:val="auto"/>
                <w:sz w:val="21"/>
                <w:szCs w:val="21"/>
              </w:rPr>
              <w:t>渔民村</w:t>
            </w:r>
          </w:p>
        </w:tc>
        <w:tc>
          <w:tcPr>
            <w:tcW w:w="4548" w:type="dxa"/>
            <w:vAlign w:val="center"/>
          </w:tcPr>
          <w:p>
            <w:pPr>
              <w:pStyle w:val="8"/>
              <w:spacing w:line="312" w:lineRule="auto"/>
              <w:ind w:firstLine="0" w:firstLineChars="0"/>
              <w:jc w:val="center"/>
              <w:rPr>
                <w:rFonts w:hint="eastAsia"/>
                <w:color w:val="auto"/>
                <w:sz w:val="21"/>
                <w:szCs w:val="21"/>
                <w:lang w:val="en-US" w:eastAsia="zh-CN"/>
              </w:rPr>
            </w:pPr>
            <w:r>
              <w:rPr>
                <w:rFonts w:hint="eastAsia"/>
                <w:color w:val="auto"/>
                <w:sz w:val="21"/>
                <w:szCs w:val="21"/>
              </w:rPr>
              <w:t>在原有基础上进一步深化改造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pStyle w:val="8"/>
              <w:spacing w:line="312" w:lineRule="auto"/>
              <w:ind w:firstLine="0" w:firstLineChars="0"/>
              <w:jc w:val="center"/>
              <w:rPr>
                <w:rFonts w:hint="eastAsia" w:ascii="Times New Roman" w:hAnsi="Times New Roman" w:eastAsia="宋体" w:cstheme="minorBidi"/>
                <w:color w:val="auto"/>
                <w:kern w:val="2"/>
                <w:sz w:val="21"/>
                <w:szCs w:val="21"/>
                <w:lang w:val="en-US" w:eastAsia="zh-CN" w:bidi="ar-SA"/>
              </w:rPr>
            </w:pPr>
            <w:r>
              <w:rPr>
                <w:rFonts w:hint="eastAsia"/>
                <w:color w:val="auto"/>
                <w:sz w:val="21"/>
                <w:szCs w:val="21"/>
              </w:rPr>
              <w:t>龙岗区</w:t>
            </w:r>
          </w:p>
        </w:tc>
        <w:tc>
          <w:tcPr>
            <w:tcW w:w="1134" w:type="dxa"/>
            <w:vAlign w:val="center"/>
          </w:tcPr>
          <w:p>
            <w:pPr>
              <w:pStyle w:val="8"/>
              <w:spacing w:line="312" w:lineRule="auto"/>
              <w:ind w:firstLine="0" w:firstLineChars="0"/>
              <w:jc w:val="center"/>
              <w:rPr>
                <w:rFonts w:hint="eastAsia" w:ascii="Times New Roman" w:hAnsi="Times New Roman" w:eastAsia="宋体" w:cstheme="minorBidi"/>
                <w:color w:val="auto"/>
                <w:kern w:val="2"/>
                <w:sz w:val="21"/>
                <w:szCs w:val="21"/>
                <w:lang w:val="en-US" w:eastAsia="zh-CN" w:bidi="ar-SA"/>
              </w:rPr>
            </w:pPr>
            <w:r>
              <w:rPr>
                <w:rFonts w:hint="eastAsia"/>
                <w:color w:val="auto"/>
                <w:sz w:val="21"/>
                <w:szCs w:val="21"/>
                <w:lang w:val="en-US" w:eastAsia="zh-CN"/>
              </w:rPr>
              <w:t>5</w:t>
            </w:r>
          </w:p>
        </w:tc>
        <w:tc>
          <w:tcPr>
            <w:tcW w:w="2552" w:type="dxa"/>
            <w:vAlign w:val="center"/>
          </w:tcPr>
          <w:p>
            <w:pPr>
              <w:pStyle w:val="8"/>
              <w:spacing w:line="312" w:lineRule="auto"/>
              <w:ind w:firstLine="0" w:firstLineChars="0"/>
              <w:jc w:val="center"/>
              <w:rPr>
                <w:rFonts w:hint="eastAsia"/>
                <w:color w:val="auto"/>
                <w:sz w:val="21"/>
                <w:szCs w:val="21"/>
                <w:lang w:val="en-US" w:eastAsia="zh-CN"/>
              </w:rPr>
            </w:pPr>
            <w:r>
              <w:rPr>
                <w:rFonts w:hint="eastAsia"/>
                <w:color w:val="auto"/>
                <w:sz w:val="21"/>
                <w:szCs w:val="21"/>
              </w:rPr>
              <w:t>南岭村</w:t>
            </w:r>
          </w:p>
        </w:tc>
        <w:tc>
          <w:tcPr>
            <w:tcW w:w="4548" w:type="dxa"/>
            <w:vAlign w:val="center"/>
          </w:tcPr>
          <w:p>
            <w:pPr>
              <w:pStyle w:val="8"/>
              <w:spacing w:line="312" w:lineRule="auto"/>
              <w:ind w:firstLine="0" w:firstLineChars="0"/>
              <w:jc w:val="center"/>
              <w:rPr>
                <w:rFonts w:hint="eastAsia"/>
                <w:color w:val="auto"/>
                <w:sz w:val="21"/>
                <w:szCs w:val="21"/>
                <w:lang w:val="en-US" w:eastAsia="zh-CN"/>
              </w:rPr>
            </w:pPr>
            <w:r>
              <w:rPr>
                <w:rFonts w:hint="eastAsia"/>
                <w:color w:val="auto"/>
                <w:sz w:val="21"/>
                <w:szCs w:val="21"/>
              </w:rPr>
              <w:t>村委办公楼改造——村史馆修建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pStyle w:val="8"/>
              <w:spacing w:line="312" w:lineRule="auto"/>
              <w:ind w:firstLine="0" w:firstLineChars="0"/>
              <w:jc w:val="center"/>
              <w:rPr>
                <w:rFonts w:hint="eastAsia" w:ascii="Times New Roman" w:hAnsi="Times New Roman" w:eastAsia="宋体" w:cstheme="minorBidi"/>
                <w:color w:val="auto"/>
                <w:kern w:val="2"/>
                <w:sz w:val="21"/>
                <w:szCs w:val="21"/>
                <w:lang w:val="en-US" w:eastAsia="zh-CN" w:bidi="ar-SA"/>
              </w:rPr>
            </w:pPr>
            <w:r>
              <w:rPr>
                <w:rFonts w:hint="eastAsia"/>
                <w:color w:val="auto"/>
                <w:sz w:val="21"/>
                <w:szCs w:val="21"/>
              </w:rPr>
              <w:t>大鹏新区</w:t>
            </w:r>
          </w:p>
        </w:tc>
        <w:tc>
          <w:tcPr>
            <w:tcW w:w="1134" w:type="dxa"/>
            <w:vAlign w:val="center"/>
          </w:tcPr>
          <w:p>
            <w:pPr>
              <w:pStyle w:val="8"/>
              <w:spacing w:line="312" w:lineRule="auto"/>
              <w:ind w:firstLine="0" w:firstLineChars="0"/>
              <w:jc w:val="center"/>
              <w:rPr>
                <w:rFonts w:hint="eastAsia" w:ascii="Times New Roman" w:hAnsi="Times New Roman" w:eastAsia="宋体" w:cstheme="minorBidi"/>
                <w:color w:val="auto"/>
                <w:kern w:val="2"/>
                <w:sz w:val="21"/>
                <w:szCs w:val="21"/>
                <w:lang w:val="en-US" w:eastAsia="zh-CN" w:bidi="ar-SA"/>
              </w:rPr>
            </w:pPr>
            <w:r>
              <w:rPr>
                <w:rFonts w:hint="eastAsia"/>
                <w:color w:val="auto"/>
                <w:sz w:val="21"/>
                <w:szCs w:val="21"/>
                <w:lang w:val="en-US" w:eastAsia="zh-CN"/>
              </w:rPr>
              <w:t>6</w:t>
            </w:r>
          </w:p>
        </w:tc>
        <w:tc>
          <w:tcPr>
            <w:tcW w:w="2552" w:type="dxa"/>
            <w:vAlign w:val="center"/>
          </w:tcPr>
          <w:p>
            <w:pPr>
              <w:pStyle w:val="8"/>
              <w:spacing w:line="312" w:lineRule="auto"/>
              <w:ind w:firstLine="0" w:firstLineChars="0"/>
              <w:jc w:val="center"/>
              <w:rPr>
                <w:rFonts w:hint="eastAsia"/>
                <w:color w:val="auto"/>
                <w:sz w:val="21"/>
                <w:szCs w:val="21"/>
                <w:lang w:val="en-US" w:eastAsia="zh-CN"/>
              </w:rPr>
            </w:pPr>
            <w:r>
              <w:rPr>
                <w:rFonts w:hint="eastAsia"/>
                <w:color w:val="auto"/>
                <w:sz w:val="21"/>
                <w:szCs w:val="21"/>
              </w:rPr>
              <w:t>艺象ID town（原鸿华印染厂）</w:t>
            </w:r>
          </w:p>
        </w:tc>
        <w:tc>
          <w:tcPr>
            <w:tcW w:w="4548" w:type="dxa"/>
            <w:vAlign w:val="center"/>
          </w:tcPr>
          <w:p>
            <w:pPr>
              <w:pStyle w:val="8"/>
              <w:spacing w:line="312" w:lineRule="auto"/>
              <w:ind w:firstLine="0" w:firstLineChars="0"/>
              <w:jc w:val="center"/>
              <w:rPr>
                <w:rFonts w:hint="eastAsia"/>
                <w:color w:val="auto"/>
                <w:sz w:val="21"/>
                <w:szCs w:val="21"/>
                <w:lang w:val="en-US" w:eastAsia="zh-CN"/>
              </w:rPr>
            </w:pPr>
            <w:r>
              <w:rPr>
                <w:rFonts w:hint="eastAsia"/>
                <w:color w:val="auto"/>
                <w:sz w:val="21"/>
                <w:szCs w:val="21"/>
              </w:rPr>
              <w:t>改革开放相关小品和设施改造</w:t>
            </w:r>
          </w:p>
        </w:tc>
      </w:tr>
    </w:tbl>
    <w:p>
      <w:pPr>
        <w:pStyle w:val="3"/>
        <w:rPr>
          <w:color w:val="auto"/>
        </w:rPr>
      </w:pPr>
      <w:r>
        <w:rPr>
          <w:color w:val="auto"/>
        </w:rPr>
        <w:t>8.3</w:t>
      </w:r>
      <w:r>
        <w:rPr>
          <w:rFonts w:hint="eastAsia"/>
          <w:color w:val="auto"/>
        </w:rPr>
        <w:t>远期（</w:t>
      </w:r>
      <w:r>
        <w:rPr>
          <w:color w:val="auto"/>
        </w:rPr>
        <w:t>2033-2035</w:t>
      </w:r>
      <w:r>
        <w:rPr>
          <w:rFonts w:hint="eastAsia"/>
          <w:color w:val="auto"/>
        </w:rPr>
        <w:t>年）工作</w:t>
      </w:r>
      <w:bookmarkEnd w:id="294"/>
      <w:bookmarkEnd w:id="295"/>
      <w:bookmarkEnd w:id="296"/>
      <w:bookmarkEnd w:id="297"/>
      <w:bookmarkEnd w:id="298"/>
      <w:bookmarkEnd w:id="299"/>
      <w:bookmarkEnd w:id="300"/>
      <w:bookmarkEnd w:id="301"/>
      <w:bookmarkEnd w:id="302"/>
      <w:r>
        <w:rPr>
          <w:color w:val="auto"/>
        </w:rPr>
        <w:tab/>
      </w:r>
    </w:p>
    <w:p>
      <w:pPr>
        <w:pStyle w:val="8"/>
        <w:rPr>
          <w:color w:val="auto"/>
        </w:rPr>
      </w:pPr>
      <w:r>
        <w:rPr>
          <w:rFonts w:hint="eastAsia"/>
          <w:color w:val="auto"/>
        </w:rPr>
        <w:t>远期根据改革开放史迹点构成深圳改革开放历史文化特色谱系，实现改革开放史迹点网络的全面构成。</w:t>
      </w:r>
    </w:p>
    <w:p>
      <w:pPr>
        <w:pStyle w:val="8"/>
        <w:rPr>
          <w:color w:val="auto"/>
        </w:rPr>
      </w:pPr>
      <w:r>
        <w:rPr>
          <w:color w:val="auto"/>
        </w:rPr>
        <w:t>全面完成改革开放重要史迹本体保护利用工作。</w:t>
      </w:r>
    </w:p>
    <w:p>
      <w:pPr>
        <w:pStyle w:val="8"/>
        <w:rPr>
          <w:color w:val="auto"/>
        </w:rPr>
      </w:pPr>
      <w:r>
        <w:rPr>
          <w:color w:val="auto"/>
        </w:rPr>
        <w:t>全面完成改革开放重要史迹及非重点史迹展示利用工作，形成集中片区保护展示利用网络。</w:t>
      </w:r>
    </w:p>
    <w:p>
      <w:pPr>
        <w:pStyle w:val="8"/>
        <w:rPr>
          <w:color w:val="auto"/>
        </w:rPr>
      </w:pPr>
      <w:r>
        <w:rPr>
          <w:color w:val="auto"/>
        </w:rPr>
        <w:t>不断完善、维护、更新改革开放史迹及相关线路展示利用体系建设工作。</w:t>
      </w:r>
    </w:p>
    <w:p>
      <w:pPr>
        <w:pStyle w:val="3"/>
        <w:rPr>
          <w:color w:val="auto"/>
        </w:rPr>
      </w:pPr>
      <w:bookmarkStart w:id="303" w:name="_Toc81838560"/>
      <w:bookmarkStart w:id="304" w:name="_Toc6883"/>
      <w:bookmarkStart w:id="305" w:name="_Toc12544"/>
      <w:bookmarkStart w:id="306" w:name="_Toc19871"/>
      <w:bookmarkStart w:id="307" w:name="_Toc1141631791"/>
      <w:bookmarkStart w:id="308" w:name="_Toc13262"/>
      <w:bookmarkStart w:id="309" w:name="_Toc20273"/>
      <w:bookmarkStart w:id="310" w:name="_Toc114072212"/>
      <w:bookmarkStart w:id="311" w:name="_Toc13350"/>
      <w:r>
        <w:rPr>
          <w:color w:val="auto"/>
        </w:rPr>
        <w:t>8.4</w:t>
      </w:r>
      <w:r>
        <w:rPr>
          <w:rFonts w:hint="eastAsia"/>
          <w:color w:val="auto"/>
        </w:rPr>
        <w:t>经费估算</w:t>
      </w:r>
      <w:bookmarkEnd w:id="303"/>
      <w:bookmarkEnd w:id="304"/>
      <w:bookmarkEnd w:id="305"/>
      <w:bookmarkEnd w:id="306"/>
      <w:bookmarkEnd w:id="307"/>
      <w:bookmarkEnd w:id="308"/>
      <w:bookmarkEnd w:id="309"/>
      <w:bookmarkEnd w:id="310"/>
      <w:bookmarkEnd w:id="311"/>
    </w:p>
    <w:p>
      <w:pPr>
        <w:pStyle w:val="4"/>
        <w:rPr>
          <w:color w:val="auto"/>
        </w:rPr>
      </w:pPr>
      <w:r>
        <w:rPr>
          <w:color w:val="auto"/>
        </w:rPr>
        <w:t>8.4.1 估算依据</w:t>
      </w:r>
    </w:p>
    <w:p>
      <w:pPr>
        <w:pStyle w:val="8"/>
        <w:rPr>
          <w:color w:val="auto"/>
        </w:rPr>
      </w:pPr>
      <w:r>
        <w:rPr>
          <w:color w:val="auto"/>
        </w:rPr>
        <w:t>本规划估算所涉及的改革开放重要史迹保护利用费用均采用政府提供数据；其他各类配套工程项目的估算参照相关规范定额和文物保护工程项目投资额调整制定，各类咨询金额参照《建设项目前期工作咨询收费暂行规定》。</w:t>
      </w:r>
    </w:p>
    <w:p>
      <w:pPr>
        <w:pStyle w:val="4"/>
        <w:rPr>
          <w:color w:val="auto"/>
        </w:rPr>
      </w:pPr>
      <w:r>
        <w:rPr>
          <w:color w:val="auto"/>
        </w:rPr>
        <w:t>8.4.2 估算说明</w:t>
      </w:r>
    </w:p>
    <w:p>
      <w:pPr>
        <w:pStyle w:val="8"/>
        <w:rPr>
          <w:color w:val="auto"/>
        </w:rPr>
      </w:pPr>
      <w:r>
        <w:rPr>
          <w:color w:val="auto"/>
        </w:rPr>
        <w:t>深圳改革开放重要史迹保护利用战略规划估算以近期、中期规划项目为主；</w:t>
      </w:r>
      <w:r>
        <w:rPr>
          <w:rFonts w:hint="eastAsia"/>
          <w:color w:val="auto"/>
        </w:rPr>
        <w:t>文旅融合等</w:t>
      </w:r>
      <w:r>
        <w:rPr>
          <w:color w:val="auto"/>
        </w:rPr>
        <w:t>部分项目有待专项具体规划及工程项目阶段性落实</w:t>
      </w:r>
      <w:r>
        <w:rPr>
          <w:rFonts w:hint="eastAsia"/>
          <w:color w:val="auto"/>
        </w:rPr>
        <w:t>时再行估算</w:t>
      </w:r>
      <w:r>
        <w:rPr>
          <w:color w:val="auto"/>
        </w:rPr>
        <w:t>。</w:t>
      </w:r>
    </w:p>
    <w:p>
      <w:pPr>
        <w:pStyle w:val="8"/>
        <w:rPr>
          <w:color w:val="auto"/>
        </w:rPr>
      </w:pPr>
      <w:r>
        <w:rPr>
          <w:color w:val="auto"/>
        </w:rPr>
        <w:t>鉴于重要史迹保护利用工程中各项目实际工程量不确定因素较多，规划估算所列项目工程量和估算单价包含管理、设计等费用，</w:t>
      </w:r>
      <w:r>
        <w:rPr>
          <w:rFonts w:hint="eastAsia"/>
          <w:color w:val="auto"/>
        </w:rPr>
        <w:t>后续</w:t>
      </w:r>
      <w:r>
        <w:rPr>
          <w:color w:val="auto"/>
        </w:rPr>
        <w:t>各项目经费核算均</w:t>
      </w:r>
      <w:r>
        <w:rPr>
          <w:rFonts w:hint="eastAsia"/>
          <w:color w:val="auto"/>
        </w:rPr>
        <w:t>应</w:t>
      </w:r>
      <w:r>
        <w:rPr>
          <w:color w:val="auto"/>
        </w:rPr>
        <w:t>以实际工程设计发生量为准，按照法规程序报相关部门审批通过后方可执行。</w:t>
      </w:r>
    </w:p>
    <w:p>
      <w:pPr>
        <w:pStyle w:val="4"/>
        <w:rPr>
          <w:color w:val="auto"/>
        </w:rPr>
      </w:pPr>
      <w:r>
        <w:rPr>
          <w:color w:val="auto"/>
        </w:rPr>
        <w:t>8.4.3 投资估算</w:t>
      </w:r>
    </w:p>
    <w:p>
      <w:pPr>
        <w:pStyle w:val="8"/>
        <w:rPr>
          <w:color w:val="auto"/>
        </w:rPr>
      </w:pPr>
      <w:r>
        <w:rPr>
          <w:rFonts w:hint="eastAsia"/>
          <w:color w:val="auto"/>
        </w:rPr>
        <w:t>本规划将规划项目分为重要史迹本体保护利用项目、集中片区保护展示利用项目、配套设施建设项目、环境整治项目。对四类项目</w:t>
      </w:r>
      <w:r>
        <w:rPr>
          <w:color w:val="auto"/>
        </w:rPr>
        <w:t>所需经费进行估算，投资估算总额为45190万元（近期：11150万；中期34040万）。</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276"/>
        <w:gridCol w:w="2835"/>
        <w:gridCol w:w="1701"/>
        <w:gridCol w:w="1276"/>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shd w:val="clear" w:color="auto" w:fill="D8D8D8" w:themeFill="background1" w:themeFillShade="D9"/>
            <w:vAlign w:val="center"/>
          </w:tcPr>
          <w:p>
            <w:pPr>
              <w:pStyle w:val="8"/>
              <w:spacing w:line="312" w:lineRule="auto"/>
              <w:ind w:firstLine="0" w:firstLineChars="0"/>
              <w:jc w:val="center"/>
              <w:rPr>
                <w:b/>
                <w:color w:val="auto"/>
                <w:sz w:val="21"/>
                <w:szCs w:val="21"/>
              </w:rPr>
            </w:pPr>
            <w:r>
              <w:rPr>
                <w:rFonts w:hint="eastAsia"/>
                <w:b/>
                <w:color w:val="auto"/>
                <w:sz w:val="21"/>
                <w:szCs w:val="21"/>
              </w:rPr>
              <w:t>实施分期</w:t>
            </w:r>
          </w:p>
        </w:tc>
        <w:tc>
          <w:tcPr>
            <w:tcW w:w="1276" w:type="dxa"/>
            <w:shd w:val="clear" w:color="auto" w:fill="D8D8D8" w:themeFill="background1" w:themeFillShade="D9"/>
            <w:vAlign w:val="center"/>
          </w:tcPr>
          <w:p>
            <w:pPr>
              <w:pStyle w:val="8"/>
              <w:spacing w:line="312" w:lineRule="auto"/>
              <w:ind w:firstLine="0" w:firstLineChars="0"/>
              <w:jc w:val="center"/>
              <w:rPr>
                <w:b/>
                <w:color w:val="auto"/>
                <w:sz w:val="21"/>
                <w:szCs w:val="21"/>
              </w:rPr>
            </w:pPr>
            <w:r>
              <w:rPr>
                <w:rFonts w:hint="eastAsia"/>
                <w:b/>
                <w:color w:val="auto"/>
                <w:sz w:val="21"/>
                <w:szCs w:val="21"/>
              </w:rPr>
              <w:t>区位</w:t>
            </w:r>
          </w:p>
        </w:tc>
        <w:tc>
          <w:tcPr>
            <w:tcW w:w="2835" w:type="dxa"/>
            <w:shd w:val="clear" w:color="auto" w:fill="D8D8D8" w:themeFill="background1" w:themeFillShade="D9"/>
            <w:vAlign w:val="center"/>
          </w:tcPr>
          <w:p>
            <w:pPr>
              <w:pStyle w:val="8"/>
              <w:spacing w:line="312" w:lineRule="auto"/>
              <w:ind w:firstLine="0" w:firstLineChars="0"/>
              <w:jc w:val="center"/>
              <w:rPr>
                <w:b/>
                <w:color w:val="auto"/>
                <w:sz w:val="21"/>
                <w:szCs w:val="21"/>
              </w:rPr>
            </w:pPr>
            <w:r>
              <w:rPr>
                <w:rFonts w:hint="eastAsia"/>
                <w:b/>
                <w:color w:val="auto"/>
                <w:sz w:val="21"/>
                <w:szCs w:val="21"/>
              </w:rPr>
              <w:t>项目名称</w:t>
            </w:r>
          </w:p>
        </w:tc>
        <w:tc>
          <w:tcPr>
            <w:tcW w:w="1701" w:type="dxa"/>
            <w:shd w:val="clear" w:color="auto" w:fill="D8D8D8" w:themeFill="background1" w:themeFillShade="D9"/>
            <w:vAlign w:val="center"/>
          </w:tcPr>
          <w:p>
            <w:pPr>
              <w:pStyle w:val="8"/>
              <w:spacing w:line="312" w:lineRule="auto"/>
              <w:ind w:firstLine="0" w:firstLineChars="0"/>
              <w:jc w:val="center"/>
              <w:rPr>
                <w:b/>
                <w:color w:val="auto"/>
                <w:sz w:val="21"/>
                <w:szCs w:val="21"/>
              </w:rPr>
            </w:pPr>
            <w:r>
              <w:rPr>
                <w:rFonts w:hint="eastAsia"/>
                <w:b/>
                <w:color w:val="auto"/>
                <w:sz w:val="21"/>
                <w:szCs w:val="21"/>
              </w:rPr>
              <w:t>单位</w:t>
            </w:r>
          </w:p>
        </w:tc>
        <w:tc>
          <w:tcPr>
            <w:tcW w:w="1276" w:type="dxa"/>
            <w:shd w:val="clear" w:color="auto" w:fill="D8D8D8" w:themeFill="background1" w:themeFillShade="D9"/>
            <w:vAlign w:val="center"/>
          </w:tcPr>
          <w:p>
            <w:pPr>
              <w:pStyle w:val="8"/>
              <w:spacing w:line="312" w:lineRule="auto"/>
              <w:ind w:firstLine="0" w:firstLineChars="0"/>
              <w:jc w:val="center"/>
              <w:rPr>
                <w:b/>
                <w:color w:val="auto"/>
                <w:sz w:val="21"/>
                <w:szCs w:val="21"/>
              </w:rPr>
            </w:pPr>
            <w:r>
              <w:rPr>
                <w:rFonts w:hint="eastAsia"/>
                <w:b/>
                <w:color w:val="auto"/>
                <w:sz w:val="21"/>
                <w:szCs w:val="21"/>
              </w:rPr>
              <w:t>单价</w:t>
            </w:r>
          </w:p>
        </w:tc>
        <w:tc>
          <w:tcPr>
            <w:tcW w:w="1559" w:type="dxa"/>
            <w:shd w:val="clear" w:color="auto" w:fill="D8D8D8" w:themeFill="background1" w:themeFillShade="D9"/>
            <w:vAlign w:val="center"/>
          </w:tcPr>
          <w:p>
            <w:pPr>
              <w:pStyle w:val="8"/>
              <w:spacing w:line="312" w:lineRule="auto"/>
              <w:ind w:firstLine="0" w:firstLineChars="0"/>
              <w:jc w:val="center"/>
              <w:rPr>
                <w:b/>
                <w:color w:val="auto"/>
                <w:sz w:val="21"/>
                <w:szCs w:val="21"/>
              </w:rPr>
            </w:pPr>
            <w:r>
              <w:rPr>
                <w:rFonts w:hint="eastAsia"/>
                <w:b/>
                <w:color w:val="auto"/>
                <w:sz w:val="21"/>
                <w:szCs w:val="21"/>
              </w:rPr>
              <w:t>投资额</w:t>
            </w:r>
          </w:p>
          <w:p>
            <w:pPr>
              <w:pStyle w:val="8"/>
              <w:spacing w:line="312" w:lineRule="auto"/>
              <w:ind w:firstLine="0" w:firstLineChars="0"/>
              <w:jc w:val="center"/>
              <w:rPr>
                <w:b/>
                <w:color w:val="auto"/>
                <w:sz w:val="21"/>
                <w:szCs w:val="21"/>
              </w:rPr>
            </w:pPr>
            <w:r>
              <w:rPr>
                <w:rFonts w:hint="eastAsia"/>
                <w:b/>
                <w:color w:val="auto"/>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pStyle w:val="8"/>
              <w:spacing w:line="312" w:lineRule="auto"/>
              <w:ind w:firstLine="0" w:firstLineChars="0"/>
              <w:jc w:val="center"/>
              <w:rPr>
                <w:color w:val="auto"/>
                <w:sz w:val="21"/>
                <w:szCs w:val="21"/>
              </w:rPr>
            </w:pPr>
            <w:r>
              <w:rPr>
                <w:rFonts w:hint="eastAsia"/>
                <w:color w:val="auto"/>
                <w:sz w:val="21"/>
                <w:szCs w:val="21"/>
              </w:rPr>
              <w:t>近期</w:t>
            </w:r>
          </w:p>
        </w:tc>
        <w:tc>
          <w:tcPr>
            <w:tcW w:w="1276" w:type="dxa"/>
            <w:vMerge w:val="restart"/>
            <w:vAlign w:val="center"/>
          </w:tcPr>
          <w:p>
            <w:pPr>
              <w:pStyle w:val="8"/>
              <w:spacing w:line="312" w:lineRule="auto"/>
              <w:ind w:firstLine="0" w:firstLineChars="0"/>
              <w:jc w:val="center"/>
              <w:rPr>
                <w:color w:val="auto"/>
                <w:sz w:val="21"/>
                <w:szCs w:val="21"/>
              </w:rPr>
            </w:pPr>
            <w:r>
              <w:rPr>
                <w:rFonts w:hint="eastAsia"/>
                <w:color w:val="auto"/>
                <w:sz w:val="21"/>
                <w:szCs w:val="21"/>
              </w:rPr>
              <w:t>南山区</w:t>
            </w:r>
          </w:p>
        </w:tc>
        <w:tc>
          <w:tcPr>
            <w:tcW w:w="2835" w:type="dxa"/>
            <w:vAlign w:val="center"/>
          </w:tcPr>
          <w:p>
            <w:pPr>
              <w:pStyle w:val="8"/>
              <w:spacing w:line="312" w:lineRule="auto"/>
              <w:ind w:firstLine="0" w:firstLineChars="0"/>
              <w:rPr>
                <w:color w:val="auto"/>
                <w:sz w:val="21"/>
                <w:szCs w:val="21"/>
              </w:rPr>
            </w:pPr>
            <w:r>
              <w:rPr>
                <w:rFonts w:hint="eastAsia"/>
                <w:color w:val="auto"/>
                <w:sz w:val="21"/>
                <w:szCs w:val="21"/>
              </w:rPr>
              <w:t>大成面粉厂工业创意园区改造</w:t>
            </w:r>
          </w:p>
        </w:tc>
        <w:tc>
          <w:tcPr>
            <w:tcW w:w="1701" w:type="dxa"/>
            <w:vAlign w:val="center"/>
          </w:tcPr>
          <w:p>
            <w:pPr>
              <w:pStyle w:val="8"/>
              <w:spacing w:line="312" w:lineRule="auto"/>
              <w:ind w:firstLine="0" w:firstLineChars="0"/>
              <w:rPr>
                <w:color w:val="auto"/>
                <w:sz w:val="21"/>
                <w:szCs w:val="21"/>
              </w:rPr>
            </w:pPr>
            <w:r>
              <w:rPr>
                <w:rFonts w:hint="eastAsia"/>
                <w:color w:val="auto"/>
                <w:sz w:val="21"/>
                <w:szCs w:val="21"/>
              </w:rPr>
              <w:t>3</w:t>
            </w:r>
            <w:r>
              <w:rPr>
                <w:color w:val="auto"/>
                <w:sz w:val="21"/>
                <w:szCs w:val="21"/>
              </w:rPr>
              <w:t>3000</w:t>
            </w:r>
            <w:r>
              <w:rPr>
                <w:rFonts w:hint="eastAsia"/>
                <w:color w:val="auto"/>
                <w:sz w:val="21"/>
                <w:szCs w:val="21"/>
              </w:rPr>
              <w:t>㎡</w:t>
            </w:r>
          </w:p>
        </w:tc>
        <w:tc>
          <w:tcPr>
            <w:tcW w:w="1276" w:type="dxa"/>
            <w:vAlign w:val="center"/>
          </w:tcPr>
          <w:p>
            <w:pPr>
              <w:pStyle w:val="8"/>
              <w:spacing w:line="312" w:lineRule="auto"/>
              <w:ind w:firstLine="0" w:firstLineChars="0"/>
              <w:rPr>
                <w:color w:val="auto"/>
                <w:sz w:val="21"/>
                <w:szCs w:val="21"/>
              </w:rPr>
            </w:pPr>
            <w:r>
              <w:rPr>
                <w:rFonts w:hint="eastAsia"/>
                <w:color w:val="auto"/>
                <w:sz w:val="21"/>
                <w:szCs w:val="21"/>
              </w:rPr>
              <w:t>5</w:t>
            </w:r>
            <w:r>
              <w:rPr>
                <w:color w:val="auto"/>
                <w:sz w:val="21"/>
                <w:szCs w:val="21"/>
              </w:rPr>
              <w:t>000</w:t>
            </w:r>
            <w:r>
              <w:rPr>
                <w:rFonts w:hint="eastAsia"/>
                <w:color w:val="auto"/>
                <w:sz w:val="21"/>
                <w:szCs w:val="21"/>
              </w:rPr>
              <w:t>元/㎡</w:t>
            </w:r>
          </w:p>
        </w:tc>
        <w:tc>
          <w:tcPr>
            <w:tcW w:w="1559" w:type="dxa"/>
            <w:vAlign w:val="center"/>
          </w:tcPr>
          <w:p>
            <w:pPr>
              <w:pStyle w:val="8"/>
              <w:spacing w:line="312" w:lineRule="auto"/>
              <w:ind w:firstLine="0" w:firstLineChars="0"/>
              <w:rPr>
                <w:color w:val="auto"/>
                <w:sz w:val="21"/>
                <w:szCs w:val="21"/>
              </w:rPr>
            </w:pPr>
            <w:r>
              <w:rPr>
                <w:rFonts w:hint="eastAsia"/>
                <w:color w:val="auto"/>
                <w:sz w:val="21"/>
                <w:szCs w:val="21"/>
              </w:rPr>
              <w:t>1</w:t>
            </w:r>
            <w:r>
              <w:rPr>
                <w:color w:val="auto"/>
                <w:sz w:val="21"/>
                <w:szCs w:val="21"/>
              </w:rPr>
              <w:t>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8"/>
              <w:spacing w:line="312" w:lineRule="auto"/>
              <w:ind w:firstLine="0" w:firstLineChars="0"/>
              <w:jc w:val="center"/>
              <w:rPr>
                <w:color w:val="auto"/>
                <w:sz w:val="21"/>
                <w:szCs w:val="21"/>
              </w:rPr>
            </w:pPr>
          </w:p>
        </w:tc>
        <w:tc>
          <w:tcPr>
            <w:tcW w:w="1276" w:type="dxa"/>
            <w:vMerge w:val="continue"/>
            <w:vAlign w:val="center"/>
          </w:tcPr>
          <w:p>
            <w:pPr>
              <w:pStyle w:val="8"/>
              <w:spacing w:line="312" w:lineRule="auto"/>
              <w:ind w:firstLine="0" w:firstLineChars="0"/>
              <w:jc w:val="center"/>
              <w:rPr>
                <w:color w:val="auto"/>
                <w:sz w:val="21"/>
                <w:szCs w:val="21"/>
              </w:rPr>
            </w:pPr>
          </w:p>
        </w:tc>
        <w:tc>
          <w:tcPr>
            <w:tcW w:w="2835" w:type="dxa"/>
            <w:vAlign w:val="center"/>
          </w:tcPr>
          <w:p>
            <w:pPr>
              <w:pStyle w:val="8"/>
              <w:spacing w:line="312" w:lineRule="auto"/>
              <w:ind w:firstLine="0" w:firstLineChars="0"/>
              <w:rPr>
                <w:color w:val="auto"/>
                <w:sz w:val="21"/>
                <w:szCs w:val="21"/>
              </w:rPr>
            </w:pPr>
            <w:r>
              <w:rPr>
                <w:rFonts w:hint="eastAsia"/>
                <w:color w:val="auto"/>
                <w:sz w:val="21"/>
                <w:szCs w:val="21"/>
              </w:rPr>
              <w:t>二线关同乐检查站改革开放纪念馆改造</w:t>
            </w:r>
          </w:p>
        </w:tc>
        <w:tc>
          <w:tcPr>
            <w:tcW w:w="1701" w:type="dxa"/>
            <w:vAlign w:val="center"/>
          </w:tcPr>
          <w:p>
            <w:pPr>
              <w:pStyle w:val="8"/>
              <w:spacing w:line="312" w:lineRule="auto"/>
              <w:ind w:firstLine="0" w:firstLineChars="0"/>
              <w:rPr>
                <w:color w:val="auto"/>
                <w:sz w:val="21"/>
                <w:szCs w:val="21"/>
              </w:rPr>
            </w:pPr>
            <w:r>
              <w:rPr>
                <w:rFonts w:hint="eastAsia"/>
                <w:color w:val="auto"/>
                <w:sz w:val="21"/>
                <w:szCs w:val="21"/>
              </w:rPr>
              <w:t>20</w:t>
            </w:r>
            <w:r>
              <w:rPr>
                <w:color w:val="auto"/>
                <w:sz w:val="21"/>
                <w:szCs w:val="21"/>
              </w:rPr>
              <w:t>000</w:t>
            </w:r>
            <w:r>
              <w:rPr>
                <w:rFonts w:hint="eastAsia"/>
                <w:color w:val="auto"/>
                <w:sz w:val="21"/>
                <w:szCs w:val="21"/>
              </w:rPr>
              <w:t>㎡</w:t>
            </w:r>
          </w:p>
        </w:tc>
        <w:tc>
          <w:tcPr>
            <w:tcW w:w="1276" w:type="dxa"/>
            <w:vAlign w:val="center"/>
          </w:tcPr>
          <w:p>
            <w:pPr>
              <w:pStyle w:val="8"/>
              <w:spacing w:line="312" w:lineRule="auto"/>
              <w:ind w:firstLine="0" w:firstLineChars="0"/>
              <w:rPr>
                <w:color w:val="auto"/>
                <w:sz w:val="21"/>
                <w:szCs w:val="21"/>
              </w:rPr>
            </w:pPr>
            <w:r>
              <w:rPr>
                <w:rFonts w:hint="eastAsia"/>
                <w:color w:val="auto"/>
                <w:sz w:val="21"/>
                <w:szCs w:val="21"/>
              </w:rPr>
              <w:t>5</w:t>
            </w:r>
            <w:r>
              <w:rPr>
                <w:color w:val="auto"/>
                <w:sz w:val="21"/>
                <w:szCs w:val="21"/>
              </w:rPr>
              <w:t>000</w:t>
            </w:r>
            <w:r>
              <w:rPr>
                <w:rFonts w:hint="eastAsia"/>
                <w:color w:val="auto"/>
                <w:sz w:val="21"/>
                <w:szCs w:val="21"/>
              </w:rPr>
              <w:t>元/㎡</w:t>
            </w:r>
          </w:p>
        </w:tc>
        <w:tc>
          <w:tcPr>
            <w:tcW w:w="1559" w:type="dxa"/>
            <w:vAlign w:val="center"/>
          </w:tcPr>
          <w:p>
            <w:pPr>
              <w:pStyle w:val="8"/>
              <w:spacing w:line="312" w:lineRule="auto"/>
              <w:ind w:firstLine="0" w:firstLineChars="0"/>
              <w:rPr>
                <w:color w:val="auto"/>
                <w:sz w:val="21"/>
                <w:szCs w:val="21"/>
              </w:rPr>
            </w:pPr>
            <w:r>
              <w:rPr>
                <w:rFonts w:hint="eastAsia"/>
                <w:color w:val="auto"/>
                <w:sz w:val="21"/>
                <w:szCs w:val="21"/>
              </w:rPr>
              <w:t>1</w:t>
            </w:r>
            <w:r>
              <w:rPr>
                <w:color w:val="auto"/>
                <w:sz w:val="21"/>
                <w:szCs w:val="21"/>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8"/>
              <w:spacing w:line="312" w:lineRule="auto"/>
              <w:ind w:firstLine="0" w:firstLineChars="0"/>
              <w:jc w:val="center"/>
              <w:rPr>
                <w:color w:val="auto"/>
                <w:sz w:val="21"/>
                <w:szCs w:val="21"/>
              </w:rPr>
            </w:pPr>
          </w:p>
        </w:tc>
        <w:tc>
          <w:tcPr>
            <w:tcW w:w="1276" w:type="dxa"/>
            <w:vMerge w:val="continue"/>
            <w:vAlign w:val="center"/>
          </w:tcPr>
          <w:p>
            <w:pPr>
              <w:pStyle w:val="8"/>
              <w:spacing w:line="312" w:lineRule="auto"/>
              <w:ind w:firstLine="0" w:firstLineChars="0"/>
              <w:jc w:val="center"/>
              <w:rPr>
                <w:color w:val="auto"/>
                <w:sz w:val="21"/>
                <w:szCs w:val="21"/>
              </w:rPr>
            </w:pPr>
          </w:p>
        </w:tc>
        <w:tc>
          <w:tcPr>
            <w:tcW w:w="2835" w:type="dxa"/>
            <w:vAlign w:val="center"/>
          </w:tcPr>
          <w:p>
            <w:pPr>
              <w:pStyle w:val="8"/>
              <w:spacing w:line="312" w:lineRule="auto"/>
              <w:ind w:firstLine="0" w:firstLineChars="0"/>
              <w:rPr>
                <w:color w:val="auto"/>
                <w:sz w:val="21"/>
                <w:szCs w:val="21"/>
              </w:rPr>
            </w:pPr>
            <w:r>
              <w:rPr>
                <w:rFonts w:hint="eastAsia"/>
                <w:color w:val="auto"/>
                <w:sz w:val="21"/>
                <w:szCs w:val="21"/>
              </w:rPr>
              <w:t>南海酒店外立面整治及展厅改造</w:t>
            </w:r>
          </w:p>
        </w:tc>
        <w:tc>
          <w:tcPr>
            <w:tcW w:w="1701" w:type="dxa"/>
            <w:vAlign w:val="center"/>
          </w:tcPr>
          <w:p>
            <w:pPr>
              <w:pStyle w:val="8"/>
              <w:spacing w:line="312" w:lineRule="auto"/>
              <w:ind w:firstLine="0" w:firstLineChars="0"/>
              <w:rPr>
                <w:color w:val="auto"/>
                <w:sz w:val="21"/>
                <w:szCs w:val="21"/>
              </w:rPr>
            </w:pPr>
            <w:r>
              <w:rPr>
                <w:color w:val="auto"/>
                <w:sz w:val="21"/>
                <w:szCs w:val="21"/>
              </w:rPr>
              <w:t>800</w:t>
            </w:r>
            <w:r>
              <w:rPr>
                <w:rFonts w:hint="eastAsia"/>
                <w:color w:val="auto"/>
                <w:sz w:val="21"/>
                <w:szCs w:val="21"/>
              </w:rPr>
              <w:t>㎡</w:t>
            </w:r>
          </w:p>
        </w:tc>
        <w:tc>
          <w:tcPr>
            <w:tcW w:w="1276" w:type="dxa"/>
            <w:vAlign w:val="center"/>
          </w:tcPr>
          <w:p>
            <w:pPr>
              <w:pStyle w:val="8"/>
              <w:spacing w:line="312" w:lineRule="auto"/>
              <w:ind w:firstLine="0" w:firstLineChars="0"/>
              <w:rPr>
                <w:color w:val="auto"/>
                <w:sz w:val="21"/>
                <w:szCs w:val="21"/>
              </w:rPr>
            </w:pPr>
            <w:r>
              <w:rPr>
                <w:color w:val="auto"/>
                <w:sz w:val="21"/>
                <w:szCs w:val="21"/>
              </w:rPr>
              <w:t>2000</w:t>
            </w:r>
            <w:r>
              <w:rPr>
                <w:rFonts w:hint="eastAsia"/>
                <w:color w:val="auto"/>
                <w:sz w:val="21"/>
                <w:szCs w:val="21"/>
              </w:rPr>
              <w:t>元/㎡</w:t>
            </w:r>
          </w:p>
        </w:tc>
        <w:tc>
          <w:tcPr>
            <w:tcW w:w="1559" w:type="dxa"/>
            <w:vAlign w:val="center"/>
          </w:tcPr>
          <w:p>
            <w:pPr>
              <w:pStyle w:val="8"/>
              <w:spacing w:line="312" w:lineRule="auto"/>
              <w:ind w:firstLine="0" w:firstLineChars="0"/>
              <w:rPr>
                <w:color w:val="auto"/>
                <w:sz w:val="21"/>
                <w:szCs w:val="21"/>
              </w:rPr>
            </w:pPr>
            <w:r>
              <w:rPr>
                <w:rFonts w:hint="eastAsia"/>
                <w:color w:val="auto"/>
                <w:sz w:val="21"/>
                <w:szCs w:val="21"/>
              </w:rPr>
              <w:t>1</w:t>
            </w:r>
            <w:r>
              <w:rPr>
                <w:color w:val="auto"/>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8"/>
              <w:spacing w:line="312" w:lineRule="auto"/>
              <w:ind w:firstLine="0" w:firstLineChars="0"/>
              <w:jc w:val="center"/>
              <w:rPr>
                <w:color w:val="auto"/>
                <w:sz w:val="21"/>
                <w:szCs w:val="21"/>
              </w:rPr>
            </w:pPr>
          </w:p>
        </w:tc>
        <w:tc>
          <w:tcPr>
            <w:tcW w:w="1276" w:type="dxa"/>
            <w:vMerge w:val="continue"/>
            <w:vAlign w:val="center"/>
          </w:tcPr>
          <w:p>
            <w:pPr>
              <w:pStyle w:val="8"/>
              <w:spacing w:line="312" w:lineRule="auto"/>
              <w:ind w:firstLine="0" w:firstLineChars="0"/>
              <w:jc w:val="center"/>
              <w:rPr>
                <w:color w:val="auto"/>
                <w:sz w:val="21"/>
                <w:szCs w:val="21"/>
              </w:rPr>
            </w:pPr>
          </w:p>
        </w:tc>
        <w:tc>
          <w:tcPr>
            <w:tcW w:w="2835" w:type="dxa"/>
            <w:vAlign w:val="center"/>
          </w:tcPr>
          <w:p>
            <w:pPr>
              <w:pStyle w:val="8"/>
              <w:spacing w:line="312" w:lineRule="auto"/>
              <w:ind w:firstLine="0" w:firstLineChars="0"/>
              <w:rPr>
                <w:color w:val="auto"/>
                <w:sz w:val="21"/>
                <w:szCs w:val="21"/>
              </w:rPr>
            </w:pPr>
            <w:r>
              <w:rPr>
                <w:rFonts w:hint="eastAsia"/>
                <w:color w:val="auto"/>
                <w:sz w:val="21"/>
                <w:szCs w:val="21"/>
              </w:rPr>
              <w:t>“空谈误国，实干兴邦”标语牌移建及广场改造</w:t>
            </w:r>
          </w:p>
        </w:tc>
        <w:tc>
          <w:tcPr>
            <w:tcW w:w="1701" w:type="dxa"/>
            <w:vAlign w:val="center"/>
          </w:tcPr>
          <w:p>
            <w:pPr>
              <w:pStyle w:val="8"/>
              <w:spacing w:line="312" w:lineRule="auto"/>
              <w:ind w:firstLine="0" w:firstLineChars="0"/>
              <w:rPr>
                <w:color w:val="auto"/>
                <w:sz w:val="21"/>
                <w:szCs w:val="21"/>
              </w:rPr>
            </w:pPr>
            <w:r>
              <w:rPr>
                <w:color w:val="auto"/>
                <w:sz w:val="21"/>
                <w:szCs w:val="21"/>
              </w:rPr>
              <w:t>500</w:t>
            </w:r>
            <w:r>
              <w:rPr>
                <w:rFonts w:hint="eastAsia"/>
                <w:color w:val="auto"/>
                <w:sz w:val="21"/>
                <w:szCs w:val="21"/>
              </w:rPr>
              <w:t>㎡</w:t>
            </w:r>
          </w:p>
        </w:tc>
        <w:tc>
          <w:tcPr>
            <w:tcW w:w="1276" w:type="dxa"/>
            <w:vAlign w:val="center"/>
          </w:tcPr>
          <w:p>
            <w:pPr>
              <w:pStyle w:val="8"/>
              <w:spacing w:line="312" w:lineRule="auto"/>
              <w:ind w:firstLine="0" w:firstLineChars="0"/>
              <w:rPr>
                <w:color w:val="auto"/>
                <w:sz w:val="21"/>
                <w:szCs w:val="21"/>
              </w:rPr>
            </w:pPr>
            <w:r>
              <w:rPr>
                <w:rFonts w:hint="eastAsia"/>
                <w:color w:val="auto"/>
                <w:sz w:val="21"/>
                <w:szCs w:val="21"/>
              </w:rPr>
              <w:t>2</w:t>
            </w:r>
            <w:r>
              <w:rPr>
                <w:color w:val="auto"/>
                <w:sz w:val="21"/>
                <w:szCs w:val="21"/>
              </w:rPr>
              <w:t>000</w:t>
            </w:r>
            <w:r>
              <w:rPr>
                <w:rFonts w:hint="eastAsia"/>
                <w:color w:val="auto"/>
                <w:sz w:val="21"/>
                <w:szCs w:val="21"/>
              </w:rPr>
              <w:t>元/㎡</w:t>
            </w:r>
          </w:p>
        </w:tc>
        <w:tc>
          <w:tcPr>
            <w:tcW w:w="1559" w:type="dxa"/>
            <w:vAlign w:val="center"/>
          </w:tcPr>
          <w:p>
            <w:pPr>
              <w:pStyle w:val="8"/>
              <w:spacing w:line="312" w:lineRule="auto"/>
              <w:ind w:firstLine="0" w:firstLineChars="0"/>
              <w:rPr>
                <w:color w:val="auto"/>
                <w:sz w:val="21"/>
                <w:szCs w:val="21"/>
              </w:rPr>
            </w:pPr>
            <w:r>
              <w:rPr>
                <w:rFonts w:hint="eastAsia"/>
                <w:color w:val="auto"/>
                <w:sz w:val="21"/>
                <w:szCs w:val="21"/>
              </w:rPr>
              <w:t>1</w:t>
            </w:r>
            <w:r>
              <w:rPr>
                <w:color w:val="auto"/>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8"/>
              <w:spacing w:line="312" w:lineRule="auto"/>
              <w:ind w:firstLine="0" w:firstLineChars="0"/>
              <w:jc w:val="center"/>
              <w:rPr>
                <w:color w:val="auto"/>
                <w:sz w:val="21"/>
                <w:szCs w:val="21"/>
              </w:rPr>
            </w:pPr>
          </w:p>
        </w:tc>
        <w:tc>
          <w:tcPr>
            <w:tcW w:w="1276" w:type="dxa"/>
            <w:vMerge w:val="continue"/>
            <w:vAlign w:val="center"/>
          </w:tcPr>
          <w:p>
            <w:pPr>
              <w:pStyle w:val="8"/>
              <w:spacing w:line="312" w:lineRule="auto"/>
              <w:ind w:firstLine="0" w:firstLineChars="0"/>
              <w:jc w:val="center"/>
              <w:rPr>
                <w:color w:val="auto"/>
                <w:sz w:val="21"/>
                <w:szCs w:val="21"/>
              </w:rPr>
            </w:pPr>
          </w:p>
        </w:tc>
        <w:tc>
          <w:tcPr>
            <w:tcW w:w="2835" w:type="dxa"/>
            <w:vAlign w:val="center"/>
          </w:tcPr>
          <w:p>
            <w:pPr>
              <w:pStyle w:val="8"/>
              <w:spacing w:line="312" w:lineRule="auto"/>
              <w:ind w:firstLine="0" w:firstLineChars="0"/>
              <w:rPr>
                <w:rFonts w:hint="eastAsia"/>
                <w:color w:val="auto"/>
                <w:sz w:val="21"/>
                <w:szCs w:val="21"/>
              </w:rPr>
            </w:pPr>
            <w:r>
              <w:rPr>
                <w:rFonts w:hint="eastAsia"/>
                <w:color w:val="auto"/>
                <w:sz w:val="21"/>
                <w:szCs w:val="21"/>
              </w:rPr>
              <w:t>微波山时间广场纪念广场或公园改造</w:t>
            </w:r>
          </w:p>
        </w:tc>
        <w:tc>
          <w:tcPr>
            <w:tcW w:w="1701" w:type="dxa"/>
            <w:vAlign w:val="center"/>
          </w:tcPr>
          <w:p>
            <w:pPr>
              <w:pStyle w:val="8"/>
              <w:spacing w:line="312" w:lineRule="auto"/>
              <w:ind w:firstLine="0" w:firstLineChars="0"/>
              <w:rPr>
                <w:color w:val="auto"/>
                <w:sz w:val="21"/>
                <w:szCs w:val="21"/>
              </w:rPr>
            </w:pPr>
            <w:r>
              <w:rPr>
                <w:color w:val="auto"/>
                <w:sz w:val="21"/>
                <w:szCs w:val="21"/>
              </w:rPr>
              <w:t>200</w:t>
            </w:r>
            <w:r>
              <w:rPr>
                <w:rFonts w:hint="eastAsia"/>
                <w:color w:val="auto"/>
                <w:sz w:val="21"/>
                <w:szCs w:val="21"/>
              </w:rPr>
              <w:t>㎡</w:t>
            </w:r>
          </w:p>
        </w:tc>
        <w:tc>
          <w:tcPr>
            <w:tcW w:w="1276" w:type="dxa"/>
            <w:vAlign w:val="center"/>
          </w:tcPr>
          <w:p>
            <w:pPr>
              <w:pStyle w:val="8"/>
              <w:spacing w:line="312" w:lineRule="auto"/>
              <w:ind w:firstLine="0" w:firstLineChars="0"/>
              <w:rPr>
                <w:rFonts w:hint="eastAsia"/>
                <w:color w:val="auto"/>
                <w:sz w:val="21"/>
                <w:szCs w:val="21"/>
              </w:rPr>
            </w:pPr>
            <w:r>
              <w:rPr>
                <w:rFonts w:hint="eastAsia"/>
                <w:color w:val="auto"/>
                <w:sz w:val="21"/>
                <w:szCs w:val="21"/>
              </w:rPr>
              <w:t>2</w:t>
            </w:r>
            <w:r>
              <w:rPr>
                <w:color w:val="auto"/>
                <w:sz w:val="21"/>
                <w:szCs w:val="21"/>
              </w:rPr>
              <w:t>000</w:t>
            </w:r>
            <w:r>
              <w:rPr>
                <w:rFonts w:hint="eastAsia"/>
                <w:color w:val="auto"/>
                <w:sz w:val="21"/>
                <w:szCs w:val="21"/>
              </w:rPr>
              <w:t>元/㎡</w:t>
            </w:r>
          </w:p>
        </w:tc>
        <w:tc>
          <w:tcPr>
            <w:tcW w:w="1559" w:type="dxa"/>
            <w:vAlign w:val="center"/>
          </w:tcPr>
          <w:p>
            <w:pPr>
              <w:pStyle w:val="8"/>
              <w:spacing w:line="312" w:lineRule="auto"/>
              <w:ind w:firstLine="0" w:firstLineChars="0"/>
              <w:rPr>
                <w:rFonts w:hint="eastAsia"/>
                <w:color w:val="auto"/>
                <w:sz w:val="21"/>
                <w:szCs w:val="21"/>
              </w:rPr>
            </w:pPr>
            <w:r>
              <w:rPr>
                <w:rFonts w:hint="eastAsia"/>
                <w:color w:val="auto"/>
                <w:sz w:val="21"/>
                <w:szCs w:val="21"/>
              </w:rPr>
              <w:t>4</w:t>
            </w:r>
            <w:r>
              <w:rPr>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8"/>
              <w:spacing w:line="312" w:lineRule="auto"/>
              <w:ind w:firstLine="0" w:firstLineChars="0"/>
              <w:jc w:val="center"/>
              <w:rPr>
                <w:color w:val="auto"/>
                <w:sz w:val="21"/>
                <w:szCs w:val="21"/>
              </w:rPr>
            </w:pPr>
          </w:p>
        </w:tc>
        <w:tc>
          <w:tcPr>
            <w:tcW w:w="1276" w:type="dxa"/>
            <w:vAlign w:val="center"/>
          </w:tcPr>
          <w:p>
            <w:pPr>
              <w:pStyle w:val="8"/>
              <w:spacing w:line="312" w:lineRule="auto"/>
              <w:ind w:firstLine="0" w:firstLineChars="0"/>
              <w:jc w:val="center"/>
              <w:rPr>
                <w:color w:val="auto"/>
                <w:sz w:val="21"/>
                <w:szCs w:val="21"/>
              </w:rPr>
            </w:pPr>
            <w:r>
              <w:rPr>
                <w:rFonts w:hint="eastAsia"/>
                <w:color w:val="auto"/>
                <w:sz w:val="21"/>
                <w:szCs w:val="21"/>
              </w:rPr>
              <w:t>福田区</w:t>
            </w:r>
          </w:p>
        </w:tc>
        <w:tc>
          <w:tcPr>
            <w:tcW w:w="2835" w:type="dxa"/>
            <w:vAlign w:val="center"/>
          </w:tcPr>
          <w:p>
            <w:pPr>
              <w:pStyle w:val="8"/>
              <w:spacing w:line="312" w:lineRule="auto"/>
              <w:ind w:firstLine="0" w:firstLineChars="0"/>
              <w:rPr>
                <w:color w:val="auto"/>
                <w:sz w:val="21"/>
                <w:szCs w:val="21"/>
              </w:rPr>
            </w:pPr>
            <w:r>
              <w:rPr>
                <w:rFonts w:hint="eastAsia"/>
                <w:color w:val="auto"/>
                <w:sz w:val="21"/>
                <w:szCs w:val="21"/>
              </w:rPr>
              <w:t>莲花山公园（</w:t>
            </w:r>
            <w:r>
              <w:rPr>
                <w:rFonts w:hint="default"/>
                <w:color w:val="auto"/>
                <w:sz w:val="21"/>
                <w:szCs w:val="21"/>
                <w:lang w:val="en"/>
              </w:rPr>
              <w:t>邓小平铜像</w:t>
            </w:r>
            <w:r>
              <w:rPr>
                <w:rFonts w:hint="eastAsia"/>
                <w:color w:val="auto"/>
                <w:sz w:val="21"/>
                <w:szCs w:val="21"/>
              </w:rPr>
              <w:t>）雕像周边展陈改造</w:t>
            </w:r>
          </w:p>
        </w:tc>
        <w:tc>
          <w:tcPr>
            <w:tcW w:w="1701" w:type="dxa"/>
            <w:vAlign w:val="center"/>
          </w:tcPr>
          <w:p>
            <w:pPr>
              <w:pStyle w:val="8"/>
              <w:spacing w:line="312" w:lineRule="auto"/>
              <w:ind w:firstLine="0" w:firstLineChars="0"/>
              <w:rPr>
                <w:color w:val="auto"/>
                <w:sz w:val="21"/>
                <w:szCs w:val="21"/>
              </w:rPr>
            </w:pPr>
            <w:r>
              <w:rPr>
                <w:color w:val="auto"/>
                <w:sz w:val="21"/>
                <w:szCs w:val="21"/>
              </w:rPr>
              <w:t>800</w:t>
            </w:r>
            <w:r>
              <w:rPr>
                <w:rFonts w:hint="eastAsia"/>
                <w:color w:val="auto"/>
                <w:sz w:val="21"/>
                <w:szCs w:val="21"/>
              </w:rPr>
              <w:t>㎡</w:t>
            </w:r>
          </w:p>
        </w:tc>
        <w:tc>
          <w:tcPr>
            <w:tcW w:w="1276" w:type="dxa"/>
            <w:vAlign w:val="center"/>
          </w:tcPr>
          <w:p>
            <w:pPr>
              <w:pStyle w:val="8"/>
              <w:spacing w:line="312" w:lineRule="auto"/>
              <w:ind w:firstLine="0" w:firstLineChars="0"/>
              <w:rPr>
                <w:color w:val="auto"/>
                <w:sz w:val="21"/>
                <w:szCs w:val="21"/>
              </w:rPr>
            </w:pPr>
            <w:r>
              <w:rPr>
                <w:rFonts w:hint="eastAsia"/>
                <w:color w:val="auto"/>
                <w:sz w:val="21"/>
                <w:szCs w:val="21"/>
              </w:rPr>
              <w:t>2</w:t>
            </w:r>
            <w:r>
              <w:rPr>
                <w:color w:val="auto"/>
                <w:sz w:val="21"/>
                <w:szCs w:val="21"/>
              </w:rPr>
              <w:t>000</w:t>
            </w:r>
            <w:r>
              <w:rPr>
                <w:rFonts w:hint="eastAsia"/>
                <w:color w:val="auto"/>
                <w:sz w:val="21"/>
                <w:szCs w:val="21"/>
              </w:rPr>
              <w:t>元/㎡</w:t>
            </w:r>
          </w:p>
        </w:tc>
        <w:tc>
          <w:tcPr>
            <w:tcW w:w="1559" w:type="dxa"/>
            <w:vAlign w:val="center"/>
          </w:tcPr>
          <w:p>
            <w:pPr>
              <w:pStyle w:val="8"/>
              <w:spacing w:line="312" w:lineRule="auto"/>
              <w:ind w:firstLine="0" w:firstLineChars="0"/>
              <w:rPr>
                <w:color w:val="auto"/>
                <w:sz w:val="21"/>
                <w:szCs w:val="21"/>
              </w:rPr>
            </w:pPr>
            <w:r>
              <w:rPr>
                <w:rFonts w:hint="eastAsia"/>
                <w:color w:val="auto"/>
                <w:sz w:val="21"/>
                <w:szCs w:val="21"/>
              </w:rPr>
              <w:t>1</w:t>
            </w:r>
            <w:r>
              <w:rPr>
                <w:color w:val="auto"/>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8"/>
              <w:spacing w:line="312" w:lineRule="auto"/>
              <w:ind w:firstLine="0" w:firstLineChars="0"/>
              <w:jc w:val="center"/>
              <w:rPr>
                <w:color w:val="auto"/>
                <w:sz w:val="21"/>
                <w:szCs w:val="21"/>
              </w:rPr>
            </w:pPr>
          </w:p>
        </w:tc>
        <w:tc>
          <w:tcPr>
            <w:tcW w:w="1276" w:type="dxa"/>
            <w:vAlign w:val="center"/>
          </w:tcPr>
          <w:p>
            <w:pPr>
              <w:pStyle w:val="8"/>
              <w:spacing w:line="312"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罗湖区</w:t>
            </w:r>
          </w:p>
        </w:tc>
        <w:tc>
          <w:tcPr>
            <w:tcW w:w="2835" w:type="dxa"/>
            <w:vAlign w:val="center"/>
          </w:tcPr>
          <w:p>
            <w:pPr>
              <w:pStyle w:val="8"/>
              <w:spacing w:line="312" w:lineRule="auto"/>
              <w:ind w:firstLine="0" w:firstLineChars="0"/>
              <w:rPr>
                <w:color w:val="auto"/>
                <w:sz w:val="21"/>
                <w:szCs w:val="21"/>
              </w:rPr>
            </w:pPr>
            <w:r>
              <w:rPr>
                <w:rFonts w:hint="eastAsia"/>
                <w:color w:val="auto"/>
                <w:sz w:val="21"/>
                <w:szCs w:val="21"/>
              </w:rPr>
              <w:t>国贸大厦一层大厅展陈扩建</w:t>
            </w:r>
          </w:p>
        </w:tc>
        <w:tc>
          <w:tcPr>
            <w:tcW w:w="1701" w:type="dxa"/>
            <w:vAlign w:val="center"/>
          </w:tcPr>
          <w:p>
            <w:pPr>
              <w:pStyle w:val="8"/>
              <w:spacing w:line="312" w:lineRule="auto"/>
              <w:ind w:firstLine="0" w:firstLineChars="0"/>
              <w:rPr>
                <w:color w:val="auto"/>
                <w:sz w:val="21"/>
                <w:szCs w:val="21"/>
              </w:rPr>
            </w:pPr>
            <w:r>
              <w:rPr>
                <w:rFonts w:hint="eastAsia"/>
                <w:color w:val="auto"/>
                <w:sz w:val="21"/>
                <w:szCs w:val="21"/>
              </w:rPr>
              <w:t>1</w:t>
            </w:r>
            <w:r>
              <w:rPr>
                <w:color w:val="auto"/>
                <w:sz w:val="21"/>
                <w:szCs w:val="21"/>
              </w:rPr>
              <w:t>000</w:t>
            </w:r>
            <w:r>
              <w:rPr>
                <w:rFonts w:hint="eastAsia"/>
                <w:color w:val="auto"/>
                <w:sz w:val="21"/>
                <w:szCs w:val="21"/>
              </w:rPr>
              <w:t>㎡</w:t>
            </w:r>
          </w:p>
        </w:tc>
        <w:tc>
          <w:tcPr>
            <w:tcW w:w="1276" w:type="dxa"/>
            <w:vAlign w:val="center"/>
          </w:tcPr>
          <w:p>
            <w:pPr>
              <w:pStyle w:val="8"/>
              <w:spacing w:line="312" w:lineRule="auto"/>
              <w:ind w:firstLine="0" w:firstLineChars="0"/>
              <w:rPr>
                <w:color w:val="auto"/>
                <w:sz w:val="21"/>
                <w:szCs w:val="21"/>
              </w:rPr>
            </w:pPr>
            <w:r>
              <w:rPr>
                <w:rFonts w:hint="eastAsia"/>
                <w:color w:val="auto"/>
                <w:sz w:val="21"/>
                <w:szCs w:val="21"/>
              </w:rPr>
              <w:t>2</w:t>
            </w:r>
            <w:r>
              <w:rPr>
                <w:color w:val="auto"/>
                <w:sz w:val="21"/>
                <w:szCs w:val="21"/>
              </w:rPr>
              <w:t>000</w:t>
            </w:r>
            <w:r>
              <w:rPr>
                <w:rFonts w:hint="eastAsia"/>
                <w:color w:val="auto"/>
                <w:sz w:val="21"/>
                <w:szCs w:val="21"/>
              </w:rPr>
              <w:t>元/㎡</w:t>
            </w:r>
          </w:p>
        </w:tc>
        <w:tc>
          <w:tcPr>
            <w:tcW w:w="1559" w:type="dxa"/>
            <w:vAlign w:val="center"/>
          </w:tcPr>
          <w:p>
            <w:pPr>
              <w:pStyle w:val="8"/>
              <w:spacing w:line="312" w:lineRule="auto"/>
              <w:ind w:firstLine="0" w:firstLineChars="0"/>
              <w:rPr>
                <w:color w:val="auto"/>
                <w:sz w:val="21"/>
                <w:szCs w:val="21"/>
              </w:rPr>
            </w:pPr>
            <w:r>
              <w:rPr>
                <w:rFonts w:hint="eastAsia"/>
                <w:color w:val="auto"/>
                <w:sz w:val="21"/>
                <w:szCs w:val="21"/>
              </w:rPr>
              <w:t>2</w:t>
            </w:r>
            <w:r>
              <w:rPr>
                <w:color w:val="auto"/>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9" w:type="dxa"/>
            <w:gridSpan w:val="5"/>
            <w:vAlign w:val="center"/>
          </w:tcPr>
          <w:p>
            <w:pPr>
              <w:pStyle w:val="8"/>
              <w:spacing w:line="312" w:lineRule="auto"/>
              <w:ind w:firstLine="0" w:firstLineChars="0"/>
              <w:rPr>
                <w:b/>
                <w:color w:val="auto"/>
                <w:sz w:val="21"/>
                <w:szCs w:val="21"/>
              </w:rPr>
            </w:pPr>
            <w:r>
              <w:rPr>
                <w:rFonts w:hint="eastAsia"/>
                <w:b/>
                <w:color w:val="auto"/>
                <w:sz w:val="21"/>
                <w:szCs w:val="21"/>
              </w:rPr>
              <w:t>近期投资额</w:t>
            </w:r>
          </w:p>
        </w:tc>
        <w:tc>
          <w:tcPr>
            <w:tcW w:w="1559" w:type="dxa"/>
            <w:vAlign w:val="center"/>
          </w:tcPr>
          <w:p>
            <w:pPr>
              <w:pStyle w:val="8"/>
              <w:spacing w:line="312" w:lineRule="auto"/>
              <w:ind w:firstLine="0" w:firstLineChars="0"/>
              <w:rPr>
                <w:rFonts w:hint="default" w:eastAsia="宋体"/>
                <w:b/>
                <w:color w:val="auto"/>
                <w:sz w:val="21"/>
                <w:szCs w:val="21"/>
                <w:lang w:val="en-US" w:eastAsia="zh-CN"/>
              </w:rPr>
            </w:pPr>
            <w:r>
              <w:rPr>
                <w:rFonts w:hint="eastAsia"/>
                <w:b/>
                <w:color w:val="auto"/>
                <w:sz w:val="21"/>
                <w:szCs w:val="21"/>
                <w:lang w:val="en-US" w:eastAsia="zh-CN"/>
              </w:rPr>
              <w:t>27160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pStyle w:val="8"/>
              <w:spacing w:line="312" w:lineRule="auto"/>
              <w:ind w:firstLine="0" w:firstLineChars="0"/>
              <w:jc w:val="center"/>
              <w:rPr>
                <w:color w:val="auto"/>
                <w:sz w:val="21"/>
                <w:szCs w:val="21"/>
              </w:rPr>
            </w:pPr>
            <w:r>
              <w:rPr>
                <w:rFonts w:hint="eastAsia"/>
                <w:color w:val="auto"/>
                <w:sz w:val="21"/>
                <w:szCs w:val="21"/>
              </w:rPr>
              <w:t>中期</w:t>
            </w:r>
          </w:p>
        </w:tc>
        <w:tc>
          <w:tcPr>
            <w:tcW w:w="1276" w:type="dxa"/>
            <w:vAlign w:val="center"/>
          </w:tcPr>
          <w:p>
            <w:pPr>
              <w:pStyle w:val="8"/>
              <w:spacing w:line="312" w:lineRule="auto"/>
              <w:ind w:firstLine="0" w:firstLineChars="0"/>
              <w:jc w:val="center"/>
              <w:rPr>
                <w:color w:val="auto"/>
                <w:sz w:val="21"/>
                <w:szCs w:val="21"/>
              </w:rPr>
            </w:pPr>
            <w:r>
              <w:rPr>
                <w:rFonts w:hint="eastAsia"/>
                <w:color w:val="auto"/>
                <w:sz w:val="21"/>
                <w:szCs w:val="21"/>
              </w:rPr>
              <w:t>盐田区</w:t>
            </w:r>
          </w:p>
        </w:tc>
        <w:tc>
          <w:tcPr>
            <w:tcW w:w="2835" w:type="dxa"/>
            <w:vAlign w:val="center"/>
          </w:tcPr>
          <w:p>
            <w:pPr>
              <w:pStyle w:val="8"/>
              <w:spacing w:line="312" w:lineRule="auto"/>
              <w:ind w:firstLine="0" w:firstLineChars="0"/>
              <w:rPr>
                <w:color w:val="auto"/>
                <w:sz w:val="21"/>
                <w:szCs w:val="21"/>
              </w:rPr>
            </w:pPr>
            <w:r>
              <w:rPr>
                <w:rFonts w:hint="eastAsia"/>
                <w:color w:val="auto"/>
                <w:sz w:val="21"/>
                <w:szCs w:val="21"/>
              </w:rPr>
              <w:t>沙头角保税区展陈改造</w:t>
            </w:r>
          </w:p>
        </w:tc>
        <w:tc>
          <w:tcPr>
            <w:tcW w:w="1701" w:type="dxa"/>
            <w:vAlign w:val="center"/>
          </w:tcPr>
          <w:p>
            <w:pPr>
              <w:pStyle w:val="8"/>
              <w:spacing w:line="312" w:lineRule="auto"/>
              <w:ind w:firstLine="0" w:firstLineChars="0"/>
              <w:rPr>
                <w:color w:val="auto"/>
                <w:sz w:val="21"/>
                <w:szCs w:val="21"/>
              </w:rPr>
            </w:pPr>
            <w:r>
              <w:rPr>
                <w:color w:val="auto"/>
                <w:sz w:val="21"/>
                <w:szCs w:val="21"/>
              </w:rPr>
              <w:t>1000</w:t>
            </w:r>
            <w:r>
              <w:rPr>
                <w:rFonts w:hint="eastAsia"/>
                <w:color w:val="auto"/>
                <w:sz w:val="21"/>
                <w:szCs w:val="21"/>
              </w:rPr>
              <w:t>㎡</w:t>
            </w:r>
          </w:p>
        </w:tc>
        <w:tc>
          <w:tcPr>
            <w:tcW w:w="1276" w:type="dxa"/>
            <w:vAlign w:val="center"/>
          </w:tcPr>
          <w:p>
            <w:pPr>
              <w:pStyle w:val="8"/>
              <w:spacing w:line="312" w:lineRule="auto"/>
              <w:ind w:firstLine="0" w:firstLineChars="0"/>
              <w:rPr>
                <w:color w:val="auto"/>
                <w:sz w:val="21"/>
                <w:szCs w:val="21"/>
              </w:rPr>
            </w:pPr>
            <w:r>
              <w:rPr>
                <w:rFonts w:hint="eastAsia"/>
                <w:color w:val="auto"/>
                <w:sz w:val="21"/>
                <w:szCs w:val="21"/>
              </w:rPr>
              <w:t>5</w:t>
            </w:r>
            <w:r>
              <w:rPr>
                <w:color w:val="auto"/>
                <w:sz w:val="21"/>
                <w:szCs w:val="21"/>
              </w:rPr>
              <w:t>000</w:t>
            </w:r>
            <w:r>
              <w:rPr>
                <w:rFonts w:hint="eastAsia"/>
                <w:color w:val="auto"/>
                <w:sz w:val="21"/>
                <w:szCs w:val="21"/>
              </w:rPr>
              <w:t>元/㎡</w:t>
            </w:r>
          </w:p>
        </w:tc>
        <w:tc>
          <w:tcPr>
            <w:tcW w:w="1559" w:type="dxa"/>
            <w:vAlign w:val="center"/>
          </w:tcPr>
          <w:p>
            <w:pPr>
              <w:pStyle w:val="8"/>
              <w:spacing w:line="312" w:lineRule="auto"/>
              <w:ind w:firstLine="0" w:firstLineChars="0"/>
              <w:rPr>
                <w:color w:val="auto"/>
                <w:sz w:val="21"/>
                <w:szCs w:val="21"/>
              </w:rPr>
            </w:pPr>
            <w:r>
              <w:rPr>
                <w:rFonts w:hint="eastAsia"/>
                <w:color w:val="auto"/>
                <w:sz w:val="21"/>
                <w:szCs w:val="21"/>
              </w:rPr>
              <w:t>5</w:t>
            </w:r>
            <w:r>
              <w:rPr>
                <w:color w:val="auto"/>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8"/>
              <w:spacing w:line="312" w:lineRule="auto"/>
              <w:ind w:firstLine="0" w:firstLineChars="0"/>
              <w:jc w:val="center"/>
              <w:rPr>
                <w:color w:val="auto"/>
                <w:sz w:val="21"/>
                <w:szCs w:val="21"/>
              </w:rPr>
            </w:pPr>
          </w:p>
        </w:tc>
        <w:tc>
          <w:tcPr>
            <w:tcW w:w="1276" w:type="dxa"/>
            <w:vAlign w:val="center"/>
          </w:tcPr>
          <w:p>
            <w:pPr>
              <w:pStyle w:val="8"/>
              <w:spacing w:line="312"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南山区</w:t>
            </w:r>
          </w:p>
        </w:tc>
        <w:tc>
          <w:tcPr>
            <w:tcW w:w="2835" w:type="dxa"/>
            <w:vAlign w:val="center"/>
          </w:tcPr>
          <w:p>
            <w:pPr>
              <w:pStyle w:val="8"/>
              <w:spacing w:line="312" w:lineRule="auto"/>
              <w:ind w:firstLine="0" w:firstLineChars="0"/>
              <w:rPr>
                <w:color w:val="auto"/>
                <w:sz w:val="21"/>
                <w:szCs w:val="21"/>
              </w:rPr>
            </w:pPr>
            <w:r>
              <w:rPr>
                <w:rFonts w:hint="eastAsia"/>
                <w:color w:val="auto"/>
                <w:sz w:val="21"/>
                <w:szCs w:val="21"/>
              </w:rPr>
              <w:t>前海石公园纪念公园改造</w:t>
            </w:r>
          </w:p>
        </w:tc>
        <w:tc>
          <w:tcPr>
            <w:tcW w:w="1701" w:type="dxa"/>
            <w:vAlign w:val="center"/>
          </w:tcPr>
          <w:p>
            <w:pPr>
              <w:pStyle w:val="8"/>
              <w:spacing w:line="312" w:lineRule="auto"/>
              <w:ind w:firstLine="0" w:firstLineChars="0"/>
              <w:rPr>
                <w:color w:val="auto"/>
                <w:sz w:val="21"/>
                <w:szCs w:val="21"/>
              </w:rPr>
            </w:pPr>
            <w:r>
              <w:rPr>
                <w:rFonts w:hint="eastAsia"/>
                <w:color w:val="auto"/>
                <w:sz w:val="21"/>
                <w:szCs w:val="21"/>
              </w:rPr>
              <w:t>8</w:t>
            </w:r>
            <w:r>
              <w:rPr>
                <w:color w:val="auto"/>
                <w:sz w:val="21"/>
                <w:szCs w:val="21"/>
              </w:rPr>
              <w:t>00</w:t>
            </w:r>
            <w:r>
              <w:rPr>
                <w:rFonts w:hint="eastAsia"/>
                <w:color w:val="auto"/>
                <w:sz w:val="21"/>
                <w:szCs w:val="21"/>
              </w:rPr>
              <w:t>㎡</w:t>
            </w:r>
          </w:p>
        </w:tc>
        <w:tc>
          <w:tcPr>
            <w:tcW w:w="1276" w:type="dxa"/>
            <w:vAlign w:val="center"/>
          </w:tcPr>
          <w:p>
            <w:pPr>
              <w:pStyle w:val="8"/>
              <w:spacing w:line="312" w:lineRule="auto"/>
              <w:ind w:firstLine="0" w:firstLineChars="0"/>
              <w:rPr>
                <w:color w:val="auto"/>
                <w:sz w:val="21"/>
                <w:szCs w:val="21"/>
              </w:rPr>
            </w:pPr>
            <w:r>
              <w:rPr>
                <w:rFonts w:hint="eastAsia"/>
                <w:color w:val="auto"/>
                <w:sz w:val="21"/>
                <w:szCs w:val="21"/>
              </w:rPr>
              <w:t>1</w:t>
            </w:r>
            <w:r>
              <w:rPr>
                <w:color w:val="auto"/>
                <w:sz w:val="21"/>
                <w:szCs w:val="21"/>
              </w:rPr>
              <w:t>000</w:t>
            </w:r>
            <w:r>
              <w:rPr>
                <w:rFonts w:hint="eastAsia"/>
                <w:color w:val="auto"/>
                <w:sz w:val="21"/>
                <w:szCs w:val="21"/>
              </w:rPr>
              <w:t>元/㎡</w:t>
            </w:r>
          </w:p>
        </w:tc>
        <w:tc>
          <w:tcPr>
            <w:tcW w:w="1559" w:type="dxa"/>
            <w:vAlign w:val="center"/>
          </w:tcPr>
          <w:p>
            <w:pPr>
              <w:pStyle w:val="8"/>
              <w:spacing w:line="312" w:lineRule="auto"/>
              <w:ind w:firstLine="0" w:firstLineChars="0"/>
              <w:rPr>
                <w:color w:val="auto"/>
                <w:sz w:val="21"/>
                <w:szCs w:val="21"/>
              </w:rPr>
            </w:pPr>
            <w:r>
              <w:rPr>
                <w:rFonts w:hint="eastAsia"/>
                <w:color w:val="auto"/>
                <w:sz w:val="21"/>
                <w:szCs w:val="21"/>
              </w:rPr>
              <w:t>8</w:t>
            </w:r>
            <w:r>
              <w:rPr>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8"/>
              <w:spacing w:line="312" w:lineRule="auto"/>
              <w:ind w:firstLine="0" w:firstLineChars="0"/>
              <w:jc w:val="center"/>
              <w:rPr>
                <w:color w:val="auto"/>
                <w:sz w:val="21"/>
                <w:szCs w:val="21"/>
              </w:rPr>
            </w:pPr>
          </w:p>
        </w:tc>
        <w:tc>
          <w:tcPr>
            <w:tcW w:w="1276" w:type="dxa"/>
            <w:vAlign w:val="center"/>
          </w:tcPr>
          <w:p>
            <w:pPr>
              <w:pStyle w:val="8"/>
              <w:spacing w:line="312" w:lineRule="auto"/>
              <w:ind w:firstLine="0" w:firstLineChars="0"/>
              <w:jc w:val="center"/>
              <w:rPr>
                <w:color w:val="auto"/>
                <w:sz w:val="21"/>
                <w:szCs w:val="21"/>
              </w:rPr>
            </w:pPr>
            <w:r>
              <w:rPr>
                <w:rFonts w:hint="eastAsia"/>
                <w:color w:val="auto"/>
                <w:sz w:val="21"/>
                <w:szCs w:val="21"/>
              </w:rPr>
              <w:t>光明区</w:t>
            </w:r>
          </w:p>
        </w:tc>
        <w:tc>
          <w:tcPr>
            <w:tcW w:w="2835" w:type="dxa"/>
            <w:vAlign w:val="center"/>
          </w:tcPr>
          <w:p>
            <w:pPr>
              <w:pStyle w:val="8"/>
              <w:spacing w:line="312" w:lineRule="auto"/>
              <w:ind w:firstLine="0" w:firstLineChars="0"/>
              <w:rPr>
                <w:color w:val="auto"/>
                <w:sz w:val="21"/>
                <w:szCs w:val="21"/>
              </w:rPr>
            </w:pPr>
            <w:r>
              <w:rPr>
                <w:rFonts w:hint="eastAsia"/>
                <w:color w:val="auto"/>
                <w:sz w:val="21"/>
                <w:szCs w:val="21"/>
              </w:rPr>
              <w:t>光明街道糖厂工业创意园区改造</w:t>
            </w:r>
          </w:p>
        </w:tc>
        <w:tc>
          <w:tcPr>
            <w:tcW w:w="1701" w:type="dxa"/>
            <w:vAlign w:val="center"/>
          </w:tcPr>
          <w:p>
            <w:pPr>
              <w:pStyle w:val="8"/>
              <w:spacing w:line="312" w:lineRule="auto"/>
              <w:ind w:firstLine="0" w:firstLineChars="0"/>
              <w:rPr>
                <w:color w:val="auto"/>
                <w:sz w:val="21"/>
                <w:szCs w:val="21"/>
              </w:rPr>
            </w:pPr>
            <w:r>
              <w:rPr>
                <w:rFonts w:hint="eastAsia"/>
                <w:color w:val="auto"/>
                <w:sz w:val="21"/>
                <w:szCs w:val="21"/>
              </w:rPr>
              <w:t>3</w:t>
            </w:r>
            <w:r>
              <w:rPr>
                <w:color w:val="auto"/>
                <w:sz w:val="21"/>
                <w:szCs w:val="21"/>
              </w:rPr>
              <w:t>4000</w:t>
            </w:r>
            <w:r>
              <w:rPr>
                <w:rFonts w:hint="eastAsia"/>
                <w:color w:val="auto"/>
                <w:sz w:val="21"/>
                <w:szCs w:val="21"/>
              </w:rPr>
              <w:t>㎡</w:t>
            </w:r>
          </w:p>
        </w:tc>
        <w:tc>
          <w:tcPr>
            <w:tcW w:w="1276" w:type="dxa"/>
            <w:vAlign w:val="center"/>
          </w:tcPr>
          <w:p>
            <w:pPr>
              <w:pStyle w:val="8"/>
              <w:spacing w:line="312" w:lineRule="auto"/>
              <w:ind w:firstLine="0" w:firstLineChars="0"/>
              <w:rPr>
                <w:color w:val="auto"/>
                <w:sz w:val="21"/>
                <w:szCs w:val="21"/>
              </w:rPr>
            </w:pPr>
            <w:r>
              <w:rPr>
                <w:rFonts w:hint="eastAsia"/>
                <w:color w:val="auto"/>
                <w:sz w:val="21"/>
                <w:szCs w:val="21"/>
              </w:rPr>
              <w:t>5</w:t>
            </w:r>
            <w:r>
              <w:rPr>
                <w:color w:val="auto"/>
                <w:sz w:val="21"/>
                <w:szCs w:val="21"/>
              </w:rPr>
              <w:t>000</w:t>
            </w:r>
            <w:r>
              <w:rPr>
                <w:rFonts w:hint="eastAsia"/>
                <w:color w:val="auto"/>
                <w:sz w:val="21"/>
                <w:szCs w:val="21"/>
              </w:rPr>
              <w:t>元/㎡</w:t>
            </w:r>
          </w:p>
        </w:tc>
        <w:tc>
          <w:tcPr>
            <w:tcW w:w="1559" w:type="dxa"/>
            <w:vAlign w:val="center"/>
          </w:tcPr>
          <w:p>
            <w:pPr>
              <w:pStyle w:val="8"/>
              <w:spacing w:line="312" w:lineRule="auto"/>
              <w:ind w:firstLine="0" w:firstLineChars="0"/>
              <w:rPr>
                <w:color w:val="auto"/>
                <w:sz w:val="21"/>
                <w:szCs w:val="21"/>
              </w:rPr>
            </w:pPr>
            <w:r>
              <w:rPr>
                <w:rFonts w:hint="eastAsia"/>
                <w:color w:val="auto"/>
                <w:sz w:val="21"/>
                <w:szCs w:val="21"/>
              </w:rPr>
              <w:t>1</w:t>
            </w:r>
            <w:r>
              <w:rPr>
                <w:color w:val="auto"/>
                <w:sz w:val="21"/>
                <w:szCs w:val="21"/>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8"/>
              <w:spacing w:line="312" w:lineRule="auto"/>
              <w:ind w:firstLine="0" w:firstLineChars="0"/>
              <w:jc w:val="center"/>
              <w:rPr>
                <w:color w:val="auto"/>
                <w:sz w:val="21"/>
                <w:szCs w:val="21"/>
              </w:rPr>
            </w:pPr>
          </w:p>
        </w:tc>
        <w:tc>
          <w:tcPr>
            <w:tcW w:w="1276" w:type="dxa"/>
            <w:vAlign w:val="center"/>
          </w:tcPr>
          <w:p>
            <w:pPr>
              <w:pStyle w:val="8"/>
              <w:spacing w:line="312"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罗湖区</w:t>
            </w:r>
          </w:p>
        </w:tc>
        <w:tc>
          <w:tcPr>
            <w:tcW w:w="2835" w:type="dxa"/>
            <w:vAlign w:val="center"/>
          </w:tcPr>
          <w:p>
            <w:pPr>
              <w:pStyle w:val="8"/>
              <w:spacing w:line="312" w:lineRule="auto"/>
              <w:ind w:firstLine="0" w:firstLineChars="0"/>
              <w:rPr>
                <w:rFonts w:hint="eastAsia"/>
                <w:color w:val="auto"/>
                <w:sz w:val="21"/>
                <w:szCs w:val="21"/>
              </w:rPr>
            </w:pPr>
            <w:r>
              <w:rPr>
                <w:rFonts w:hint="eastAsia"/>
                <w:color w:val="auto"/>
                <w:sz w:val="21"/>
                <w:szCs w:val="21"/>
              </w:rPr>
              <w:t>渔民村现有展陈改造</w:t>
            </w:r>
          </w:p>
        </w:tc>
        <w:tc>
          <w:tcPr>
            <w:tcW w:w="1701" w:type="dxa"/>
            <w:vAlign w:val="center"/>
          </w:tcPr>
          <w:p>
            <w:pPr>
              <w:pStyle w:val="8"/>
              <w:spacing w:line="312" w:lineRule="auto"/>
              <w:ind w:firstLine="0" w:firstLineChars="0"/>
              <w:rPr>
                <w:rFonts w:hint="eastAsia"/>
                <w:color w:val="auto"/>
                <w:sz w:val="21"/>
                <w:szCs w:val="21"/>
              </w:rPr>
            </w:pPr>
            <w:r>
              <w:rPr>
                <w:color w:val="auto"/>
                <w:sz w:val="21"/>
                <w:szCs w:val="21"/>
              </w:rPr>
              <w:t>4000</w:t>
            </w:r>
            <w:r>
              <w:rPr>
                <w:rFonts w:hint="eastAsia"/>
                <w:color w:val="auto"/>
                <w:sz w:val="21"/>
                <w:szCs w:val="21"/>
              </w:rPr>
              <w:t>㎡</w:t>
            </w:r>
          </w:p>
        </w:tc>
        <w:tc>
          <w:tcPr>
            <w:tcW w:w="1276" w:type="dxa"/>
            <w:vAlign w:val="center"/>
          </w:tcPr>
          <w:p>
            <w:pPr>
              <w:pStyle w:val="8"/>
              <w:spacing w:line="312" w:lineRule="auto"/>
              <w:ind w:firstLine="0" w:firstLineChars="0"/>
              <w:rPr>
                <w:rFonts w:hint="eastAsia"/>
                <w:color w:val="auto"/>
                <w:sz w:val="21"/>
                <w:szCs w:val="21"/>
              </w:rPr>
            </w:pPr>
            <w:r>
              <w:rPr>
                <w:rFonts w:hint="eastAsia"/>
                <w:color w:val="auto"/>
                <w:sz w:val="21"/>
                <w:szCs w:val="21"/>
              </w:rPr>
              <w:t>5</w:t>
            </w:r>
            <w:r>
              <w:rPr>
                <w:color w:val="auto"/>
                <w:sz w:val="21"/>
                <w:szCs w:val="21"/>
              </w:rPr>
              <w:t>00</w:t>
            </w:r>
            <w:r>
              <w:rPr>
                <w:rFonts w:hint="eastAsia"/>
                <w:color w:val="auto"/>
                <w:sz w:val="21"/>
                <w:szCs w:val="21"/>
              </w:rPr>
              <w:t>元/㎡</w:t>
            </w:r>
          </w:p>
        </w:tc>
        <w:tc>
          <w:tcPr>
            <w:tcW w:w="1559" w:type="dxa"/>
            <w:vAlign w:val="center"/>
          </w:tcPr>
          <w:p>
            <w:pPr>
              <w:pStyle w:val="8"/>
              <w:spacing w:line="312" w:lineRule="auto"/>
              <w:ind w:firstLine="0" w:firstLineChars="0"/>
              <w:rPr>
                <w:rFonts w:hint="eastAsia"/>
                <w:color w:val="auto"/>
                <w:sz w:val="21"/>
                <w:szCs w:val="21"/>
              </w:rPr>
            </w:pPr>
            <w:r>
              <w:rPr>
                <w:color w:val="auto"/>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8"/>
              <w:spacing w:line="312" w:lineRule="auto"/>
              <w:ind w:firstLine="0" w:firstLineChars="0"/>
              <w:jc w:val="center"/>
              <w:rPr>
                <w:color w:val="auto"/>
                <w:sz w:val="21"/>
                <w:szCs w:val="21"/>
              </w:rPr>
            </w:pPr>
          </w:p>
        </w:tc>
        <w:tc>
          <w:tcPr>
            <w:tcW w:w="1276" w:type="dxa"/>
            <w:vAlign w:val="center"/>
          </w:tcPr>
          <w:p>
            <w:pPr>
              <w:pStyle w:val="8"/>
              <w:spacing w:line="312" w:lineRule="auto"/>
              <w:ind w:firstLine="0" w:firstLineChars="0"/>
              <w:jc w:val="center"/>
              <w:rPr>
                <w:rFonts w:hint="eastAsia"/>
                <w:color w:val="auto"/>
                <w:sz w:val="21"/>
                <w:szCs w:val="21"/>
                <w:lang w:val="en-US" w:eastAsia="zh-CN"/>
              </w:rPr>
            </w:pPr>
            <w:r>
              <w:rPr>
                <w:rFonts w:hint="eastAsia"/>
                <w:color w:val="auto"/>
                <w:sz w:val="21"/>
                <w:szCs w:val="21"/>
              </w:rPr>
              <w:t>龙岗区</w:t>
            </w:r>
          </w:p>
        </w:tc>
        <w:tc>
          <w:tcPr>
            <w:tcW w:w="2835" w:type="dxa"/>
            <w:vAlign w:val="center"/>
          </w:tcPr>
          <w:p>
            <w:pPr>
              <w:pStyle w:val="8"/>
              <w:spacing w:line="312" w:lineRule="auto"/>
              <w:ind w:firstLine="0" w:firstLineChars="0"/>
              <w:rPr>
                <w:rFonts w:hint="eastAsia"/>
                <w:color w:val="auto"/>
                <w:sz w:val="21"/>
                <w:szCs w:val="21"/>
              </w:rPr>
            </w:pPr>
            <w:r>
              <w:rPr>
                <w:rFonts w:hint="eastAsia"/>
                <w:color w:val="auto"/>
                <w:sz w:val="21"/>
                <w:szCs w:val="21"/>
              </w:rPr>
              <w:t>南岭村村委办公楼展陈改造</w:t>
            </w:r>
          </w:p>
        </w:tc>
        <w:tc>
          <w:tcPr>
            <w:tcW w:w="1701" w:type="dxa"/>
            <w:vAlign w:val="center"/>
          </w:tcPr>
          <w:p>
            <w:pPr>
              <w:pStyle w:val="8"/>
              <w:spacing w:line="312" w:lineRule="auto"/>
              <w:ind w:firstLine="0" w:firstLineChars="0"/>
              <w:rPr>
                <w:color w:val="auto"/>
                <w:sz w:val="21"/>
                <w:szCs w:val="21"/>
              </w:rPr>
            </w:pPr>
            <w:r>
              <w:rPr>
                <w:color w:val="auto"/>
                <w:sz w:val="21"/>
                <w:szCs w:val="21"/>
              </w:rPr>
              <w:t>4000</w:t>
            </w:r>
            <w:r>
              <w:rPr>
                <w:rFonts w:hint="eastAsia"/>
                <w:color w:val="auto"/>
                <w:sz w:val="21"/>
                <w:szCs w:val="21"/>
              </w:rPr>
              <w:t>㎡</w:t>
            </w:r>
          </w:p>
        </w:tc>
        <w:tc>
          <w:tcPr>
            <w:tcW w:w="1276" w:type="dxa"/>
            <w:vAlign w:val="center"/>
          </w:tcPr>
          <w:p>
            <w:pPr>
              <w:pStyle w:val="8"/>
              <w:spacing w:line="312" w:lineRule="auto"/>
              <w:ind w:firstLine="0" w:firstLineChars="0"/>
              <w:rPr>
                <w:rFonts w:hint="eastAsia"/>
                <w:color w:val="auto"/>
                <w:sz w:val="21"/>
                <w:szCs w:val="21"/>
              </w:rPr>
            </w:pPr>
            <w:r>
              <w:rPr>
                <w:rFonts w:hint="eastAsia"/>
                <w:color w:val="auto"/>
                <w:sz w:val="21"/>
                <w:szCs w:val="21"/>
              </w:rPr>
              <w:t>5</w:t>
            </w:r>
            <w:r>
              <w:rPr>
                <w:color w:val="auto"/>
                <w:sz w:val="21"/>
                <w:szCs w:val="21"/>
              </w:rPr>
              <w:t>00</w:t>
            </w:r>
            <w:r>
              <w:rPr>
                <w:rFonts w:hint="eastAsia"/>
                <w:color w:val="auto"/>
                <w:sz w:val="21"/>
                <w:szCs w:val="21"/>
              </w:rPr>
              <w:t>元/㎡</w:t>
            </w:r>
          </w:p>
        </w:tc>
        <w:tc>
          <w:tcPr>
            <w:tcW w:w="1559" w:type="dxa"/>
            <w:vAlign w:val="center"/>
          </w:tcPr>
          <w:p>
            <w:pPr>
              <w:pStyle w:val="8"/>
              <w:spacing w:line="312" w:lineRule="auto"/>
              <w:ind w:firstLine="0" w:firstLineChars="0"/>
              <w:rPr>
                <w:color w:val="auto"/>
                <w:sz w:val="21"/>
                <w:szCs w:val="21"/>
              </w:rPr>
            </w:pPr>
            <w:r>
              <w:rPr>
                <w:rFonts w:hint="eastAsia"/>
                <w:color w:val="auto"/>
                <w:sz w:val="21"/>
                <w:szCs w:val="21"/>
              </w:rPr>
              <w:t>2</w:t>
            </w:r>
            <w:r>
              <w:rPr>
                <w:color w:val="auto"/>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8"/>
              <w:spacing w:line="312" w:lineRule="auto"/>
              <w:ind w:firstLine="0" w:firstLineChars="0"/>
              <w:jc w:val="center"/>
              <w:rPr>
                <w:color w:val="auto"/>
                <w:sz w:val="21"/>
                <w:szCs w:val="21"/>
              </w:rPr>
            </w:pPr>
          </w:p>
        </w:tc>
        <w:tc>
          <w:tcPr>
            <w:tcW w:w="1276" w:type="dxa"/>
            <w:vAlign w:val="center"/>
          </w:tcPr>
          <w:p>
            <w:pPr>
              <w:pStyle w:val="8"/>
              <w:spacing w:line="312" w:lineRule="auto"/>
              <w:ind w:firstLine="0" w:firstLineChars="0"/>
              <w:jc w:val="center"/>
              <w:rPr>
                <w:rFonts w:hint="eastAsia"/>
                <w:color w:val="auto"/>
                <w:sz w:val="21"/>
                <w:szCs w:val="21"/>
                <w:lang w:val="en-US" w:eastAsia="zh-CN"/>
              </w:rPr>
            </w:pPr>
            <w:r>
              <w:rPr>
                <w:rFonts w:hint="eastAsia"/>
                <w:color w:val="auto"/>
                <w:sz w:val="21"/>
                <w:szCs w:val="21"/>
              </w:rPr>
              <w:t>大鹏新区</w:t>
            </w:r>
          </w:p>
        </w:tc>
        <w:tc>
          <w:tcPr>
            <w:tcW w:w="2835" w:type="dxa"/>
            <w:vAlign w:val="center"/>
          </w:tcPr>
          <w:p>
            <w:pPr>
              <w:pStyle w:val="8"/>
              <w:spacing w:line="312" w:lineRule="auto"/>
              <w:ind w:firstLine="0" w:firstLineChars="0"/>
              <w:rPr>
                <w:rFonts w:hint="eastAsia"/>
                <w:color w:val="auto"/>
                <w:sz w:val="21"/>
                <w:szCs w:val="21"/>
              </w:rPr>
            </w:pPr>
            <w:r>
              <w:rPr>
                <w:rFonts w:hint="eastAsia"/>
                <w:color w:val="auto"/>
                <w:sz w:val="21"/>
                <w:szCs w:val="21"/>
              </w:rPr>
              <w:t>艺象</w:t>
            </w:r>
            <w:r>
              <w:rPr>
                <w:color w:val="auto"/>
                <w:sz w:val="21"/>
                <w:szCs w:val="21"/>
              </w:rPr>
              <w:t>ID town（原鸿华印染厂）</w:t>
            </w:r>
            <w:r>
              <w:rPr>
                <w:rFonts w:hint="eastAsia"/>
                <w:color w:val="auto"/>
                <w:sz w:val="21"/>
                <w:szCs w:val="21"/>
              </w:rPr>
              <w:t>改革开放相关小品及设施改造</w:t>
            </w:r>
          </w:p>
        </w:tc>
        <w:tc>
          <w:tcPr>
            <w:tcW w:w="1701" w:type="dxa"/>
            <w:vAlign w:val="center"/>
          </w:tcPr>
          <w:p>
            <w:pPr>
              <w:pStyle w:val="8"/>
              <w:spacing w:line="312" w:lineRule="auto"/>
              <w:ind w:firstLine="0" w:firstLineChars="0"/>
              <w:rPr>
                <w:color w:val="auto"/>
                <w:sz w:val="21"/>
                <w:szCs w:val="21"/>
              </w:rPr>
            </w:pPr>
            <w:r>
              <w:rPr>
                <w:rFonts w:hint="eastAsia"/>
                <w:color w:val="auto"/>
                <w:sz w:val="21"/>
                <w:szCs w:val="21"/>
              </w:rPr>
              <w:t>8公顷</w:t>
            </w:r>
          </w:p>
        </w:tc>
        <w:tc>
          <w:tcPr>
            <w:tcW w:w="1276" w:type="dxa"/>
            <w:vAlign w:val="center"/>
          </w:tcPr>
          <w:p>
            <w:pPr>
              <w:pStyle w:val="8"/>
              <w:spacing w:line="312" w:lineRule="auto"/>
              <w:ind w:firstLine="0" w:firstLineChars="0"/>
              <w:rPr>
                <w:rFonts w:hint="eastAsia"/>
                <w:color w:val="auto"/>
                <w:sz w:val="21"/>
                <w:szCs w:val="21"/>
              </w:rPr>
            </w:pPr>
            <w:r>
              <w:rPr>
                <w:rFonts w:hint="eastAsia"/>
                <w:color w:val="auto"/>
                <w:sz w:val="21"/>
                <w:szCs w:val="21"/>
              </w:rPr>
              <w:t>/</w:t>
            </w:r>
          </w:p>
        </w:tc>
        <w:tc>
          <w:tcPr>
            <w:tcW w:w="1559" w:type="dxa"/>
            <w:vAlign w:val="center"/>
          </w:tcPr>
          <w:p>
            <w:pPr>
              <w:pStyle w:val="8"/>
              <w:spacing w:line="312" w:lineRule="auto"/>
              <w:ind w:firstLine="0" w:firstLineChars="0"/>
              <w:rPr>
                <w:color w:val="auto"/>
                <w:sz w:val="21"/>
                <w:szCs w:val="21"/>
              </w:rPr>
            </w:pPr>
            <w:r>
              <w:rPr>
                <w:rFonts w:hint="eastAsia"/>
                <w:color w:val="auto"/>
                <w:sz w:val="21"/>
                <w:szCs w:val="21"/>
              </w:rPr>
              <w:t>5</w:t>
            </w:r>
            <w:r>
              <w:rPr>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9" w:type="dxa"/>
            <w:gridSpan w:val="5"/>
            <w:vAlign w:val="center"/>
          </w:tcPr>
          <w:p>
            <w:pPr>
              <w:pStyle w:val="8"/>
              <w:spacing w:line="312" w:lineRule="auto"/>
              <w:ind w:firstLine="0" w:firstLineChars="0"/>
              <w:rPr>
                <w:b/>
                <w:color w:val="auto"/>
                <w:sz w:val="21"/>
                <w:szCs w:val="21"/>
              </w:rPr>
            </w:pPr>
            <w:r>
              <w:rPr>
                <w:rFonts w:hint="eastAsia"/>
                <w:b/>
                <w:color w:val="auto"/>
                <w:sz w:val="21"/>
                <w:szCs w:val="21"/>
              </w:rPr>
              <w:t>中期投资额</w:t>
            </w:r>
          </w:p>
        </w:tc>
        <w:tc>
          <w:tcPr>
            <w:tcW w:w="1559" w:type="dxa"/>
            <w:vAlign w:val="center"/>
          </w:tcPr>
          <w:p>
            <w:pPr>
              <w:pStyle w:val="8"/>
              <w:spacing w:line="312" w:lineRule="auto"/>
              <w:ind w:firstLine="0" w:firstLineChars="0"/>
              <w:rPr>
                <w:rFonts w:hint="default" w:eastAsia="宋体"/>
                <w:b/>
                <w:color w:val="auto"/>
                <w:sz w:val="21"/>
                <w:szCs w:val="21"/>
                <w:lang w:val="en-US" w:eastAsia="zh-CN"/>
              </w:rPr>
            </w:pPr>
            <w:r>
              <w:rPr>
                <w:rFonts w:hint="eastAsia"/>
                <w:b/>
                <w:color w:val="auto"/>
                <w:sz w:val="21"/>
                <w:szCs w:val="21"/>
                <w:lang w:val="en-US" w:eastAsia="zh-CN"/>
              </w:rPr>
              <w:t>18030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9" w:type="dxa"/>
            <w:gridSpan w:val="5"/>
            <w:vAlign w:val="center"/>
          </w:tcPr>
          <w:p>
            <w:pPr>
              <w:pStyle w:val="8"/>
              <w:spacing w:line="312" w:lineRule="auto"/>
              <w:ind w:firstLine="0" w:firstLineChars="0"/>
              <w:rPr>
                <w:b/>
                <w:color w:val="auto"/>
                <w:sz w:val="21"/>
                <w:szCs w:val="21"/>
              </w:rPr>
            </w:pPr>
            <w:r>
              <w:rPr>
                <w:rFonts w:hint="eastAsia"/>
                <w:b/>
                <w:color w:val="auto"/>
                <w:sz w:val="21"/>
                <w:szCs w:val="21"/>
              </w:rPr>
              <w:t>总投资额</w:t>
            </w:r>
          </w:p>
        </w:tc>
        <w:tc>
          <w:tcPr>
            <w:tcW w:w="1559" w:type="dxa"/>
            <w:vAlign w:val="center"/>
          </w:tcPr>
          <w:p>
            <w:pPr>
              <w:pStyle w:val="8"/>
              <w:spacing w:line="312" w:lineRule="auto"/>
              <w:ind w:firstLine="0" w:firstLineChars="0"/>
              <w:rPr>
                <w:b/>
                <w:color w:val="auto"/>
                <w:sz w:val="21"/>
                <w:szCs w:val="21"/>
              </w:rPr>
            </w:pPr>
            <w:r>
              <w:rPr>
                <w:rFonts w:hint="eastAsia"/>
                <w:b/>
                <w:color w:val="auto"/>
                <w:sz w:val="21"/>
                <w:szCs w:val="21"/>
              </w:rPr>
              <w:t>4</w:t>
            </w:r>
            <w:r>
              <w:rPr>
                <w:b/>
                <w:color w:val="auto"/>
                <w:sz w:val="21"/>
                <w:szCs w:val="21"/>
              </w:rPr>
              <w:t>5190</w:t>
            </w:r>
          </w:p>
        </w:tc>
      </w:tr>
    </w:tbl>
    <w:p>
      <w:pPr>
        <w:pStyle w:val="8"/>
        <w:spacing w:line="312" w:lineRule="auto"/>
        <w:ind w:firstLine="0" w:firstLineChars="0"/>
        <w:rPr>
          <w:color w:val="auto"/>
        </w:rPr>
        <w:sectPr>
          <w:pgSz w:w="23811" w:h="16838" w:orient="landscape"/>
          <w:pgMar w:top="1800" w:right="1440" w:bottom="1800" w:left="1440" w:header="851" w:footer="992" w:gutter="0"/>
          <w:cols w:space="1051" w:num="2"/>
          <w:docGrid w:type="lines" w:linePitch="312" w:charSpace="0"/>
        </w:sectPr>
      </w:pPr>
    </w:p>
    <w:p>
      <w:pPr>
        <w:pStyle w:val="2"/>
        <w:rPr>
          <w:color w:val="auto"/>
        </w:rPr>
      </w:pPr>
      <w:bookmarkStart w:id="312" w:name="_Toc5184"/>
      <w:bookmarkStart w:id="313" w:name="_Toc81838561"/>
      <w:bookmarkStart w:id="314" w:name="_Toc3602"/>
      <w:bookmarkStart w:id="315" w:name="_Toc12157"/>
      <w:bookmarkStart w:id="316" w:name="_Toc114072213"/>
      <w:bookmarkStart w:id="317" w:name="_Toc10420"/>
      <w:bookmarkStart w:id="318" w:name="_Toc1786609039"/>
      <w:bookmarkStart w:id="319" w:name="_Toc28379"/>
      <w:bookmarkStart w:id="320" w:name="_Toc26830"/>
      <w:r>
        <w:rPr>
          <w:rFonts w:hint="eastAsia"/>
          <w:color w:val="auto"/>
        </w:rPr>
        <w:t>第九章</w:t>
      </w:r>
      <w:r>
        <w:rPr>
          <w:color w:val="auto"/>
        </w:rPr>
        <w:t xml:space="preserve"> </w:t>
      </w:r>
      <w:r>
        <w:rPr>
          <w:rFonts w:hint="eastAsia"/>
          <w:color w:val="auto"/>
        </w:rPr>
        <w:t>规划实施保障</w:t>
      </w:r>
      <w:bookmarkEnd w:id="312"/>
      <w:bookmarkEnd w:id="313"/>
      <w:bookmarkEnd w:id="314"/>
      <w:bookmarkEnd w:id="315"/>
      <w:bookmarkEnd w:id="316"/>
      <w:bookmarkEnd w:id="317"/>
      <w:bookmarkEnd w:id="318"/>
      <w:bookmarkEnd w:id="319"/>
      <w:bookmarkEnd w:id="320"/>
    </w:p>
    <w:p>
      <w:pPr>
        <w:pStyle w:val="3"/>
        <w:rPr>
          <w:color w:val="auto"/>
        </w:rPr>
      </w:pPr>
      <w:bookmarkStart w:id="321" w:name="_Toc1421766119"/>
      <w:bookmarkStart w:id="322" w:name="_Toc81838562"/>
      <w:bookmarkStart w:id="323" w:name="_Toc23213"/>
      <w:bookmarkStart w:id="324" w:name="_Toc20344"/>
      <w:bookmarkStart w:id="325" w:name="_Toc4128"/>
      <w:bookmarkStart w:id="326" w:name="_Toc18570"/>
      <w:bookmarkStart w:id="327" w:name="_Toc1089"/>
      <w:bookmarkStart w:id="328" w:name="_Toc6169"/>
      <w:bookmarkStart w:id="329" w:name="_Toc114072214"/>
      <w:r>
        <w:rPr>
          <w:color w:val="auto"/>
        </w:rPr>
        <w:t>9.1</w:t>
      </w:r>
      <w:r>
        <w:rPr>
          <w:rFonts w:hint="eastAsia"/>
          <w:color w:val="auto"/>
        </w:rPr>
        <w:t>保障措施</w:t>
      </w:r>
      <w:bookmarkEnd w:id="321"/>
      <w:bookmarkEnd w:id="322"/>
      <w:bookmarkEnd w:id="323"/>
      <w:bookmarkEnd w:id="324"/>
      <w:bookmarkEnd w:id="325"/>
      <w:bookmarkEnd w:id="326"/>
      <w:bookmarkEnd w:id="327"/>
      <w:bookmarkEnd w:id="328"/>
      <w:bookmarkEnd w:id="329"/>
    </w:p>
    <w:p>
      <w:pPr>
        <w:pStyle w:val="8"/>
        <w:ind w:firstLine="482"/>
        <w:rPr>
          <w:color w:val="auto"/>
        </w:rPr>
      </w:pPr>
      <w:r>
        <w:rPr>
          <w:rFonts w:hint="eastAsia"/>
          <w:b/>
          <w:color w:val="auto"/>
        </w:rPr>
        <w:t>（</w:t>
      </w:r>
      <w:r>
        <w:rPr>
          <w:b/>
          <w:color w:val="auto"/>
        </w:rPr>
        <w:t>1</w:t>
      </w:r>
      <w:r>
        <w:rPr>
          <w:rFonts w:hint="eastAsia"/>
          <w:b/>
          <w:color w:val="auto"/>
        </w:rPr>
        <w:t>）健全改革开放重要史迹保护利用的法律法规体系及技术标准</w:t>
      </w:r>
    </w:p>
    <w:p>
      <w:pPr>
        <w:pStyle w:val="8"/>
        <w:rPr>
          <w:color w:val="auto"/>
        </w:rPr>
      </w:pPr>
      <w:r>
        <w:rPr>
          <w:color w:val="auto"/>
        </w:rPr>
        <w:t>改革开放重要史迹保护利用法律法规体系及技术标准的完善与细化是保护战略规划实施的重要基础。通过相关具体标准的细化落地，真正意义上的做到了有法可依，有规可循，确保在规划管理的具体实施中进行量化管理。</w:t>
      </w:r>
    </w:p>
    <w:p>
      <w:pPr>
        <w:pStyle w:val="8"/>
        <w:ind w:firstLine="482"/>
        <w:rPr>
          <w:color w:val="auto"/>
        </w:rPr>
      </w:pPr>
      <w:r>
        <w:rPr>
          <w:rFonts w:hint="eastAsia"/>
          <w:b/>
          <w:color w:val="auto"/>
        </w:rPr>
        <w:t>（2）对改革开放重要史迹修缮项目工作政策资金扶持</w:t>
      </w:r>
    </w:p>
    <w:p>
      <w:pPr>
        <w:pStyle w:val="8"/>
        <w:rPr>
          <w:color w:val="auto"/>
        </w:rPr>
      </w:pPr>
      <w:r>
        <w:rPr>
          <w:color w:val="auto"/>
        </w:rPr>
        <w:t>对于改革开放重要史迹保护利用，政府部门应给予一定的政策资金扶持，鼓励各重要史迹单位对于史迹本体进行保护及合理利用，对建筑周边环境进行提升。</w:t>
      </w:r>
    </w:p>
    <w:p>
      <w:pPr>
        <w:pStyle w:val="8"/>
        <w:ind w:firstLine="482"/>
        <w:rPr>
          <w:color w:val="auto"/>
        </w:rPr>
      </w:pPr>
      <w:r>
        <w:rPr>
          <w:rFonts w:hint="eastAsia"/>
          <w:b/>
          <w:color w:val="auto"/>
        </w:rPr>
        <w:t>（3）建立片区保护委员会</w:t>
      </w:r>
    </w:p>
    <w:p>
      <w:pPr>
        <w:pStyle w:val="8"/>
        <w:rPr>
          <w:color w:val="auto"/>
        </w:rPr>
      </w:pPr>
      <w:r>
        <w:rPr>
          <w:color w:val="auto"/>
        </w:rPr>
        <w:t>建议成立</w:t>
      </w:r>
      <w:r>
        <w:rPr>
          <w:rFonts w:hint="eastAsia"/>
          <w:color w:val="auto"/>
        </w:rPr>
        <w:t>“</w:t>
      </w:r>
      <w:r>
        <w:rPr>
          <w:color w:val="auto"/>
        </w:rPr>
        <w:t>改革开放重要史迹集中片区委员会</w:t>
      </w:r>
      <w:r>
        <w:rPr>
          <w:rFonts w:hint="eastAsia"/>
          <w:color w:val="auto"/>
        </w:rPr>
        <w:t>”</w:t>
      </w:r>
      <w:r>
        <w:rPr>
          <w:color w:val="auto"/>
        </w:rPr>
        <w:t>，由委员会牵头联动各个重要史迹单位，统一管理片区内各项目的实施及资金监管与审批。</w:t>
      </w:r>
    </w:p>
    <w:p>
      <w:pPr>
        <w:pStyle w:val="8"/>
        <w:ind w:firstLine="482"/>
        <w:rPr>
          <w:color w:val="auto"/>
        </w:rPr>
      </w:pPr>
      <w:r>
        <w:rPr>
          <w:rFonts w:hint="eastAsia"/>
          <w:b/>
          <w:color w:val="auto"/>
        </w:rPr>
        <w:t>（4）建立数字化信息系统</w:t>
      </w:r>
    </w:p>
    <w:p>
      <w:pPr>
        <w:pStyle w:val="8"/>
        <w:rPr>
          <w:color w:val="auto"/>
        </w:rPr>
      </w:pPr>
      <w:r>
        <w:rPr>
          <w:color w:val="auto"/>
        </w:rPr>
        <w:t>为确保改革开放重要史迹保护利用有可靠的根据和信息公开，对改革开放重要史迹集中片区内的重要史迹单位建立有效的数字化信息系统。具体内容可包括收集片区内改革开放重要史迹的历史所属变更情况，现状使用情况，对本体的保护、修缮和利用情况等。数字化信息系统的建立可作为改革开放重要史迹保护利用项目的参考依据。</w:t>
      </w:r>
    </w:p>
    <w:p>
      <w:pPr>
        <w:pStyle w:val="3"/>
        <w:rPr>
          <w:color w:val="auto"/>
        </w:rPr>
      </w:pPr>
      <w:bookmarkStart w:id="330" w:name="_Toc30976"/>
      <w:bookmarkStart w:id="331" w:name="_Toc20091"/>
      <w:bookmarkStart w:id="332" w:name="_Toc8739"/>
      <w:bookmarkStart w:id="333" w:name="_Toc9607"/>
      <w:bookmarkStart w:id="334" w:name="_Toc28209"/>
      <w:bookmarkStart w:id="335" w:name="_Toc25508"/>
      <w:bookmarkStart w:id="336" w:name="_Toc114072215"/>
      <w:bookmarkStart w:id="337" w:name="_Toc572621864"/>
      <w:bookmarkStart w:id="338" w:name="_Toc81838563"/>
      <w:r>
        <w:rPr>
          <w:color w:val="auto"/>
        </w:rPr>
        <w:t>9.2</w:t>
      </w:r>
      <w:r>
        <w:rPr>
          <w:rFonts w:hint="eastAsia"/>
          <w:color w:val="auto"/>
        </w:rPr>
        <w:t>保障机制</w:t>
      </w:r>
      <w:bookmarkEnd w:id="330"/>
      <w:bookmarkEnd w:id="331"/>
      <w:bookmarkEnd w:id="332"/>
      <w:bookmarkEnd w:id="333"/>
      <w:bookmarkEnd w:id="334"/>
      <w:bookmarkEnd w:id="335"/>
      <w:bookmarkEnd w:id="336"/>
      <w:bookmarkEnd w:id="337"/>
      <w:bookmarkEnd w:id="338"/>
    </w:p>
    <w:p>
      <w:pPr>
        <w:pStyle w:val="8"/>
        <w:ind w:firstLine="482"/>
        <w:rPr>
          <w:color w:val="auto"/>
        </w:rPr>
      </w:pPr>
      <w:r>
        <w:rPr>
          <w:rFonts w:hint="eastAsia"/>
          <w:b/>
          <w:color w:val="auto"/>
        </w:rPr>
        <w:t>（1）改革开放重要史迹保护资金的保障与监督机制</w:t>
      </w:r>
    </w:p>
    <w:p>
      <w:pPr>
        <w:pStyle w:val="8"/>
        <w:rPr>
          <w:color w:val="auto"/>
        </w:rPr>
      </w:pPr>
      <w:r>
        <w:rPr>
          <w:color w:val="auto"/>
        </w:rPr>
        <w:t>改革开放重要史迹保护利用工作需要大量项目资金投入，靠政府财政收入单方面投入难以解决，在保护与利用过程中可以引入多方面、多渠道、多层次的资金，以弥补政府财政事业上投资的不足。同时，建立相关资金监督机制，确保专款专用，落实到位。</w:t>
      </w:r>
    </w:p>
    <w:p>
      <w:pPr>
        <w:pStyle w:val="8"/>
        <w:ind w:firstLine="482"/>
        <w:rPr>
          <w:color w:val="auto"/>
        </w:rPr>
      </w:pPr>
      <w:r>
        <w:rPr>
          <w:rFonts w:hint="eastAsia"/>
          <w:b/>
          <w:color w:val="auto"/>
        </w:rPr>
        <w:t>（2）利益相关人参与机制</w:t>
      </w:r>
    </w:p>
    <w:p>
      <w:pPr>
        <w:pStyle w:val="8"/>
        <w:rPr>
          <w:color w:val="auto"/>
        </w:rPr>
      </w:pPr>
      <w:r>
        <w:rPr>
          <w:color w:val="auto"/>
        </w:rPr>
        <w:t>单纯依靠政府进行改革开放重要史迹的保护利用的力量是有限的。通过引入不同相关利益主体（如社会组织、协会、公司、当地居民等），调动社会各方面的积极因素开展工作，可以多层次、多维度改革开放重要史迹的保护开发利用。</w:t>
      </w:r>
    </w:p>
    <w:p>
      <w:pPr>
        <w:pStyle w:val="8"/>
        <w:rPr>
          <w:color w:val="auto"/>
        </w:rPr>
      </w:pPr>
      <w:r>
        <w:rPr>
          <w:color w:val="auto"/>
        </w:rPr>
        <w:drawing>
          <wp:inline distT="0" distB="0" distL="0" distR="0">
            <wp:extent cx="5403215" cy="5010785"/>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rcRect l="1478" t="16576" r="2408" b="20403"/>
                    <a:stretch>
                      <a:fillRect/>
                    </a:stretch>
                  </pic:blipFill>
                  <pic:spPr>
                    <a:xfrm>
                      <a:off x="0" y="0"/>
                      <a:ext cx="5405765" cy="5013698"/>
                    </a:xfrm>
                    <a:prstGeom prst="rect">
                      <a:avLst/>
                    </a:prstGeom>
                    <a:ln>
                      <a:noFill/>
                    </a:ln>
                  </pic:spPr>
                </pic:pic>
              </a:graphicData>
            </a:graphic>
          </wp:inline>
        </w:drawing>
      </w:r>
    </w:p>
    <w:p>
      <w:pPr>
        <w:pStyle w:val="8"/>
        <w:ind w:firstLine="482"/>
        <w:rPr>
          <w:color w:val="auto"/>
        </w:rPr>
      </w:pPr>
      <w:r>
        <w:rPr>
          <w:rFonts w:hint="eastAsia"/>
          <w:b/>
          <w:color w:val="auto"/>
        </w:rPr>
        <w:t>（3）集中片区保护利用模式</w:t>
      </w:r>
    </w:p>
    <w:p>
      <w:pPr>
        <w:pStyle w:val="8"/>
        <w:rPr>
          <w:color w:val="auto"/>
        </w:rPr>
      </w:pPr>
      <w:r>
        <w:rPr>
          <w:color w:val="auto"/>
        </w:rPr>
        <w:t>通过改革开放史迹单位集中片区综合整体保护，由点及面，多维保护，有利于集中各项资源对片区进行集中管理整治合理利用。</w:t>
      </w:r>
    </w:p>
    <w:p>
      <w:pPr>
        <w:pStyle w:val="2"/>
        <w:rPr>
          <w:color w:val="auto"/>
        </w:rPr>
        <w:sectPr>
          <w:pgSz w:w="23811" w:h="16838" w:orient="landscape"/>
          <w:pgMar w:top="1800" w:right="1440" w:bottom="1800" w:left="1440" w:header="851" w:footer="992" w:gutter="0"/>
          <w:cols w:space="1051" w:num="2"/>
          <w:docGrid w:type="lines" w:linePitch="312" w:charSpace="0"/>
        </w:sectPr>
      </w:pPr>
    </w:p>
    <w:p>
      <w:pPr>
        <w:pStyle w:val="2"/>
        <w:rPr>
          <w:color w:val="auto"/>
        </w:rPr>
      </w:pPr>
      <w:bookmarkStart w:id="339" w:name="_Toc3907"/>
      <w:bookmarkStart w:id="340" w:name="_Toc1181446041"/>
      <w:bookmarkStart w:id="341" w:name="_Toc15423"/>
      <w:bookmarkStart w:id="342" w:name="_Toc22487"/>
      <w:bookmarkStart w:id="343" w:name="_Toc29306"/>
      <w:bookmarkStart w:id="344" w:name="_Toc195"/>
      <w:bookmarkStart w:id="345" w:name="_Toc114072216"/>
      <w:bookmarkStart w:id="346" w:name="_Toc12925"/>
      <w:r>
        <w:rPr>
          <w:rFonts w:hint="eastAsia"/>
          <w:color w:val="auto"/>
        </w:rPr>
        <w:t>附录一：深圳改革开放史迹调查初选资料</w:t>
      </w:r>
      <w:bookmarkEnd w:id="339"/>
      <w:bookmarkEnd w:id="340"/>
      <w:bookmarkEnd w:id="341"/>
      <w:bookmarkEnd w:id="342"/>
      <w:bookmarkEnd w:id="343"/>
      <w:bookmarkEnd w:id="344"/>
      <w:bookmarkEnd w:id="345"/>
      <w:bookmarkEnd w:id="346"/>
      <w:r>
        <w:rPr>
          <w:rFonts w:hint="eastAsia"/>
          <w:color w:val="auto"/>
        </w:rPr>
        <w:t xml:space="preserve">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134"/>
        <w:gridCol w:w="5954"/>
        <w:gridCol w:w="4110"/>
        <w:gridCol w:w="9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shd w:val="clear" w:color="auto" w:fill="D8D8D8" w:themeFill="background1" w:themeFillShade="D9"/>
          </w:tcPr>
          <w:p>
            <w:pPr>
              <w:jc w:val="center"/>
              <w:rPr>
                <w:rFonts w:ascii="宋体" w:hAnsi="宋体" w:eastAsia="宋体"/>
                <w:b/>
                <w:color w:val="auto"/>
                <w:szCs w:val="21"/>
              </w:rPr>
            </w:pPr>
            <w:r>
              <w:rPr>
                <w:rFonts w:hint="eastAsia" w:ascii="宋体" w:hAnsi="宋体" w:eastAsia="宋体"/>
                <w:b/>
                <w:color w:val="auto"/>
                <w:szCs w:val="21"/>
              </w:rPr>
              <w:t>序号</w:t>
            </w:r>
          </w:p>
        </w:tc>
        <w:tc>
          <w:tcPr>
            <w:tcW w:w="1134" w:type="dxa"/>
            <w:shd w:val="clear" w:color="auto" w:fill="D8D8D8" w:themeFill="background1" w:themeFillShade="D9"/>
          </w:tcPr>
          <w:p>
            <w:pPr>
              <w:jc w:val="center"/>
              <w:rPr>
                <w:rFonts w:ascii="宋体" w:hAnsi="宋体" w:eastAsia="宋体"/>
                <w:b/>
                <w:color w:val="auto"/>
                <w:szCs w:val="21"/>
              </w:rPr>
            </w:pPr>
            <w:r>
              <w:rPr>
                <w:rFonts w:hint="eastAsia" w:ascii="宋体" w:hAnsi="宋体" w:eastAsia="宋体"/>
                <w:b/>
                <w:color w:val="auto"/>
                <w:szCs w:val="21"/>
              </w:rPr>
              <w:t>时间</w:t>
            </w:r>
          </w:p>
        </w:tc>
        <w:tc>
          <w:tcPr>
            <w:tcW w:w="5954" w:type="dxa"/>
            <w:shd w:val="clear" w:color="auto" w:fill="D8D8D8" w:themeFill="background1" w:themeFillShade="D9"/>
          </w:tcPr>
          <w:p>
            <w:pPr>
              <w:jc w:val="center"/>
              <w:rPr>
                <w:rFonts w:ascii="宋体" w:hAnsi="宋体" w:eastAsia="宋体"/>
                <w:b/>
                <w:color w:val="auto"/>
                <w:szCs w:val="21"/>
              </w:rPr>
            </w:pPr>
            <w:r>
              <w:rPr>
                <w:rFonts w:hint="eastAsia" w:ascii="宋体" w:hAnsi="宋体" w:eastAsia="宋体"/>
                <w:b/>
                <w:color w:val="auto"/>
                <w:szCs w:val="21"/>
              </w:rPr>
              <w:t>主要历史事件</w:t>
            </w:r>
          </w:p>
        </w:tc>
        <w:tc>
          <w:tcPr>
            <w:tcW w:w="4110" w:type="dxa"/>
            <w:shd w:val="clear" w:color="auto" w:fill="D8D8D8" w:themeFill="background1" w:themeFillShade="D9"/>
          </w:tcPr>
          <w:p>
            <w:pPr>
              <w:jc w:val="center"/>
              <w:rPr>
                <w:rFonts w:ascii="宋体" w:hAnsi="宋体" w:eastAsia="宋体"/>
                <w:b/>
                <w:color w:val="auto"/>
                <w:szCs w:val="21"/>
              </w:rPr>
            </w:pPr>
            <w:r>
              <w:rPr>
                <w:rFonts w:hint="eastAsia" w:ascii="宋体" w:hAnsi="宋体" w:eastAsia="宋体"/>
                <w:b/>
                <w:color w:val="auto"/>
                <w:szCs w:val="21"/>
              </w:rPr>
              <w:t>地点、名称</w:t>
            </w:r>
          </w:p>
        </w:tc>
        <w:tc>
          <w:tcPr>
            <w:tcW w:w="9019" w:type="dxa"/>
            <w:shd w:val="clear" w:color="auto" w:fill="D8D8D8" w:themeFill="background1" w:themeFillShade="D9"/>
          </w:tcPr>
          <w:p>
            <w:pPr>
              <w:jc w:val="center"/>
              <w:rPr>
                <w:rFonts w:ascii="宋体" w:hAnsi="宋体" w:eastAsia="宋体"/>
                <w:b/>
                <w:color w:val="auto"/>
                <w:szCs w:val="21"/>
              </w:rPr>
            </w:pPr>
            <w:r>
              <w:rPr>
                <w:rFonts w:hint="eastAsia" w:ascii="宋体" w:hAnsi="宋体" w:eastAsia="宋体"/>
                <w:b/>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1</w:t>
            </w:r>
          </w:p>
        </w:tc>
        <w:tc>
          <w:tcPr>
            <w:tcW w:w="1134" w:type="dxa"/>
          </w:tcPr>
          <w:p>
            <w:pPr>
              <w:rPr>
                <w:rFonts w:ascii="宋体" w:hAnsi="宋体" w:eastAsia="宋体"/>
                <w:color w:val="auto"/>
                <w:szCs w:val="21"/>
              </w:rPr>
            </w:pPr>
            <w:r>
              <w:rPr>
                <w:rFonts w:hint="eastAsia" w:ascii="宋体" w:hAnsi="宋体" w:eastAsia="宋体"/>
                <w:color w:val="auto"/>
                <w:szCs w:val="21"/>
              </w:rPr>
              <w:t>1979年</w:t>
            </w:r>
          </w:p>
        </w:tc>
        <w:tc>
          <w:tcPr>
            <w:tcW w:w="5954" w:type="dxa"/>
          </w:tcPr>
          <w:p>
            <w:pPr>
              <w:rPr>
                <w:rFonts w:ascii="宋体" w:hAnsi="宋体" w:eastAsia="宋体"/>
                <w:color w:val="auto"/>
                <w:szCs w:val="21"/>
              </w:rPr>
            </w:pPr>
            <w:r>
              <w:rPr>
                <w:rFonts w:hint="eastAsia" w:ascii="宋体" w:hAnsi="宋体" w:eastAsia="宋体"/>
                <w:color w:val="auto"/>
                <w:szCs w:val="21"/>
              </w:rPr>
              <w:t>我国大陆第一个出口加工工业区</w:t>
            </w:r>
          </w:p>
        </w:tc>
        <w:tc>
          <w:tcPr>
            <w:tcW w:w="4110" w:type="dxa"/>
          </w:tcPr>
          <w:p>
            <w:pPr>
              <w:rPr>
                <w:rFonts w:ascii="宋体" w:hAnsi="宋体" w:eastAsia="宋体"/>
                <w:color w:val="auto"/>
                <w:szCs w:val="21"/>
              </w:rPr>
            </w:pPr>
            <w:r>
              <w:rPr>
                <w:rFonts w:hint="eastAsia" w:ascii="宋体" w:hAnsi="宋体" w:eastAsia="宋体"/>
                <w:color w:val="auto"/>
                <w:szCs w:val="21"/>
              </w:rPr>
              <w:t>蛇口工业区（含微波山时间广场、“空谈误国、实干兴邦”标志牌）</w:t>
            </w:r>
          </w:p>
        </w:tc>
        <w:tc>
          <w:tcPr>
            <w:tcW w:w="9019" w:type="dxa"/>
          </w:tcPr>
          <w:p>
            <w:pPr>
              <w:rPr>
                <w:rFonts w:ascii="宋体" w:hAnsi="宋体" w:eastAsia="宋体"/>
                <w:color w:val="auto"/>
                <w:szCs w:val="21"/>
              </w:rPr>
            </w:pPr>
            <w:r>
              <w:rPr>
                <w:rFonts w:hint="eastAsia" w:ascii="宋体" w:hAnsi="宋体" w:eastAsia="宋体"/>
                <w:color w:val="auto"/>
                <w:szCs w:val="21"/>
              </w:rPr>
              <w:t>开山第一炮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2</w:t>
            </w:r>
          </w:p>
        </w:tc>
        <w:tc>
          <w:tcPr>
            <w:tcW w:w="1134" w:type="dxa"/>
          </w:tcPr>
          <w:p>
            <w:pPr>
              <w:rPr>
                <w:rFonts w:ascii="宋体" w:hAnsi="宋体" w:eastAsia="宋体"/>
                <w:color w:val="auto"/>
                <w:szCs w:val="21"/>
              </w:rPr>
            </w:pPr>
            <w:r>
              <w:rPr>
                <w:rFonts w:hint="eastAsia" w:ascii="宋体" w:hAnsi="宋体" w:eastAsia="宋体"/>
                <w:color w:val="auto"/>
                <w:szCs w:val="21"/>
              </w:rPr>
              <w:t>1979年</w:t>
            </w:r>
          </w:p>
        </w:tc>
        <w:tc>
          <w:tcPr>
            <w:tcW w:w="5954" w:type="dxa"/>
          </w:tcPr>
          <w:p>
            <w:pPr>
              <w:rPr>
                <w:rFonts w:ascii="宋体" w:hAnsi="宋体" w:eastAsia="宋体"/>
                <w:color w:val="auto"/>
                <w:szCs w:val="21"/>
              </w:rPr>
            </w:pPr>
            <w:r>
              <w:rPr>
                <w:rFonts w:hint="eastAsia" w:ascii="宋体" w:hAnsi="宋体" w:eastAsia="宋体"/>
                <w:color w:val="auto"/>
                <w:szCs w:val="21"/>
              </w:rPr>
              <w:t>深圳最高建筑</w:t>
            </w:r>
          </w:p>
        </w:tc>
        <w:tc>
          <w:tcPr>
            <w:tcW w:w="4110" w:type="dxa"/>
          </w:tcPr>
          <w:p>
            <w:pPr>
              <w:rPr>
                <w:rFonts w:ascii="宋体" w:hAnsi="宋体" w:eastAsia="宋体"/>
                <w:color w:val="auto"/>
                <w:szCs w:val="21"/>
              </w:rPr>
            </w:pPr>
            <w:r>
              <w:rPr>
                <w:rFonts w:hint="eastAsia" w:ascii="宋体" w:hAnsi="宋体" w:eastAsia="宋体"/>
                <w:color w:val="auto"/>
                <w:szCs w:val="21"/>
              </w:rPr>
              <w:t>电子大厦</w:t>
            </w:r>
          </w:p>
        </w:tc>
        <w:tc>
          <w:tcPr>
            <w:tcW w:w="9019" w:type="dxa"/>
          </w:tcPr>
          <w:p>
            <w:pPr>
              <w:rPr>
                <w:rFonts w:ascii="宋体" w:hAnsi="宋体" w:eastAsia="宋体"/>
                <w:color w:val="auto"/>
                <w:szCs w:val="21"/>
              </w:rPr>
            </w:pPr>
            <w:r>
              <w:rPr>
                <w:rFonts w:hint="eastAsia" w:ascii="宋体" w:hAnsi="宋体" w:eastAsia="宋体"/>
                <w:color w:val="auto"/>
                <w:szCs w:val="21"/>
              </w:rPr>
              <w:t>深圳最高建筑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3</w:t>
            </w:r>
          </w:p>
        </w:tc>
        <w:tc>
          <w:tcPr>
            <w:tcW w:w="1134" w:type="dxa"/>
          </w:tcPr>
          <w:p>
            <w:pPr>
              <w:rPr>
                <w:rFonts w:ascii="宋体" w:hAnsi="宋体" w:eastAsia="宋体"/>
                <w:color w:val="auto"/>
                <w:szCs w:val="21"/>
              </w:rPr>
            </w:pPr>
            <w:r>
              <w:rPr>
                <w:rFonts w:hint="eastAsia" w:ascii="宋体" w:hAnsi="宋体" w:eastAsia="宋体"/>
                <w:color w:val="auto"/>
                <w:szCs w:val="21"/>
              </w:rPr>
              <w:t>1980年</w:t>
            </w:r>
          </w:p>
        </w:tc>
        <w:tc>
          <w:tcPr>
            <w:tcW w:w="5954" w:type="dxa"/>
          </w:tcPr>
          <w:p>
            <w:pPr>
              <w:rPr>
                <w:rFonts w:ascii="宋体" w:hAnsi="宋体" w:eastAsia="宋体"/>
                <w:color w:val="auto"/>
                <w:szCs w:val="21"/>
              </w:rPr>
            </w:pPr>
            <w:r>
              <w:rPr>
                <w:rFonts w:hint="eastAsia" w:ascii="宋体" w:hAnsi="宋体" w:eastAsia="宋体"/>
                <w:color w:val="auto"/>
                <w:szCs w:val="21"/>
              </w:rPr>
              <w:t>批准《广东省经济特区条例》，深圳经济特区诞生。</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深圳经济特区诞生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4</w:t>
            </w:r>
          </w:p>
        </w:tc>
        <w:tc>
          <w:tcPr>
            <w:tcW w:w="1134" w:type="dxa"/>
          </w:tcPr>
          <w:p>
            <w:pPr>
              <w:rPr>
                <w:rFonts w:ascii="宋体" w:hAnsi="宋体" w:eastAsia="宋体"/>
                <w:color w:val="auto"/>
                <w:szCs w:val="21"/>
              </w:rPr>
            </w:pPr>
            <w:r>
              <w:rPr>
                <w:rFonts w:hint="eastAsia" w:ascii="宋体" w:hAnsi="宋体" w:eastAsia="宋体"/>
                <w:color w:val="auto"/>
                <w:szCs w:val="21"/>
              </w:rPr>
              <w:t>1980年</w:t>
            </w:r>
          </w:p>
        </w:tc>
        <w:tc>
          <w:tcPr>
            <w:tcW w:w="5954" w:type="dxa"/>
          </w:tcPr>
          <w:p>
            <w:pPr>
              <w:rPr>
                <w:rFonts w:ascii="宋体" w:hAnsi="宋体" w:eastAsia="宋体"/>
                <w:color w:val="auto"/>
                <w:szCs w:val="21"/>
              </w:rPr>
            </w:pPr>
            <w:r>
              <w:rPr>
                <w:rFonts w:hint="eastAsia" w:ascii="宋体" w:hAnsi="宋体" w:eastAsia="宋体"/>
                <w:color w:val="auto"/>
                <w:szCs w:val="21"/>
              </w:rPr>
              <w:t>实行双向选择，确立了劳动合同制和配套制度</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4" w:type="dxa"/>
          </w:tcPr>
          <w:p>
            <w:pPr>
              <w:rPr>
                <w:rFonts w:ascii="宋体" w:hAnsi="宋体" w:eastAsia="宋体"/>
                <w:color w:val="auto"/>
                <w:szCs w:val="21"/>
              </w:rPr>
            </w:pPr>
            <w:r>
              <w:rPr>
                <w:rFonts w:hint="eastAsia" w:ascii="宋体" w:hAnsi="宋体" w:eastAsia="宋体"/>
                <w:color w:val="auto"/>
                <w:szCs w:val="21"/>
              </w:rPr>
              <w:t>5</w:t>
            </w:r>
          </w:p>
        </w:tc>
        <w:tc>
          <w:tcPr>
            <w:tcW w:w="1134" w:type="dxa"/>
          </w:tcPr>
          <w:p>
            <w:pPr>
              <w:rPr>
                <w:rFonts w:ascii="宋体" w:hAnsi="宋体" w:eastAsia="宋体"/>
                <w:color w:val="auto"/>
                <w:szCs w:val="21"/>
              </w:rPr>
            </w:pPr>
            <w:r>
              <w:rPr>
                <w:rFonts w:hint="eastAsia" w:ascii="宋体" w:hAnsi="宋体" w:eastAsia="宋体"/>
                <w:color w:val="auto"/>
                <w:szCs w:val="21"/>
              </w:rPr>
              <w:t>1981年</w:t>
            </w:r>
          </w:p>
        </w:tc>
        <w:tc>
          <w:tcPr>
            <w:tcW w:w="5954" w:type="dxa"/>
          </w:tcPr>
          <w:p>
            <w:pPr>
              <w:rPr>
                <w:rFonts w:ascii="宋体" w:hAnsi="宋体" w:eastAsia="宋体"/>
                <w:color w:val="auto"/>
                <w:szCs w:val="21"/>
              </w:rPr>
            </w:pPr>
            <w:r>
              <w:rPr>
                <w:rFonts w:hint="eastAsia" w:ascii="宋体" w:hAnsi="宋体" w:eastAsia="宋体"/>
                <w:color w:val="auto"/>
                <w:szCs w:val="21"/>
              </w:rPr>
              <w:t>深圳国际商业大厦建设推出“工程招投标”方案</w:t>
            </w:r>
          </w:p>
        </w:tc>
        <w:tc>
          <w:tcPr>
            <w:tcW w:w="4110" w:type="dxa"/>
          </w:tcPr>
          <w:p>
            <w:pPr>
              <w:rPr>
                <w:rFonts w:ascii="宋体" w:hAnsi="宋体" w:eastAsia="宋体"/>
                <w:color w:val="auto"/>
                <w:szCs w:val="21"/>
              </w:rPr>
            </w:pPr>
            <w:r>
              <w:rPr>
                <w:rFonts w:hint="eastAsia" w:ascii="宋体" w:hAnsi="宋体" w:eastAsia="宋体"/>
                <w:color w:val="auto"/>
                <w:szCs w:val="21"/>
              </w:rPr>
              <w:t>国贸大厦</w:t>
            </w:r>
          </w:p>
        </w:tc>
        <w:tc>
          <w:tcPr>
            <w:tcW w:w="9019" w:type="dxa"/>
          </w:tcPr>
          <w:p>
            <w:pPr>
              <w:rPr>
                <w:rFonts w:ascii="宋体" w:hAnsi="宋体" w:eastAsia="宋体"/>
                <w:color w:val="auto"/>
                <w:szCs w:val="21"/>
              </w:rPr>
            </w:pPr>
            <w:r>
              <w:rPr>
                <w:rFonts w:hint="eastAsia" w:ascii="宋体" w:hAnsi="宋体" w:eastAsia="宋体"/>
                <w:color w:val="auto"/>
                <w:szCs w:val="21"/>
              </w:rPr>
              <w:t>"深圳速度"，第一座商业楼宇，第一个招标形式基建工程，开创中国内地工程招投标先河。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6</w:t>
            </w:r>
          </w:p>
        </w:tc>
        <w:tc>
          <w:tcPr>
            <w:tcW w:w="1134" w:type="dxa"/>
          </w:tcPr>
          <w:p>
            <w:pPr>
              <w:rPr>
                <w:rFonts w:ascii="宋体" w:hAnsi="宋体" w:eastAsia="宋体"/>
                <w:color w:val="auto"/>
                <w:szCs w:val="21"/>
              </w:rPr>
            </w:pPr>
            <w:r>
              <w:rPr>
                <w:rFonts w:hint="eastAsia" w:ascii="宋体" w:hAnsi="宋体" w:eastAsia="宋体"/>
                <w:color w:val="auto"/>
                <w:szCs w:val="21"/>
              </w:rPr>
              <w:t>1981年</w:t>
            </w:r>
          </w:p>
        </w:tc>
        <w:tc>
          <w:tcPr>
            <w:tcW w:w="5954" w:type="dxa"/>
          </w:tcPr>
          <w:p>
            <w:pPr>
              <w:rPr>
                <w:rFonts w:ascii="宋体" w:hAnsi="宋体" w:eastAsia="宋体"/>
                <w:color w:val="auto"/>
                <w:szCs w:val="21"/>
              </w:rPr>
            </w:pPr>
            <w:r>
              <w:rPr>
                <w:rFonts w:hint="eastAsia" w:ascii="宋体" w:hAnsi="宋体" w:eastAsia="宋体"/>
                <w:color w:val="auto"/>
                <w:szCs w:val="21"/>
              </w:rPr>
              <w:t>深圳市物业管理公司成立</w:t>
            </w:r>
          </w:p>
        </w:tc>
        <w:tc>
          <w:tcPr>
            <w:tcW w:w="4110" w:type="dxa"/>
          </w:tcPr>
          <w:p>
            <w:pPr>
              <w:rPr>
                <w:rFonts w:ascii="宋体" w:hAnsi="宋体" w:eastAsia="宋体"/>
                <w:color w:val="auto"/>
                <w:szCs w:val="21"/>
              </w:rPr>
            </w:pPr>
            <w:r>
              <w:rPr>
                <w:rFonts w:hint="eastAsia" w:ascii="宋体" w:hAnsi="宋体" w:eastAsia="宋体"/>
                <w:color w:val="auto"/>
                <w:szCs w:val="21"/>
              </w:rPr>
              <w:t>深圳市物业管理公司</w:t>
            </w:r>
          </w:p>
        </w:tc>
        <w:tc>
          <w:tcPr>
            <w:tcW w:w="9019" w:type="dxa"/>
          </w:tcPr>
          <w:p>
            <w:pPr>
              <w:rPr>
                <w:rFonts w:ascii="宋体" w:hAnsi="宋体" w:eastAsia="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7</w:t>
            </w:r>
          </w:p>
        </w:tc>
        <w:tc>
          <w:tcPr>
            <w:tcW w:w="1134" w:type="dxa"/>
          </w:tcPr>
          <w:p>
            <w:pPr>
              <w:rPr>
                <w:rFonts w:ascii="宋体" w:hAnsi="宋体" w:eastAsia="宋体"/>
                <w:color w:val="auto"/>
                <w:szCs w:val="21"/>
              </w:rPr>
            </w:pPr>
            <w:r>
              <w:rPr>
                <w:rFonts w:hint="eastAsia" w:ascii="宋体" w:hAnsi="宋体" w:eastAsia="宋体"/>
                <w:color w:val="auto"/>
                <w:szCs w:val="21"/>
              </w:rPr>
              <w:t>1982年</w:t>
            </w:r>
          </w:p>
        </w:tc>
        <w:tc>
          <w:tcPr>
            <w:tcW w:w="5954" w:type="dxa"/>
          </w:tcPr>
          <w:p>
            <w:pPr>
              <w:rPr>
                <w:rFonts w:ascii="宋体" w:hAnsi="宋体" w:eastAsia="宋体"/>
                <w:color w:val="auto"/>
                <w:szCs w:val="21"/>
              </w:rPr>
            </w:pPr>
            <w:r>
              <w:rPr>
                <w:rFonts w:hint="eastAsia" w:ascii="宋体" w:hAnsi="宋体" w:eastAsia="宋体"/>
                <w:color w:val="auto"/>
                <w:szCs w:val="21"/>
              </w:rPr>
              <w:t>深圳提出“时间就是金钱、效率就是生命”口号</w:t>
            </w:r>
          </w:p>
        </w:tc>
        <w:tc>
          <w:tcPr>
            <w:tcW w:w="4110" w:type="dxa"/>
          </w:tcPr>
          <w:p>
            <w:pPr>
              <w:rPr>
                <w:rFonts w:ascii="宋体" w:hAnsi="宋体" w:eastAsia="宋体"/>
                <w:color w:val="auto"/>
                <w:szCs w:val="21"/>
              </w:rPr>
            </w:pPr>
            <w:r>
              <w:rPr>
                <w:rFonts w:hint="eastAsia" w:ascii="宋体" w:hAnsi="宋体" w:eastAsia="宋体"/>
                <w:color w:val="auto"/>
                <w:szCs w:val="21"/>
              </w:rPr>
              <w:t>蛇口工业区时间广场。</w:t>
            </w:r>
          </w:p>
        </w:tc>
        <w:tc>
          <w:tcPr>
            <w:tcW w:w="9019" w:type="dxa"/>
          </w:tcPr>
          <w:p>
            <w:pPr>
              <w:rPr>
                <w:rFonts w:ascii="宋体" w:hAnsi="宋体" w:eastAsia="宋体"/>
                <w:color w:val="auto"/>
                <w:szCs w:val="21"/>
              </w:rPr>
            </w:pPr>
            <w:r>
              <w:rPr>
                <w:rFonts w:hint="eastAsia" w:ascii="宋体" w:hAnsi="宋体" w:eastAsia="宋体"/>
                <w:color w:val="auto"/>
                <w:szCs w:val="21"/>
              </w:rPr>
              <w:t>被誉为“知名度最高，对国人最有影响的口号。《深圳特区报》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8</w:t>
            </w:r>
          </w:p>
        </w:tc>
        <w:tc>
          <w:tcPr>
            <w:tcW w:w="1134" w:type="dxa"/>
          </w:tcPr>
          <w:p>
            <w:pPr>
              <w:rPr>
                <w:rFonts w:ascii="宋体" w:hAnsi="宋体" w:eastAsia="宋体"/>
                <w:color w:val="auto"/>
                <w:szCs w:val="21"/>
              </w:rPr>
            </w:pPr>
            <w:r>
              <w:rPr>
                <w:rFonts w:hint="eastAsia" w:ascii="宋体" w:hAnsi="宋体" w:eastAsia="宋体"/>
                <w:color w:val="auto"/>
                <w:szCs w:val="21"/>
              </w:rPr>
              <w:t>1982年</w:t>
            </w:r>
          </w:p>
        </w:tc>
        <w:tc>
          <w:tcPr>
            <w:tcW w:w="5954" w:type="dxa"/>
          </w:tcPr>
          <w:p>
            <w:pPr>
              <w:rPr>
                <w:rFonts w:ascii="宋体" w:hAnsi="宋体" w:eastAsia="宋体"/>
                <w:color w:val="auto"/>
                <w:szCs w:val="21"/>
              </w:rPr>
            </w:pPr>
            <w:r>
              <w:rPr>
                <w:rFonts w:hint="eastAsia" w:ascii="宋体" w:hAnsi="宋体" w:eastAsia="宋体"/>
                <w:color w:val="auto"/>
                <w:szCs w:val="21"/>
              </w:rPr>
              <w:t>率先放开一切生活必需品价格，终结了近四十年的票证制度</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一切生活必需品价格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9</w:t>
            </w:r>
          </w:p>
        </w:tc>
        <w:tc>
          <w:tcPr>
            <w:tcW w:w="1134" w:type="dxa"/>
          </w:tcPr>
          <w:p>
            <w:pPr>
              <w:rPr>
                <w:rFonts w:ascii="宋体" w:hAnsi="宋体" w:eastAsia="宋体"/>
                <w:color w:val="auto"/>
                <w:szCs w:val="21"/>
              </w:rPr>
            </w:pPr>
            <w:r>
              <w:rPr>
                <w:rFonts w:hint="eastAsia" w:ascii="宋体" w:hAnsi="宋体" w:eastAsia="宋体"/>
                <w:color w:val="auto"/>
                <w:szCs w:val="21"/>
              </w:rPr>
              <w:t>1982年</w:t>
            </w:r>
          </w:p>
        </w:tc>
        <w:tc>
          <w:tcPr>
            <w:tcW w:w="5954" w:type="dxa"/>
          </w:tcPr>
          <w:p>
            <w:pPr>
              <w:rPr>
                <w:rFonts w:ascii="宋体" w:hAnsi="宋体" w:eastAsia="宋体"/>
                <w:color w:val="auto"/>
                <w:szCs w:val="21"/>
              </w:rPr>
            </w:pPr>
            <w:r>
              <w:rPr>
                <w:rFonts w:hint="eastAsia" w:ascii="宋体" w:hAnsi="宋体" w:eastAsia="宋体"/>
                <w:color w:val="auto"/>
                <w:szCs w:val="21"/>
              </w:rPr>
              <w:t>工资改革试点（岗位工资制），改革劳动分配制度，在中国内地率先实行结构工资制。</w:t>
            </w:r>
          </w:p>
        </w:tc>
        <w:tc>
          <w:tcPr>
            <w:tcW w:w="4110" w:type="dxa"/>
          </w:tcPr>
          <w:p>
            <w:pPr>
              <w:rPr>
                <w:rFonts w:ascii="宋体" w:hAnsi="宋体" w:eastAsia="宋体"/>
                <w:color w:val="auto"/>
                <w:szCs w:val="21"/>
              </w:rPr>
            </w:pPr>
            <w:r>
              <w:rPr>
                <w:rFonts w:hint="eastAsia" w:ascii="宋体" w:hAnsi="宋体" w:eastAsia="宋体"/>
                <w:color w:val="auto"/>
                <w:szCs w:val="21"/>
              </w:rPr>
              <w:t>友谊餐厅、竹园宾馆</w:t>
            </w:r>
          </w:p>
        </w:tc>
        <w:tc>
          <w:tcPr>
            <w:tcW w:w="9019" w:type="dxa"/>
          </w:tcPr>
          <w:p>
            <w:pPr>
              <w:rPr>
                <w:rFonts w:ascii="宋体" w:hAnsi="宋体" w:eastAsia="宋体"/>
                <w:color w:val="auto"/>
                <w:szCs w:val="21"/>
              </w:rPr>
            </w:pPr>
            <w:r>
              <w:rPr>
                <w:rFonts w:hint="eastAsia" w:ascii="宋体" w:hAnsi="宋体" w:eastAsia="宋体"/>
                <w:color w:val="auto"/>
                <w:szCs w:val="21"/>
              </w:rPr>
              <w:t>岗位工资制试点、劳动用工合同制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10</w:t>
            </w:r>
          </w:p>
        </w:tc>
        <w:tc>
          <w:tcPr>
            <w:tcW w:w="1134" w:type="dxa"/>
          </w:tcPr>
          <w:p>
            <w:pPr>
              <w:rPr>
                <w:rFonts w:ascii="宋体" w:hAnsi="宋体" w:eastAsia="宋体"/>
                <w:color w:val="auto"/>
                <w:szCs w:val="21"/>
              </w:rPr>
            </w:pPr>
            <w:r>
              <w:rPr>
                <w:rFonts w:hint="eastAsia" w:ascii="宋体" w:hAnsi="宋体" w:eastAsia="宋体"/>
                <w:color w:val="auto"/>
                <w:szCs w:val="21"/>
              </w:rPr>
              <w:t>1982年</w:t>
            </w:r>
          </w:p>
        </w:tc>
        <w:tc>
          <w:tcPr>
            <w:tcW w:w="5954" w:type="dxa"/>
          </w:tcPr>
          <w:p>
            <w:pPr>
              <w:rPr>
                <w:rFonts w:ascii="宋体" w:hAnsi="宋体" w:eastAsia="宋体"/>
                <w:color w:val="auto"/>
                <w:szCs w:val="21"/>
              </w:rPr>
            </w:pPr>
            <w:r>
              <w:rPr>
                <w:rFonts w:hint="eastAsia" w:ascii="宋体" w:hAnsi="宋体" w:eastAsia="宋体"/>
                <w:color w:val="auto"/>
                <w:szCs w:val="21"/>
              </w:rPr>
              <w:t>深圳市委机关报《深圳特区报》正式创刊</w:t>
            </w:r>
          </w:p>
        </w:tc>
        <w:tc>
          <w:tcPr>
            <w:tcW w:w="4110" w:type="dxa"/>
          </w:tcPr>
          <w:p>
            <w:pPr>
              <w:rPr>
                <w:rFonts w:ascii="宋体" w:hAnsi="宋体" w:eastAsia="宋体"/>
                <w:color w:val="auto"/>
                <w:szCs w:val="21"/>
              </w:rPr>
            </w:pPr>
            <w:r>
              <w:rPr>
                <w:rFonts w:hint="eastAsia" w:ascii="宋体" w:hAnsi="宋体" w:eastAsia="宋体"/>
                <w:color w:val="auto"/>
                <w:szCs w:val="21"/>
              </w:rPr>
              <w:t>待定</w:t>
            </w:r>
          </w:p>
        </w:tc>
        <w:tc>
          <w:tcPr>
            <w:tcW w:w="9019" w:type="dxa"/>
          </w:tcPr>
          <w:p>
            <w:pPr>
              <w:rPr>
                <w:rFonts w:ascii="宋体" w:hAnsi="宋体" w:eastAsia="宋体"/>
                <w:color w:val="auto"/>
                <w:szCs w:val="21"/>
              </w:rPr>
            </w:pPr>
            <w:r>
              <w:rPr>
                <w:rFonts w:hint="eastAsia" w:ascii="宋体" w:hAnsi="宋体" w:eastAsia="宋体"/>
                <w:color w:val="auto"/>
                <w:szCs w:val="21"/>
              </w:rPr>
              <w:t>深圳经济特区权威媒体和第一大报。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11</w:t>
            </w:r>
          </w:p>
        </w:tc>
        <w:tc>
          <w:tcPr>
            <w:tcW w:w="1134" w:type="dxa"/>
          </w:tcPr>
          <w:p>
            <w:pPr>
              <w:rPr>
                <w:rFonts w:ascii="宋体" w:hAnsi="宋体" w:eastAsia="宋体"/>
                <w:color w:val="auto"/>
                <w:szCs w:val="21"/>
              </w:rPr>
            </w:pPr>
            <w:r>
              <w:rPr>
                <w:rFonts w:hint="eastAsia" w:ascii="宋体" w:hAnsi="宋体" w:eastAsia="宋体"/>
                <w:color w:val="auto"/>
                <w:szCs w:val="21"/>
              </w:rPr>
              <w:t>1982年</w:t>
            </w:r>
          </w:p>
        </w:tc>
        <w:tc>
          <w:tcPr>
            <w:tcW w:w="5954" w:type="dxa"/>
          </w:tcPr>
          <w:p>
            <w:pPr>
              <w:rPr>
                <w:rFonts w:ascii="宋体" w:hAnsi="宋体" w:eastAsia="宋体"/>
                <w:color w:val="auto"/>
                <w:szCs w:val="21"/>
              </w:rPr>
            </w:pPr>
            <w:r>
              <w:rPr>
                <w:rFonts w:hint="eastAsia" w:ascii="宋体" w:hAnsi="宋体" w:eastAsia="宋体"/>
                <w:color w:val="auto"/>
                <w:szCs w:val="21"/>
              </w:rPr>
              <w:t>第一个引进外资的银行</w:t>
            </w:r>
          </w:p>
        </w:tc>
        <w:tc>
          <w:tcPr>
            <w:tcW w:w="4110" w:type="dxa"/>
          </w:tcPr>
          <w:p>
            <w:pPr>
              <w:rPr>
                <w:rFonts w:ascii="宋体" w:hAnsi="宋体" w:eastAsia="宋体"/>
                <w:color w:val="auto"/>
                <w:szCs w:val="21"/>
              </w:rPr>
            </w:pPr>
            <w:r>
              <w:rPr>
                <w:rFonts w:hint="eastAsia" w:ascii="宋体" w:hAnsi="宋体" w:eastAsia="宋体"/>
                <w:color w:val="auto"/>
                <w:szCs w:val="21"/>
              </w:rPr>
              <w:t>南洋商业银行、民安保险公司</w:t>
            </w:r>
          </w:p>
        </w:tc>
        <w:tc>
          <w:tcPr>
            <w:tcW w:w="9019" w:type="dxa"/>
          </w:tcPr>
          <w:p>
            <w:pPr>
              <w:rPr>
                <w:rFonts w:ascii="宋体" w:hAnsi="宋体" w:eastAsia="宋体"/>
                <w:color w:val="auto"/>
                <w:szCs w:val="21"/>
              </w:rPr>
            </w:pPr>
            <w:r>
              <w:rPr>
                <w:rFonts w:hint="eastAsia" w:ascii="宋体" w:hAnsi="宋体" w:eastAsia="宋体"/>
                <w:color w:val="auto"/>
                <w:szCs w:val="21"/>
              </w:rPr>
              <w:t>第一个引进外资的银行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4" w:type="dxa"/>
          </w:tcPr>
          <w:p>
            <w:pPr>
              <w:rPr>
                <w:rFonts w:ascii="宋体" w:hAnsi="宋体" w:eastAsia="宋体"/>
                <w:color w:val="auto"/>
                <w:szCs w:val="21"/>
              </w:rPr>
            </w:pPr>
            <w:r>
              <w:rPr>
                <w:rFonts w:hint="eastAsia" w:ascii="宋体" w:hAnsi="宋体" w:eastAsia="宋体"/>
                <w:color w:val="auto"/>
                <w:szCs w:val="21"/>
              </w:rPr>
              <w:t>12</w:t>
            </w:r>
          </w:p>
        </w:tc>
        <w:tc>
          <w:tcPr>
            <w:tcW w:w="1134" w:type="dxa"/>
          </w:tcPr>
          <w:p>
            <w:pPr>
              <w:rPr>
                <w:rFonts w:ascii="宋体" w:hAnsi="宋体" w:eastAsia="宋体"/>
                <w:color w:val="auto"/>
                <w:szCs w:val="21"/>
              </w:rPr>
            </w:pPr>
            <w:r>
              <w:rPr>
                <w:rFonts w:hint="eastAsia" w:ascii="宋体" w:hAnsi="宋体" w:eastAsia="宋体"/>
                <w:color w:val="auto"/>
                <w:szCs w:val="21"/>
              </w:rPr>
              <w:t>1982年</w:t>
            </w:r>
          </w:p>
        </w:tc>
        <w:tc>
          <w:tcPr>
            <w:tcW w:w="5954" w:type="dxa"/>
          </w:tcPr>
          <w:p>
            <w:pPr>
              <w:rPr>
                <w:rFonts w:ascii="宋体" w:hAnsi="宋体" w:eastAsia="宋体"/>
                <w:color w:val="auto"/>
                <w:szCs w:val="21"/>
              </w:rPr>
            </w:pPr>
            <w:r>
              <w:rPr>
                <w:rFonts w:hint="eastAsia" w:ascii="宋体" w:hAnsi="宋体" w:eastAsia="宋体"/>
                <w:color w:val="auto"/>
                <w:szCs w:val="21"/>
              </w:rPr>
              <w:t>国家正式批准了大亚湾核电站项目</w:t>
            </w:r>
          </w:p>
        </w:tc>
        <w:tc>
          <w:tcPr>
            <w:tcW w:w="4110" w:type="dxa"/>
          </w:tcPr>
          <w:p>
            <w:pPr>
              <w:rPr>
                <w:rFonts w:ascii="宋体" w:hAnsi="宋体" w:eastAsia="宋体"/>
                <w:color w:val="auto"/>
                <w:szCs w:val="21"/>
              </w:rPr>
            </w:pPr>
            <w:r>
              <w:rPr>
                <w:rFonts w:hint="eastAsia" w:ascii="宋体" w:hAnsi="宋体" w:eastAsia="宋体"/>
                <w:color w:val="auto"/>
                <w:szCs w:val="21"/>
              </w:rPr>
              <w:t>大亚湾核电站</w:t>
            </w:r>
          </w:p>
        </w:tc>
        <w:tc>
          <w:tcPr>
            <w:tcW w:w="9019" w:type="dxa"/>
          </w:tcPr>
          <w:p>
            <w:pPr>
              <w:rPr>
                <w:rFonts w:ascii="宋体" w:hAnsi="宋体" w:eastAsia="宋体"/>
                <w:color w:val="auto"/>
                <w:szCs w:val="21"/>
              </w:rPr>
            </w:pPr>
            <w:r>
              <w:rPr>
                <w:rFonts w:hint="eastAsia" w:ascii="宋体" w:hAnsi="宋体" w:eastAsia="宋体"/>
                <w:color w:val="auto"/>
                <w:szCs w:val="21"/>
              </w:rPr>
              <w:t>中国内地第一座百万千瓦级大型商用核电站。深圳市东部大亚湾畔，距深圳市直线距离约45公里。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13</w:t>
            </w:r>
          </w:p>
        </w:tc>
        <w:tc>
          <w:tcPr>
            <w:tcW w:w="1134" w:type="dxa"/>
          </w:tcPr>
          <w:p>
            <w:pPr>
              <w:rPr>
                <w:rFonts w:ascii="宋体" w:hAnsi="宋体" w:eastAsia="宋体"/>
                <w:color w:val="auto"/>
                <w:szCs w:val="21"/>
              </w:rPr>
            </w:pPr>
            <w:r>
              <w:rPr>
                <w:rFonts w:hint="eastAsia" w:ascii="宋体" w:hAnsi="宋体" w:eastAsia="宋体"/>
                <w:color w:val="auto"/>
                <w:szCs w:val="21"/>
              </w:rPr>
              <w:t>1983年</w:t>
            </w:r>
          </w:p>
        </w:tc>
        <w:tc>
          <w:tcPr>
            <w:tcW w:w="5954" w:type="dxa"/>
          </w:tcPr>
          <w:p>
            <w:pPr>
              <w:rPr>
                <w:rFonts w:ascii="宋体" w:hAnsi="宋体" w:eastAsia="宋体"/>
                <w:color w:val="auto"/>
                <w:szCs w:val="21"/>
              </w:rPr>
            </w:pPr>
            <w:r>
              <w:rPr>
                <w:rFonts w:hint="eastAsia" w:ascii="宋体" w:hAnsi="宋体" w:eastAsia="宋体"/>
                <w:color w:val="auto"/>
                <w:szCs w:val="21"/>
              </w:rPr>
              <w:t>新中国第一张股票“深宝安”发行</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第一张股票“深宝安”。深圳宝安县。深圳第一家股份制企业诞生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14</w:t>
            </w:r>
          </w:p>
        </w:tc>
        <w:tc>
          <w:tcPr>
            <w:tcW w:w="1134" w:type="dxa"/>
          </w:tcPr>
          <w:p>
            <w:pPr>
              <w:rPr>
                <w:rFonts w:ascii="宋体" w:hAnsi="宋体" w:eastAsia="宋体"/>
                <w:color w:val="auto"/>
                <w:szCs w:val="21"/>
              </w:rPr>
            </w:pPr>
            <w:r>
              <w:rPr>
                <w:rFonts w:hint="eastAsia" w:ascii="宋体" w:hAnsi="宋体" w:eastAsia="宋体"/>
                <w:color w:val="auto"/>
                <w:szCs w:val="21"/>
              </w:rPr>
              <w:t>1983年</w:t>
            </w:r>
          </w:p>
        </w:tc>
        <w:tc>
          <w:tcPr>
            <w:tcW w:w="5954" w:type="dxa"/>
          </w:tcPr>
          <w:p>
            <w:pPr>
              <w:rPr>
                <w:rFonts w:ascii="宋体" w:hAnsi="宋体" w:eastAsia="宋体"/>
                <w:color w:val="auto"/>
                <w:szCs w:val="21"/>
              </w:rPr>
            </w:pPr>
            <w:r>
              <w:rPr>
                <w:rFonts w:hint="eastAsia" w:ascii="宋体" w:hAnsi="宋体" w:eastAsia="宋体"/>
                <w:color w:val="auto"/>
                <w:szCs w:val="21"/>
              </w:rPr>
              <w:t>2万基建工程兵集体转业到深圳</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基建工程兵。1983年9月15日，基建工程兵改编大会在深圳戏院隆重举行。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15</w:t>
            </w:r>
          </w:p>
        </w:tc>
        <w:tc>
          <w:tcPr>
            <w:tcW w:w="1134" w:type="dxa"/>
          </w:tcPr>
          <w:p>
            <w:pPr>
              <w:rPr>
                <w:rFonts w:ascii="宋体" w:hAnsi="宋体" w:eastAsia="宋体"/>
                <w:color w:val="auto"/>
                <w:szCs w:val="21"/>
              </w:rPr>
            </w:pPr>
            <w:r>
              <w:rPr>
                <w:rFonts w:hint="eastAsia" w:ascii="宋体" w:hAnsi="宋体" w:eastAsia="宋体"/>
                <w:color w:val="auto"/>
                <w:szCs w:val="21"/>
              </w:rPr>
              <w:t>1983年</w:t>
            </w:r>
          </w:p>
        </w:tc>
        <w:tc>
          <w:tcPr>
            <w:tcW w:w="5954" w:type="dxa"/>
          </w:tcPr>
          <w:p>
            <w:pPr>
              <w:rPr>
                <w:rFonts w:ascii="宋体" w:hAnsi="宋体" w:eastAsia="宋体"/>
                <w:color w:val="auto"/>
                <w:szCs w:val="21"/>
              </w:rPr>
            </w:pPr>
            <w:r>
              <w:rPr>
                <w:rFonts w:hint="eastAsia" w:ascii="宋体" w:hAnsi="宋体" w:eastAsia="宋体"/>
                <w:color w:val="auto"/>
                <w:szCs w:val="21"/>
              </w:rPr>
              <w:t>蛇口工业区管委会推行直选改革</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直选改革。香港招商局。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16</w:t>
            </w:r>
          </w:p>
        </w:tc>
        <w:tc>
          <w:tcPr>
            <w:tcW w:w="1134" w:type="dxa"/>
          </w:tcPr>
          <w:p>
            <w:pPr>
              <w:rPr>
                <w:rFonts w:ascii="宋体" w:hAnsi="宋体" w:eastAsia="宋体"/>
                <w:color w:val="auto"/>
                <w:szCs w:val="21"/>
              </w:rPr>
            </w:pPr>
            <w:r>
              <w:rPr>
                <w:rFonts w:hint="eastAsia" w:ascii="宋体" w:hAnsi="宋体" w:eastAsia="宋体"/>
                <w:color w:val="auto"/>
                <w:szCs w:val="21"/>
              </w:rPr>
              <w:t xml:space="preserve"> 1983年</w:t>
            </w:r>
          </w:p>
        </w:tc>
        <w:tc>
          <w:tcPr>
            <w:tcW w:w="5954" w:type="dxa"/>
          </w:tcPr>
          <w:p>
            <w:pPr>
              <w:rPr>
                <w:rFonts w:ascii="宋体" w:hAnsi="宋体" w:eastAsia="宋体"/>
                <w:color w:val="auto"/>
                <w:szCs w:val="21"/>
              </w:rPr>
            </w:pPr>
            <w:r>
              <w:rPr>
                <w:rFonts w:hint="eastAsia" w:ascii="宋体" w:hAnsi="宋体" w:eastAsia="宋体"/>
                <w:color w:val="auto"/>
                <w:szCs w:val="21"/>
              </w:rPr>
              <w:t>《深圳市实行劳动合同制暂行办法》出台</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深圳成为中国内地第一个实行劳动用工合同制的城市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17</w:t>
            </w:r>
          </w:p>
        </w:tc>
        <w:tc>
          <w:tcPr>
            <w:tcW w:w="1134" w:type="dxa"/>
          </w:tcPr>
          <w:p>
            <w:pPr>
              <w:rPr>
                <w:rFonts w:ascii="宋体" w:hAnsi="宋体" w:eastAsia="宋体"/>
                <w:color w:val="auto"/>
                <w:szCs w:val="21"/>
              </w:rPr>
            </w:pPr>
            <w:r>
              <w:rPr>
                <w:rFonts w:hint="eastAsia" w:ascii="宋体" w:hAnsi="宋体" w:eastAsia="宋体"/>
                <w:color w:val="auto"/>
                <w:szCs w:val="21"/>
              </w:rPr>
              <w:t>1983年</w:t>
            </w:r>
          </w:p>
        </w:tc>
        <w:tc>
          <w:tcPr>
            <w:tcW w:w="5954" w:type="dxa"/>
          </w:tcPr>
          <w:p>
            <w:pPr>
              <w:rPr>
                <w:rFonts w:ascii="宋体" w:hAnsi="宋体" w:eastAsia="宋体"/>
                <w:color w:val="auto"/>
                <w:szCs w:val="21"/>
              </w:rPr>
            </w:pPr>
            <w:r>
              <w:rPr>
                <w:rFonts w:hint="eastAsia" w:ascii="宋体" w:hAnsi="宋体" w:eastAsia="宋体"/>
                <w:color w:val="auto"/>
                <w:szCs w:val="21"/>
              </w:rPr>
              <w:t>《深圳市实行社会劳动保险暂行规定》出台</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深圳在中国内地率先探索合同制职工社会劳动保险制度改革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4" w:type="dxa"/>
          </w:tcPr>
          <w:p>
            <w:pPr>
              <w:rPr>
                <w:rFonts w:ascii="宋体" w:hAnsi="宋体" w:eastAsia="宋体"/>
                <w:color w:val="auto"/>
                <w:szCs w:val="21"/>
              </w:rPr>
            </w:pPr>
            <w:r>
              <w:rPr>
                <w:rFonts w:hint="eastAsia" w:ascii="宋体" w:hAnsi="宋体" w:eastAsia="宋体"/>
                <w:color w:val="auto"/>
                <w:szCs w:val="21"/>
              </w:rPr>
              <w:t>18</w:t>
            </w:r>
          </w:p>
        </w:tc>
        <w:tc>
          <w:tcPr>
            <w:tcW w:w="1134" w:type="dxa"/>
          </w:tcPr>
          <w:p>
            <w:pPr>
              <w:rPr>
                <w:rFonts w:ascii="宋体" w:hAnsi="宋体" w:eastAsia="宋体"/>
                <w:color w:val="auto"/>
                <w:szCs w:val="21"/>
              </w:rPr>
            </w:pPr>
            <w:r>
              <w:rPr>
                <w:rFonts w:hint="eastAsia" w:ascii="宋体" w:hAnsi="宋体" w:eastAsia="宋体"/>
                <w:color w:val="auto"/>
                <w:szCs w:val="21"/>
              </w:rPr>
              <w:t>1983年</w:t>
            </w:r>
          </w:p>
        </w:tc>
        <w:tc>
          <w:tcPr>
            <w:tcW w:w="5954" w:type="dxa"/>
          </w:tcPr>
          <w:p>
            <w:pPr>
              <w:rPr>
                <w:rFonts w:ascii="宋体" w:hAnsi="宋体" w:eastAsia="宋体"/>
                <w:color w:val="auto"/>
                <w:szCs w:val="21"/>
              </w:rPr>
            </w:pPr>
            <w:r>
              <w:rPr>
                <w:rFonts w:hint="eastAsia" w:ascii="宋体" w:hAnsi="宋体" w:eastAsia="宋体"/>
                <w:color w:val="auto"/>
                <w:szCs w:val="21"/>
              </w:rPr>
              <w:t>上海宾馆</w:t>
            </w:r>
          </w:p>
        </w:tc>
        <w:tc>
          <w:tcPr>
            <w:tcW w:w="4110" w:type="dxa"/>
          </w:tcPr>
          <w:p>
            <w:pPr>
              <w:rPr>
                <w:rFonts w:ascii="宋体" w:hAnsi="宋体" w:eastAsia="宋体"/>
                <w:color w:val="auto"/>
                <w:szCs w:val="21"/>
              </w:rPr>
            </w:pPr>
            <w:r>
              <w:rPr>
                <w:rFonts w:hint="eastAsia" w:ascii="宋体" w:hAnsi="宋体" w:eastAsia="宋体"/>
                <w:color w:val="auto"/>
                <w:szCs w:val="21"/>
              </w:rPr>
              <w:t>上海宾馆</w:t>
            </w:r>
          </w:p>
        </w:tc>
        <w:tc>
          <w:tcPr>
            <w:tcW w:w="9019" w:type="dxa"/>
          </w:tcPr>
          <w:p>
            <w:pPr>
              <w:rPr>
                <w:rFonts w:ascii="宋体" w:hAnsi="宋体" w:eastAsia="宋体"/>
                <w:color w:val="auto"/>
                <w:szCs w:val="21"/>
              </w:rPr>
            </w:pPr>
            <w:r>
              <w:rPr>
                <w:rFonts w:hint="eastAsia" w:ascii="宋体" w:hAnsi="宋体" w:eastAsia="宋体"/>
                <w:color w:val="auto"/>
                <w:szCs w:val="21"/>
              </w:rPr>
              <w:t>入选深圳十大建筑，始建于1983年，于1985年正式开业。素有深圳城市“坐标”之称。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19</w:t>
            </w:r>
          </w:p>
        </w:tc>
        <w:tc>
          <w:tcPr>
            <w:tcW w:w="1134" w:type="dxa"/>
          </w:tcPr>
          <w:p>
            <w:pPr>
              <w:rPr>
                <w:rFonts w:ascii="宋体" w:hAnsi="宋体" w:eastAsia="宋体"/>
                <w:color w:val="auto"/>
                <w:szCs w:val="21"/>
              </w:rPr>
            </w:pPr>
            <w:r>
              <w:rPr>
                <w:rFonts w:hint="eastAsia" w:ascii="宋体" w:hAnsi="宋体" w:eastAsia="宋体"/>
                <w:color w:val="auto"/>
                <w:szCs w:val="21"/>
              </w:rPr>
              <w:t>1983年</w:t>
            </w:r>
          </w:p>
        </w:tc>
        <w:tc>
          <w:tcPr>
            <w:tcW w:w="5954" w:type="dxa"/>
          </w:tcPr>
          <w:p>
            <w:pPr>
              <w:rPr>
                <w:rFonts w:ascii="宋体" w:hAnsi="宋体" w:eastAsia="宋体"/>
                <w:color w:val="auto"/>
                <w:szCs w:val="21"/>
              </w:rPr>
            </w:pPr>
            <w:r>
              <w:rPr>
                <w:rFonts w:hint="eastAsia" w:ascii="宋体" w:hAnsi="宋体" w:eastAsia="宋体"/>
                <w:color w:val="auto"/>
                <w:szCs w:val="21"/>
              </w:rPr>
              <w:t>深圳大学经国务院批准创办</w:t>
            </w:r>
          </w:p>
        </w:tc>
        <w:tc>
          <w:tcPr>
            <w:tcW w:w="4110" w:type="dxa"/>
          </w:tcPr>
          <w:p>
            <w:pPr>
              <w:rPr>
                <w:rFonts w:ascii="宋体" w:hAnsi="宋体" w:eastAsia="宋体"/>
                <w:color w:val="auto"/>
                <w:szCs w:val="21"/>
              </w:rPr>
            </w:pPr>
            <w:r>
              <w:rPr>
                <w:rFonts w:hint="eastAsia" w:ascii="宋体" w:hAnsi="宋体" w:eastAsia="宋体"/>
                <w:color w:val="auto"/>
                <w:szCs w:val="21"/>
              </w:rPr>
              <w:t>深圳大学</w:t>
            </w:r>
          </w:p>
        </w:tc>
        <w:tc>
          <w:tcPr>
            <w:tcW w:w="9019" w:type="dxa"/>
          </w:tcPr>
          <w:p>
            <w:pPr>
              <w:rPr>
                <w:rFonts w:ascii="宋体" w:hAnsi="宋体" w:eastAsia="宋体"/>
                <w:color w:val="auto"/>
                <w:szCs w:val="21"/>
              </w:rPr>
            </w:pPr>
            <w:r>
              <w:rPr>
                <w:rFonts w:hint="eastAsia" w:ascii="宋体" w:hAnsi="宋体" w:eastAsia="宋体"/>
                <w:color w:val="auto"/>
                <w:szCs w:val="21"/>
              </w:rPr>
              <w:t>深圳第一所全日制高等院校，深圳大学主体建筑入选深圳十大建筑。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4" w:type="dxa"/>
          </w:tcPr>
          <w:p>
            <w:pPr>
              <w:rPr>
                <w:rFonts w:ascii="宋体" w:hAnsi="宋体" w:eastAsia="宋体"/>
                <w:color w:val="auto"/>
                <w:szCs w:val="21"/>
              </w:rPr>
            </w:pPr>
            <w:r>
              <w:rPr>
                <w:rFonts w:hint="eastAsia" w:ascii="宋体" w:hAnsi="宋体" w:eastAsia="宋体"/>
                <w:color w:val="auto"/>
                <w:szCs w:val="21"/>
              </w:rPr>
              <w:t>20</w:t>
            </w:r>
          </w:p>
        </w:tc>
        <w:tc>
          <w:tcPr>
            <w:tcW w:w="1134" w:type="dxa"/>
          </w:tcPr>
          <w:p>
            <w:pPr>
              <w:rPr>
                <w:rFonts w:ascii="宋体" w:hAnsi="宋体" w:eastAsia="宋体"/>
                <w:color w:val="auto"/>
                <w:szCs w:val="21"/>
              </w:rPr>
            </w:pPr>
            <w:r>
              <w:rPr>
                <w:rFonts w:hint="eastAsia" w:ascii="宋体" w:hAnsi="宋体" w:eastAsia="宋体"/>
                <w:color w:val="auto"/>
                <w:szCs w:val="21"/>
              </w:rPr>
              <w:t>1983年</w:t>
            </w:r>
          </w:p>
        </w:tc>
        <w:tc>
          <w:tcPr>
            <w:tcW w:w="5954" w:type="dxa"/>
          </w:tcPr>
          <w:p>
            <w:pPr>
              <w:rPr>
                <w:rFonts w:ascii="宋体" w:hAnsi="宋体" w:eastAsia="宋体"/>
                <w:color w:val="auto"/>
                <w:szCs w:val="21"/>
              </w:rPr>
            </w:pPr>
            <w:r>
              <w:rPr>
                <w:rFonts w:hint="eastAsia" w:ascii="宋体" w:hAnsi="宋体" w:eastAsia="宋体"/>
                <w:color w:val="auto"/>
                <w:szCs w:val="21"/>
              </w:rPr>
              <w:t>深大电话有限公司在深圳正式挂牌成立</w:t>
            </w:r>
          </w:p>
        </w:tc>
        <w:tc>
          <w:tcPr>
            <w:tcW w:w="4110" w:type="dxa"/>
          </w:tcPr>
          <w:p>
            <w:pPr>
              <w:rPr>
                <w:rFonts w:ascii="宋体" w:hAnsi="宋体" w:eastAsia="宋体"/>
                <w:color w:val="auto"/>
                <w:szCs w:val="21"/>
              </w:rPr>
            </w:pPr>
            <w:r>
              <w:rPr>
                <w:rFonts w:hint="eastAsia" w:ascii="宋体" w:hAnsi="宋体" w:eastAsia="宋体"/>
                <w:color w:val="auto"/>
                <w:szCs w:val="21"/>
              </w:rPr>
              <w:t>深大电话有限公司（地点待定）</w:t>
            </w:r>
          </w:p>
        </w:tc>
        <w:tc>
          <w:tcPr>
            <w:tcW w:w="9019" w:type="dxa"/>
          </w:tcPr>
          <w:p>
            <w:pPr>
              <w:rPr>
                <w:rFonts w:ascii="宋体" w:hAnsi="宋体" w:eastAsia="宋体"/>
                <w:color w:val="auto"/>
                <w:szCs w:val="21"/>
              </w:rPr>
            </w:pPr>
            <w:r>
              <w:rPr>
                <w:rFonts w:hint="eastAsia" w:ascii="宋体" w:hAnsi="宋体" w:eastAsia="宋体"/>
                <w:color w:val="auto"/>
                <w:szCs w:val="21"/>
              </w:rPr>
              <w:t>深圳市电信发展公司和英国大东电报局公共有限公司联合经营。中国内地第一家中外合作电信运营企业。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4" w:type="dxa"/>
          </w:tcPr>
          <w:p>
            <w:pPr>
              <w:rPr>
                <w:rFonts w:ascii="宋体" w:hAnsi="宋体" w:eastAsia="宋体"/>
                <w:color w:val="auto"/>
                <w:szCs w:val="21"/>
              </w:rPr>
            </w:pPr>
            <w:r>
              <w:rPr>
                <w:rFonts w:hint="eastAsia" w:ascii="宋体" w:hAnsi="宋体" w:eastAsia="宋体"/>
                <w:color w:val="auto"/>
                <w:szCs w:val="21"/>
              </w:rPr>
              <w:t>21</w:t>
            </w:r>
          </w:p>
        </w:tc>
        <w:tc>
          <w:tcPr>
            <w:tcW w:w="1134" w:type="dxa"/>
          </w:tcPr>
          <w:p>
            <w:pPr>
              <w:rPr>
                <w:rFonts w:ascii="宋体" w:hAnsi="宋体" w:eastAsia="宋体"/>
                <w:color w:val="auto"/>
                <w:szCs w:val="21"/>
              </w:rPr>
            </w:pPr>
            <w:r>
              <w:rPr>
                <w:rFonts w:hint="eastAsia" w:ascii="宋体" w:hAnsi="宋体" w:eastAsia="宋体"/>
                <w:color w:val="auto"/>
                <w:szCs w:val="21"/>
              </w:rPr>
              <w:t>1983年</w:t>
            </w:r>
          </w:p>
        </w:tc>
        <w:tc>
          <w:tcPr>
            <w:tcW w:w="5954" w:type="dxa"/>
          </w:tcPr>
          <w:p>
            <w:pPr>
              <w:rPr>
                <w:rFonts w:ascii="宋体" w:hAnsi="宋体" w:eastAsia="宋体"/>
                <w:color w:val="auto"/>
                <w:szCs w:val="21"/>
              </w:rPr>
            </w:pPr>
            <w:r>
              <w:rPr>
                <w:rFonts w:hint="eastAsia" w:ascii="宋体" w:hAnsi="宋体" w:eastAsia="宋体"/>
                <w:color w:val="auto"/>
                <w:szCs w:val="21"/>
              </w:rPr>
              <w:t>深圳第一家五星級酒店</w:t>
            </w:r>
          </w:p>
        </w:tc>
        <w:tc>
          <w:tcPr>
            <w:tcW w:w="4110" w:type="dxa"/>
          </w:tcPr>
          <w:p>
            <w:pPr>
              <w:rPr>
                <w:rFonts w:ascii="宋体" w:hAnsi="宋体" w:eastAsia="宋体"/>
                <w:color w:val="auto"/>
                <w:szCs w:val="21"/>
              </w:rPr>
            </w:pPr>
            <w:r>
              <w:rPr>
                <w:rFonts w:hint="eastAsia" w:ascii="宋体" w:hAnsi="宋体" w:eastAsia="宋体"/>
                <w:color w:val="auto"/>
                <w:szCs w:val="21"/>
              </w:rPr>
              <w:t>深圳蛇口希尔顿南海酒店</w:t>
            </w:r>
          </w:p>
        </w:tc>
        <w:tc>
          <w:tcPr>
            <w:tcW w:w="9019" w:type="dxa"/>
          </w:tcPr>
          <w:p>
            <w:pPr>
              <w:rPr>
                <w:rFonts w:ascii="宋体" w:hAnsi="宋体" w:eastAsia="宋体"/>
                <w:color w:val="auto"/>
                <w:szCs w:val="21"/>
              </w:rPr>
            </w:pPr>
            <w:r>
              <w:rPr>
                <w:rFonts w:hint="eastAsia" w:ascii="宋体" w:hAnsi="宋体" w:eastAsia="宋体"/>
                <w:color w:val="auto"/>
                <w:szCs w:val="21"/>
              </w:rPr>
              <w:t>为解决300多常驻蛇口的专家食宿而建的深圳第一家五星級酒店。1985年正式对外营业。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22</w:t>
            </w:r>
          </w:p>
        </w:tc>
        <w:tc>
          <w:tcPr>
            <w:tcW w:w="1134" w:type="dxa"/>
          </w:tcPr>
          <w:p>
            <w:pPr>
              <w:rPr>
                <w:rFonts w:ascii="宋体" w:hAnsi="宋体" w:eastAsia="宋体"/>
                <w:color w:val="auto"/>
                <w:szCs w:val="21"/>
              </w:rPr>
            </w:pPr>
            <w:r>
              <w:rPr>
                <w:rFonts w:hint="eastAsia" w:ascii="宋体" w:hAnsi="宋体" w:eastAsia="宋体"/>
                <w:color w:val="auto"/>
                <w:szCs w:val="21"/>
              </w:rPr>
              <w:t>1984年</w:t>
            </w:r>
          </w:p>
        </w:tc>
        <w:tc>
          <w:tcPr>
            <w:tcW w:w="5954" w:type="dxa"/>
          </w:tcPr>
          <w:p>
            <w:pPr>
              <w:rPr>
                <w:rFonts w:ascii="宋体" w:hAnsi="宋体" w:eastAsia="宋体"/>
                <w:color w:val="auto"/>
                <w:szCs w:val="21"/>
              </w:rPr>
            </w:pPr>
            <w:r>
              <w:rPr>
                <w:rFonts w:hint="eastAsia" w:ascii="宋体" w:hAnsi="宋体" w:eastAsia="宋体"/>
                <w:color w:val="auto"/>
                <w:szCs w:val="21"/>
              </w:rPr>
              <w:t>“三天一层楼”国贸大厦成为深圳城市标志</w:t>
            </w:r>
          </w:p>
        </w:tc>
        <w:tc>
          <w:tcPr>
            <w:tcW w:w="4110" w:type="dxa"/>
          </w:tcPr>
          <w:p>
            <w:pPr>
              <w:rPr>
                <w:rFonts w:ascii="宋体" w:hAnsi="宋体" w:eastAsia="宋体"/>
                <w:color w:val="auto"/>
                <w:szCs w:val="21"/>
              </w:rPr>
            </w:pPr>
            <w:r>
              <w:rPr>
                <w:rFonts w:hint="eastAsia" w:ascii="宋体" w:hAnsi="宋体" w:eastAsia="宋体"/>
                <w:color w:val="auto"/>
                <w:szCs w:val="21"/>
              </w:rPr>
              <w:t>国贸大厦</w:t>
            </w:r>
          </w:p>
        </w:tc>
        <w:tc>
          <w:tcPr>
            <w:tcW w:w="9019" w:type="dxa"/>
          </w:tcPr>
          <w:p>
            <w:pPr>
              <w:rPr>
                <w:rFonts w:ascii="宋体" w:hAnsi="宋体" w:eastAsia="宋体"/>
                <w:color w:val="auto"/>
                <w:szCs w:val="21"/>
              </w:rPr>
            </w:pPr>
            <w:r>
              <w:rPr>
                <w:rFonts w:hint="eastAsia" w:ascii="宋体" w:hAnsi="宋体" w:eastAsia="宋体"/>
                <w:color w:val="auto"/>
                <w:szCs w:val="21"/>
              </w:rPr>
              <w:t>“深圳速度”被载入史册。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4" w:type="dxa"/>
          </w:tcPr>
          <w:p>
            <w:pPr>
              <w:rPr>
                <w:rFonts w:ascii="宋体" w:hAnsi="宋体" w:eastAsia="宋体"/>
                <w:color w:val="auto"/>
                <w:szCs w:val="21"/>
              </w:rPr>
            </w:pPr>
            <w:r>
              <w:rPr>
                <w:rFonts w:hint="eastAsia" w:ascii="宋体" w:hAnsi="宋体" w:eastAsia="宋体"/>
                <w:color w:val="auto"/>
                <w:szCs w:val="21"/>
              </w:rPr>
              <w:t>23</w:t>
            </w:r>
          </w:p>
        </w:tc>
        <w:tc>
          <w:tcPr>
            <w:tcW w:w="1134" w:type="dxa"/>
          </w:tcPr>
          <w:p>
            <w:pPr>
              <w:rPr>
                <w:rFonts w:ascii="宋体" w:hAnsi="宋体" w:eastAsia="宋体"/>
                <w:color w:val="auto"/>
                <w:szCs w:val="21"/>
              </w:rPr>
            </w:pPr>
            <w:r>
              <w:rPr>
                <w:rFonts w:hint="eastAsia" w:ascii="宋体" w:hAnsi="宋体" w:eastAsia="宋体"/>
                <w:color w:val="auto"/>
                <w:szCs w:val="21"/>
              </w:rPr>
              <w:t>1984年</w:t>
            </w:r>
          </w:p>
        </w:tc>
        <w:tc>
          <w:tcPr>
            <w:tcW w:w="5954" w:type="dxa"/>
          </w:tcPr>
          <w:p>
            <w:pPr>
              <w:rPr>
                <w:rFonts w:ascii="宋体" w:hAnsi="宋体" w:eastAsia="宋体"/>
                <w:color w:val="auto"/>
                <w:szCs w:val="21"/>
              </w:rPr>
            </w:pPr>
            <w:r>
              <w:rPr>
                <w:rFonts w:hint="eastAsia" w:ascii="宋体" w:hAnsi="宋体" w:eastAsia="宋体"/>
                <w:color w:val="auto"/>
                <w:szCs w:val="21"/>
              </w:rPr>
              <w:t>邓小平视察深圳并题词：“深圳的发展和经验证明，我们建立经济特区的政策是正确的。”</w:t>
            </w:r>
          </w:p>
        </w:tc>
        <w:tc>
          <w:tcPr>
            <w:tcW w:w="4110" w:type="dxa"/>
          </w:tcPr>
          <w:p>
            <w:pPr>
              <w:rPr>
                <w:rFonts w:ascii="宋体" w:hAnsi="宋体" w:eastAsia="宋体"/>
                <w:color w:val="auto"/>
                <w:szCs w:val="21"/>
              </w:rPr>
            </w:pPr>
            <w:r>
              <w:rPr>
                <w:rFonts w:hint="eastAsia" w:ascii="宋体" w:hAnsi="宋体" w:eastAsia="宋体"/>
                <w:color w:val="auto"/>
                <w:szCs w:val="21"/>
              </w:rPr>
              <w:t>题词：“深圳的发展和经验证明，我们建立经济特区的政策是正确的。”</w:t>
            </w:r>
          </w:p>
        </w:tc>
        <w:tc>
          <w:tcPr>
            <w:tcW w:w="9019" w:type="dxa"/>
          </w:tcPr>
          <w:p>
            <w:pPr>
              <w:rPr>
                <w:rFonts w:ascii="宋体" w:hAnsi="宋体" w:eastAsia="宋体"/>
                <w:color w:val="auto"/>
                <w:szCs w:val="21"/>
              </w:rPr>
            </w:pPr>
            <w:r>
              <w:rPr>
                <w:rFonts w:hint="eastAsia" w:ascii="宋体" w:hAnsi="宋体" w:eastAsia="宋体"/>
                <w:color w:val="auto"/>
                <w:szCs w:val="21"/>
              </w:rPr>
              <w:t>深圳建设者开拓创新精神的象征。1984年及1992年，邓小平来深圳参观国贸大厦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24</w:t>
            </w:r>
          </w:p>
        </w:tc>
        <w:tc>
          <w:tcPr>
            <w:tcW w:w="1134" w:type="dxa"/>
          </w:tcPr>
          <w:p>
            <w:pPr>
              <w:rPr>
                <w:rFonts w:ascii="宋体" w:hAnsi="宋体" w:eastAsia="宋体"/>
                <w:color w:val="auto"/>
                <w:szCs w:val="21"/>
              </w:rPr>
            </w:pPr>
            <w:r>
              <w:rPr>
                <w:rFonts w:hint="eastAsia" w:ascii="宋体" w:hAnsi="宋体" w:eastAsia="宋体"/>
                <w:color w:val="auto"/>
                <w:szCs w:val="21"/>
              </w:rPr>
              <w:t>1984年</w:t>
            </w:r>
          </w:p>
        </w:tc>
        <w:tc>
          <w:tcPr>
            <w:tcW w:w="5954" w:type="dxa"/>
          </w:tcPr>
          <w:p>
            <w:pPr>
              <w:rPr>
                <w:rFonts w:ascii="宋体" w:hAnsi="宋体" w:eastAsia="宋体"/>
                <w:color w:val="auto"/>
                <w:szCs w:val="21"/>
              </w:rPr>
            </w:pPr>
            <w:r>
              <w:rPr>
                <w:rFonts w:hint="eastAsia" w:ascii="宋体" w:hAnsi="宋体" w:eastAsia="宋体"/>
                <w:color w:val="auto"/>
                <w:szCs w:val="21"/>
              </w:rPr>
              <w:t>“孺子牛”雕塑在深圳市委大院落成</w:t>
            </w:r>
          </w:p>
        </w:tc>
        <w:tc>
          <w:tcPr>
            <w:tcW w:w="4110" w:type="dxa"/>
          </w:tcPr>
          <w:p>
            <w:pPr>
              <w:rPr>
                <w:rFonts w:ascii="宋体" w:hAnsi="宋体" w:eastAsia="宋体"/>
                <w:color w:val="auto"/>
                <w:szCs w:val="21"/>
              </w:rPr>
            </w:pPr>
            <w:r>
              <w:rPr>
                <w:rFonts w:hint="eastAsia" w:ascii="宋体" w:hAnsi="宋体" w:eastAsia="宋体"/>
                <w:color w:val="auto"/>
                <w:szCs w:val="21"/>
              </w:rPr>
              <w:t>“孺子牛”雕塑。深南中路深圳市委大院。</w:t>
            </w:r>
          </w:p>
        </w:tc>
        <w:tc>
          <w:tcPr>
            <w:tcW w:w="9019" w:type="dxa"/>
          </w:tcPr>
          <w:p>
            <w:pPr>
              <w:rPr>
                <w:rFonts w:ascii="宋体" w:hAnsi="宋体" w:eastAsia="宋体"/>
                <w:color w:val="auto"/>
                <w:szCs w:val="21"/>
              </w:rPr>
            </w:pPr>
            <w:r>
              <w:rPr>
                <w:rFonts w:hint="eastAsia" w:ascii="宋体" w:hAnsi="宋体" w:eastAsia="宋体"/>
                <w:color w:val="auto"/>
                <w:szCs w:val="21"/>
              </w:rPr>
              <w:t>标志着深圳本土电视事业的开创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25</w:t>
            </w:r>
          </w:p>
        </w:tc>
        <w:tc>
          <w:tcPr>
            <w:tcW w:w="1134" w:type="dxa"/>
          </w:tcPr>
          <w:p>
            <w:pPr>
              <w:rPr>
                <w:rFonts w:ascii="宋体" w:hAnsi="宋体" w:eastAsia="宋体"/>
                <w:color w:val="auto"/>
                <w:szCs w:val="21"/>
              </w:rPr>
            </w:pPr>
            <w:r>
              <w:rPr>
                <w:rFonts w:hint="eastAsia" w:ascii="宋体" w:hAnsi="宋体" w:eastAsia="宋体"/>
                <w:color w:val="auto"/>
                <w:szCs w:val="21"/>
              </w:rPr>
              <w:t>1984年</w:t>
            </w:r>
          </w:p>
        </w:tc>
        <w:tc>
          <w:tcPr>
            <w:tcW w:w="5954" w:type="dxa"/>
          </w:tcPr>
          <w:p>
            <w:pPr>
              <w:rPr>
                <w:rFonts w:ascii="宋体" w:hAnsi="宋体" w:eastAsia="宋体"/>
                <w:color w:val="auto"/>
                <w:szCs w:val="21"/>
              </w:rPr>
            </w:pPr>
            <w:r>
              <w:rPr>
                <w:rFonts w:hint="eastAsia" w:ascii="宋体" w:hAnsi="宋体" w:eastAsia="宋体"/>
                <w:color w:val="auto"/>
                <w:szCs w:val="21"/>
              </w:rPr>
              <w:t>1984年，邓小平来深圳参观明华轮游乐中心</w:t>
            </w:r>
          </w:p>
        </w:tc>
        <w:tc>
          <w:tcPr>
            <w:tcW w:w="4110" w:type="dxa"/>
          </w:tcPr>
          <w:p>
            <w:pPr>
              <w:rPr>
                <w:rFonts w:ascii="宋体" w:hAnsi="宋体" w:eastAsia="宋体"/>
                <w:color w:val="auto"/>
                <w:szCs w:val="21"/>
              </w:rPr>
            </w:pPr>
            <w:r>
              <w:rPr>
                <w:rFonts w:hint="eastAsia" w:ascii="宋体" w:hAnsi="宋体" w:eastAsia="宋体"/>
                <w:color w:val="auto"/>
                <w:szCs w:val="21"/>
              </w:rPr>
              <w:t>明华轮游乐中心</w:t>
            </w:r>
          </w:p>
        </w:tc>
        <w:tc>
          <w:tcPr>
            <w:tcW w:w="9019" w:type="dxa"/>
          </w:tcPr>
          <w:p>
            <w:pPr>
              <w:rPr>
                <w:rFonts w:ascii="宋体" w:hAnsi="宋体" w:eastAsia="宋体"/>
                <w:color w:val="auto"/>
                <w:szCs w:val="21"/>
              </w:rPr>
            </w:pPr>
            <w:r>
              <w:rPr>
                <w:rFonts w:hint="eastAsia" w:ascii="宋体" w:hAnsi="宋体" w:eastAsia="宋体"/>
                <w:color w:val="auto"/>
                <w:szCs w:val="21"/>
              </w:rPr>
              <w:t>1984年，邓小平来深圳参观明华轮游乐中心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26</w:t>
            </w:r>
          </w:p>
        </w:tc>
        <w:tc>
          <w:tcPr>
            <w:tcW w:w="1134" w:type="dxa"/>
          </w:tcPr>
          <w:p>
            <w:pPr>
              <w:rPr>
                <w:rFonts w:ascii="宋体" w:hAnsi="宋体" w:eastAsia="宋体"/>
                <w:color w:val="auto"/>
                <w:szCs w:val="21"/>
              </w:rPr>
            </w:pPr>
            <w:r>
              <w:rPr>
                <w:rFonts w:hint="eastAsia" w:ascii="宋体" w:hAnsi="宋体" w:eastAsia="宋体"/>
                <w:color w:val="auto"/>
                <w:szCs w:val="21"/>
              </w:rPr>
              <w:t>1984年</w:t>
            </w:r>
          </w:p>
        </w:tc>
        <w:tc>
          <w:tcPr>
            <w:tcW w:w="5954" w:type="dxa"/>
          </w:tcPr>
          <w:p>
            <w:pPr>
              <w:rPr>
                <w:rFonts w:ascii="宋体" w:hAnsi="宋体" w:eastAsia="宋体"/>
                <w:color w:val="auto"/>
                <w:szCs w:val="21"/>
              </w:rPr>
            </w:pPr>
            <w:r>
              <w:rPr>
                <w:rFonts w:hint="eastAsia" w:ascii="宋体" w:hAnsi="宋体" w:eastAsia="宋体"/>
                <w:color w:val="auto"/>
                <w:szCs w:val="21"/>
              </w:rPr>
              <w:t>1984年，邓小平来深圳参观上步工业区</w:t>
            </w:r>
          </w:p>
        </w:tc>
        <w:tc>
          <w:tcPr>
            <w:tcW w:w="4110" w:type="dxa"/>
          </w:tcPr>
          <w:p>
            <w:pPr>
              <w:rPr>
                <w:rFonts w:ascii="宋体" w:hAnsi="宋体" w:eastAsia="宋体"/>
                <w:color w:val="auto"/>
                <w:szCs w:val="21"/>
              </w:rPr>
            </w:pPr>
            <w:r>
              <w:rPr>
                <w:rFonts w:hint="eastAsia" w:ascii="宋体" w:hAnsi="宋体" w:eastAsia="宋体"/>
                <w:color w:val="auto"/>
                <w:szCs w:val="21"/>
              </w:rPr>
              <w:t>上步工业区</w:t>
            </w:r>
          </w:p>
        </w:tc>
        <w:tc>
          <w:tcPr>
            <w:tcW w:w="9019" w:type="dxa"/>
          </w:tcPr>
          <w:p>
            <w:pPr>
              <w:rPr>
                <w:rFonts w:ascii="宋体" w:hAnsi="宋体" w:eastAsia="宋体"/>
                <w:color w:val="auto"/>
                <w:szCs w:val="21"/>
              </w:rPr>
            </w:pPr>
            <w:r>
              <w:rPr>
                <w:rFonts w:hint="eastAsia" w:ascii="宋体" w:hAnsi="宋体" w:eastAsia="宋体"/>
                <w:color w:val="auto"/>
                <w:szCs w:val="21"/>
              </w:rPr>
              <w:t>1984年，邓小平来深圳参观上步工业区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27</w:t>
            </w:r>
          </w:p>
        </w:tc>
        <w:tc>
          <w:tcPr>
            <w:tcW w:w="1134" w:type="dxa"/>
          </w:tcPr>
          <w:p>
            <w:pPr>
              <w:rPr>
                <w:rFonts w:ascii="宋体" w:hAnsi="宋体" w:eastAsia="宋体"/>
                <w:color w:val="auto"/>
                <w:szCs w:val="21"/>
              </w:rPr>
            </w:pPr>
            <w:r>
              <w:rPr>
                <w:rFonts w:hint="eastAsia" w:ascii="宋体" w:hAnsi="宋体" w:eastAsia="宋体"/>
                <w:color w:val="auto"/>
                <w:szCs w:val="21"/>
              </w:rPr>
              <w:t>1984年</w:t>
            </w:r>
          </w:p>
        </w:tc>
        <w:tc>
          <w:tcPr>
            <w:tcW w:w="5954" w:type="dxa"/>
          </w:tcPr>
          <w:p>
            <w:pPr>
              <w:rPr>
                <w:rFonts w:ascii="宋体" w:hAnsi="宋体" w:eastAsia="宋体"/>
                <w:color w:val="auto"/>
                <w:szCs w:val="21"/>
              </w:rPr>
            </w:pPr>
            <w:r>
              <w:rPr>
                <w:rFonts w:hint="eastAsia" w:ascii="宋体" w:hAnsi="宋体" w:eastAsia="宋体"/>
                <w:color w:val="auto"/>
                <w:szCs w:val="21"/>
              </w:rPr>
              <w:t>1984年，邓小平来深圳参观渔民村</w:t>
            </w:r>
          </w:p>
        </w:tc>
        <w:tc>
          <w:tcPr>
            <w:tcW w:w="4110" w:type="dxa"/>
          </w:tcPr>
          <w:p>
            <w:pPr>
              <w:rPr>
                <w:rFonts w:ascii="宋体" w:hAnsi="宋体" w:eastAsia="宋体"/>
                <w:color w:val="auto"/>
                <w:szCs w:val="21"/>
              </w:rPr>
            </w:pPr>
            <w:r>
              <w:rPr>
                <w:rFonts w:hint="eastAsia" w:ascii="宋体" w:hAnsi="宋体" w:eastAsia="宋体"/>
                <w:color w:val="auto"/>
                <w:szCs w:val="21"/>
              </w:rPr>
              <w:t>渔民村</w:t>
            </w:r>
          </w:p>
        </w:tc>
        <w:tc>
          <w:tcPr>
            <w:tcW w:w="9019" w:type="dxa"/>
          </w:tcPr>
          <w:p>
            <w:pPr>
              <w:rPr>
                <w:rFonts w:ascii="宋体" w:hAnsi="宋体" w:eastAsia="宋体"/>
                <w:color w:val="auto"/>
                <w:szCs w:val="21"/>
              </w:rPr>
            </w:pPr>
            <w:r>
              <w:rPr>
                <w:rFonts w:hint="eastAsia" w:ascii="宋体" w:hAnsi="宋体" w:eastAsia="宋体"/>
                <w:color w:val="auto"/>
                <w:szCs w:val="21"/>
              </w:rPr>
              <w:t>1984年，邓小平来深圳参观渔民村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4" w:type="dxa"/>
          </w:tcPr>
          <w:p>
            <w:pPr>
              <w:rPr>
                <w:rFonts w:ascii="宋体" w:hAnsi="宋体" w:eastAsia="宋体"/>
                <w:color w:val="auto"/>
                <w:szCs w:val="21"/>
              </w:rPr>
            </w:pPr>
            <w:r>
              <w:rPr>
                <w:rFonts w:hint="eastAsia" w:ascii="宋体" w:hAnsi="宋体" w:eastAsia="宋体"/>
                <w:color w:val="auto"/>
                <w:szCs w:val="21"/>
              </w:rPr>
              <w:t>28</w:t>
            </w:r>
          </w:p>
        </w:tc>
        <w:tc>
          <w:tcPr>
            <w:tcW w:w="1134" w:type="dxa"/>
          </w:tcPr>
          <w:p>
            <w:pPr>
              <w:rPr>
                <w:rFonts w:ascii="宋体" w:hAnsi="宋体" w:eastAsia="宋体"/>
                <w:color w:val="auto"/>
                <w:szCs w:val="21"/>
              </w:rPr>
            </w:pPr>
            <w:r>
              <w:rPr>
                <w:rFonts w:hint="eastAsia" w:ascii="宋体" w:hAnsi="宋体" w:eastAsia="宋体"/>
                <w:color w:val="auto"/>
                <w:szCs w:val="21"/>
              </w:rPr>
              <w:t>1984年</w:t>
            </w:r>
          </w:p>
        </w:tc>
        <w:tc>
          <w:tcPr>
            <w:tcW w:w="5954" w:type="dxa"/>
          </w:tcPr>
          <w:p>
            <w:pPr>
              <w:rPr>
                <w:rFonts w:ascii="宋体" w:hAnsi="宋体" w:eastAsia="宋体"/>
                <w:color w:val="auto"/>
                <w:szCs w:val="21"/>
              </w:rPr>
            </w:pPr>
            <w:r>
              <w:rPr>
                <w:rFonts w:hint="eastAsia" w:ascii="宋体" w:hAnsi="宋体" w:eastAsia="宋体"/>
                <w:color w:val="auto"/>
                <w:szCs w:val="21"/>
              </w:rPr>
              <w:t>入选深圳十大建筑</w:t>
            </w:r>
          </w:p>
        </w:tc>
        <w:tc>
          <w:tcPr>
            <w:tcW w:w="4110" w:type="dxa"/>
          </w:tcPr>
          <w:p>
            <w:pPr>
              <w:rPr>
                <w:rFonts w:ascii="宋体" w:hAnsi="宋体" w:eastAsia="宋体"/>
                <w:color w:val="auto"/>
                <w:szCs w:val="21"/>
              </w:rPr>
            </w:pPr>
            <w:r>
              <w:rPr>
                <w:rFonts w:hint="eastAsia" w:ascii="宋体" w:hAnsi="宋体" w:eastAsia="宋体"/>
                <w:color w:val="auto"/>
                <w:szCs w:val="21"/>
              </w:rPr>
              <w:t>深圳博物馆</w:t>
            </w:r>
          </w:p>
        </w:tc>
        <w:tc>
          <w:tcPr>
            <w:tcW w:w="9019" w:type="dxa"/>
          </w:tcPr>
          <w:p>
            <w:pPr>
              <w:rPr>
                <w:rFonts w:ascii="宋体" w:hAnsi="宋体" w:eastAsia="宋体"/>
                <w:color w:val="auto"/>
                <w:szCs w:val="21"/>
              </w:rPr>
            </w:pPr>
            <w:r>
              <w:rPr>
                <w:rFonts w:hint="eastAsia" w:ascii="宋体" w:hAnsi="宋体" w:eastAsia="宋体"/>
                <w:color w:val="auto"/>
                <w:szCs w:val="21"/>
              </w:rPr>
              <w:t>入选深圳十大建筑。始建于1984年2月，1988年11月开馆，是深圳文物收藏展览和地方史研究中心。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29</w:t>
            </w:r>
          </w:p>
        </w:tc>
        <w:tc>
          <w:tcPr>
            <w:tcW w:w="1134" w:type="dxa"/>
          </w:tcPr>
          <w:p>
            <w:pPr>
              <w:rPr>
                <w:rFonts w:ascii="宋体" w:hAnsi="宋体" w:eastAsia="宋体"/>
                <w:color w:val="auto"/>
                <w:szCs w:val="21"/>
              </w:rPr>
            </w:pPr>
            <w:r>
              <w:rPr>
                <w:rFonts w:hint="eastAsia" w:ascii="宋体" w:hAnsi="宋体" w:eastAsia="宋体"/>
                <w:color w:val="auto"/>
                <w:szCs w:val="21"/>
              </w:rPr>
              <w:t>1984年</w:t>
            </w:r>
          </w:p>
        </w:tc>
        <w:tc>
          <w:tcPr>
            <w:tcW w:w="5954" w:type="dxa"/>
          </w:tcPr>
          <w:p>
            <w:pPr>
              <w:rPr>
                <w:rFonts w:ascii="宋体" w:hAnsi="宋体" w:eastAsia="宋体"/>
                <w:color w:val="auto"/>
                <w:szCs w:val="21"/>
              </w:rPr>
            </w:pPr>
            <w:r>
              <w:rPr>
                <w:rFonts w:hint="eastAsia" w:ascii="宋体" w:hAnsi="宋体" w:eastAsia="宋体"/>
                <w:color w:val="auto"/>
                <w:szCs w:val="21"/>
              </w:rPr>
              <w:t>深圳电视台成立</w:t>
            </w:r>
          </w:p>
        </w:tc>
        <w:tc>
          <w:tcPr>
            <w:tcW w:w="4110" w:type="dxa"/>
          </w:tcPr>
          <w:p>
            <w:pPr>
              <w:rPr>
                <w:rFonts w:ascii="宋体" w:hAnsi="宋体" w:eastAsia="宋体"/>
                <w:color w:val="auto"/>
                <w:szCs w:val="21"/>
              </w:rPr>
            </w:pPr>
            <w:r>
              <w:rPr>
                <w:rFonts w:hint="eastAsia" w:ascii="宋体" w:hAnsi="宋体" w:eastAsia="宋体"/>
                <w:color w:val="auto"/>
                <w:szCs w:val="21"/>
              </w:rPr>
              <w:t>深圳电视台</w:t>
            </w:r>
          </w:p>
        </w:tc>
        <w:tc>
          <w:tcPr>
            <w:tcW w:w="9019" w:type="dxa"/>
          </w:tcPr>
          <w:p>
            <w:pPr>
              <w:rPr>
                <w:rFonts w:ascii="宋体" w:hAnsi="宋体" w:eastAsia="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30</w:t>
            </w:r>
          </w:p>
        </w:tc>
        <w:tc>
          <w:tcPr>
            <w:tcW w:w="1134" w:type="dxa"/>
          </w:tcPr>
          <w:p>
            <w:pPr>
              <w:rPr>
                <w:rFonts w:ascii="宋体" w:hAnsi="宋体" w:eastAsia="宋体"/>
                <w:color w:val="auto"/>
                <w:szCs w:val="21"/>
              </w:rPr>
            </w:pPr>
            <w:r>
              <w:rPr>
                <w:rFonts w:hint="eastAsia" w:ascii="宋体" w:hAnsi="宋体" w:eastAsia="宋体"/>
                <w:color w:val="auto"/>
                <w:szCs w:val="21"/>
              </w:rPr>
              <w:t>1984年</w:t>
            </w:r>
          </w:p>
        </w:tc>
        <w:tc>
          <w:tcPr>
            <w:tcW w:w="5954" w:type="dxa"/>
          </w:tcPr>
          <w:p>
            <w:pPr>
              <w:rPr>
                <w:rFonts w:ascii="宋体" w:hAnsi="宋体" w:eastAsia="宋体"/>
                <w:color w:val="auto"/>
                <w:szCs w:val="21"/>
              </w:rPr>
            </w:pPr>
            <w:r>
              <w:rPr>
                <w:rFonts w:hint="eastAsia" w:ascii="宋体" w:hAnsi="宋体" w:eastAsia="宋体"/>
                <w:color w:val="auto"/>
                <w:szCs w:val="21"/>
              </w:rPr>
              <w:t>全国第一家企业经营的劳动服务公司</w:t>
            </w:r>
          </w:p>
        </w:tc>
        <w:tc>
          <w:tcPr>
            <w:tcW w:w="4110" w:type="dxa"/>
          </w:tcPr>
          <w:p>
            <w:pPr>
              <w:rPr>
                <w:rFonts w:ascii="宋体" w:hAnsi="宋体" w:eastAsia="宋体"/>
                <w:color w:val="auto"/>
                <w:szCs w:val="21"/>
              </w:rPr>
            </w:pPr>
            <w:r>
              <w:rPr>
                <w:rFonts w:hint="eastAsia" w:ascii="宋体" w:hAnsi="宋体" w:eastAsia="宋体"/>
                <w:color w:val="auto"/>
                <w:szCs w:val="21"/>
              </w:rPr>
              <w:t>待定</w:t>
            </w:r>
          </w:p>
        </w:tc>
        <w:tc>
          <w:tcPr>
            <w:tcW w:w="9019" w:type="dxa"/>
          </w:tcPr>
          <w:p>
            <w:pPr>
              <w:rPr>
                <w:rFonts w:ascii="宋体" w:hAnsi="宋体" w:eastAsia="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31</w:t>
            </w:r>
          </w:p>
        </w:tc>
        <w:tc>
          <w:tcPr>
            <w:tcW w:w="1134" w:type="dxa"/>
          </w:tcPr>
          <w:p>
            <w:pPr>
              <w:rPr>
                <w:rFonts w:ascii="宋体" w:hAnsi="宋体" w:eastAsia="宋体"/>
                <w:color w:val="auto"/>
                <w:szCs w:val="21"/>
              </w:rPr>
            </w:pPr>
            <w:r>
              <w:rPr>
                <w:rFonts w:hint="eastAsia" w:ascii="宋体" w:hAnsi="宋体" w:eastAsia="宋体"/>
                <w:color w:val="auto"/>
                <w:szCs w:val="21"/>
              </w:rPr>
              <w:t>1985年</w:t>
            </w:r>
          </w:p>
        </w:tc>
        <w:tc>
          <w:tcPr>
            <w:tcW w:w="5954" w:type="dxa"/>
          </w:tcPr>
          <w:p>
            <w:pPr>
              <w:rPr>
                <w:rFonts w:ascii="宋体" w:hAnsi="宋体" w:eastAsia="宋体"/>
                <w:color w:val="auto"/>
                <w:szCs w:val="21"/>
              </w:rPr>
            </w:pPr>
            <w:r>
              <w:rPr>
                <w:rFonts w:hint="eastAsia" w:ascii="宋体" w:hAnsi="宋体" w:eastAsia="宋体"/>
                <w:color w:val="auto"/>
                <w:szCs w:val="21"/>
              </w:rPr>
              <w:t>第一个科技工业园、科技商品交易所</w:t>
            </w:r>
          </w:p>
        </w:tc>
        <w:tc>
          <w:tcPr>
            <w:tcW w:w="4110" w:type="dxa"/>
          </w:tcPr>
          <w:p>
            <w:pPr>
              <w:rPr>
                <w:rFonts w:ascii="宋体" w:hAnsi="宋体" w:eastAsia="宋体"/>
                <w:color w:val="auto"/>
                <w:szCs w:val="21"/>
              </w:rPr>
            </w:pPr>
            <w:r>
              <w:rPr>
                <w:rFonts w:hint="eastAsia" w:ascii="宋体" w:hAnsi="宋体" w:eastAsia="宋体"/>
                <w:color w:val="auto"/>
                <w:szCs w:val="21"/>
              </w:rPr>
              <w:t>待定</w:t>
            </w:r>
          </w:p>
        </w:tc>
        <w:tc>
          <w:tcPr>
            <w:tcW w:w="9019" w:type="dxa"/>
          </w:tcPr>
          <w:p>
            <w:pPr>
              <w:rPr>
                <w:rFonts w:ascii="宋体" w:hAnsi="宋体" w:eastAsia="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32</w:t>
            </w:r>
          </w:p>
        </w:tc>
        <w:tc>
          <w:tcPr>
            <w:tcW w:w="1134" w:type="dxa"/>
          </w:tcPr>
          <w:p>
            <w:pPr>
              <w:rPr>
                <w:rFonts w:ascii="宋体" w:hAnsi="宋体" w:eastAsia="宋体"/>
                <w:color w:val="auto"/>
                <w:szCs w:val="21"/>
              </w:rPr>
            </w:pPr>
            <w:r>
              <w:rPr>
                <w:rFonts w:hint="eastAsia" w:ascii="宋体" w:hAnsi="宋体" w:eastAsia="宋体"/>
                <w:color w:val="auto"/>
                <w:szCs w:val="21"/>
              </w:rPr>
              <w:t>1985年</w:t>
            </w:r>
          </w:p>
        </w:tc>
        <w:tc>
          <w:tcPr>
            <w:tcW w:w="5954" w:type="dxa"/>
          </w:tcPr>
          <w:p>
            <w:pPr>
              <w:rPr>
                <w:rFonts w:ascii="宋体" w:hAnsi="宋体" w:eastAsia="宋体"/>
                <w:color w:val="auto"/>
                <w:szCs w:val="21"/>
              </w:rPr>
            </w:pPr>
            <w:r>
              <w:rPr>
                <w:rFonts w:hint="eastAsia" w:ascii="宋体" w:hAnsi="宋体" w:eastAsia="宋体"/>
                <w:color w:val="auto"/>
                <w:szCs w:val="21"/>
              </w:rPr>
              <w:t>全国第一家外汇调剂中心</w:t>
            </w:r>
          </w:p>
        </w:tc>
        <w:tc>
          <w:tcPr>
            <w:tcW w:w="4110" w:type="dxa"/>
          </w:tcPr>
          <w:p>
            <w:pPr>
              <w:rPr>
                <w:rFonts w:ascii="宋体" w:hAnsi="宋体" w:eastAsia="宋体"/>
                <w:color w:val="auto"/>
                <w:szCs w:val="21"/>
              </w:rPr>
            </w:pPr>
            <w:r>
              <w:rPr>
                <w:rFonts w:hint="eastAsia" w:ascii="宋体" w:hAnsi="宋体" w:eastAsia="宋体"/>
                <w:color w:val="auto"/>
                <w:szCs w:val="21"/>
              </w:rPr>
              <w:t>待定</w:t>
            </w:r>
          </w:p>
        </w:tc>
        <w:tc>
          <w:tcPr>
            <w:tcW w:w="9019" w:type="dxa"/>
          </w:tcPr>
          <w:p>
            <w:pPr>
              <w:rPr>
                <w:rFonts w:ascii="宋体" w:hAnsi="宋体" w:eastAsia="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4" w:type="dxa"/>
          </w:tcPr>
          <w:p>
            <w:pPr>
              <w:rPr>
                <w:rFonts w:ascii="宋体" w:hAnsi="宋体" w:eastAsia="宋体"/>
                <w:color w:val="auto"/>
                <w:szCs w:val="21"/>
              </w:rPr>
            </w:pPr>
            <w:r>
              <w:rPr>
                <w:rFonts w:hint="eastAsia" w:ascii="宋体" w:hAnsi="宋体" w:eastAsia="宋体"/>
                <w:color w:val="auto"/>
                <w:szCs w:val="21"/>
              </w:rPr>
              <w:t>33</w:t>
            </w:r>
          </w:p>
        </w:tc>
        <w:tc>
          <w:tcPr>
            <w:tcW w:w="1134" w:type="dxa"/>
          </w:tcPr>
          <w:p>
            <w:pPr>
              <w:rPr>
                <w:rFonts w:ascii="宋体" w:hAnsi="宋体" w:eastAsia="宋体"/>
                <w:color w:val="auto"/>
                <w:szCs w:val="21"/>
              </w:rPr>
            </w:pPr>
            <w:r>
              <w:rPr>
                <w:rFonts w:hint="eastAsia" w:ascii="宋体" w:hAnsi="宋体" w:eastAsia="宋体"/>
                <w:color w:val="auto"/>
                <w:szCs w:val="21"/>
              </w:rPr>
              <w:t>1985年</w:t>
            </w:r>
          </w:p>
        </w:tc>
        <w:tc>
          <w:tcPr>
            <w:tcW w:w="5954" w:type="dxa"/>
          </w:tcPr>
          <w:p>
            <w:pPr>
              <w:rPr>
                <w:rFonts w:ascii="宋体" w:hAnsi="宋体" w:eastAsia="宋体"/>
                <w:color w:val="auto"/>
                <w:szCs w:val="21"/>
              </w:rPr>
            </w:pPr>
            <w:r>
              <w:rPr>
                <w:rFonts w:hint="eastAsia" w:ascii="宋体" w:hAnsi="宋体" w:eastAsia="宋体"/>
                <w:color w:val="auto"/>
                <w:szCs w:val="21"/>
              </w:rPr>
              <w:t>设立边防管理线，分隔特区内外的职能</w:t>
            </w:r>
          </w:p>
        </w:tc>
        <w:tc>
          <w:tcPr>
            <w:tcW w:w="4110" w:type="dxa"/>
          </w:tcPr>
          <w:p>
            <w:pPr>
              <w:rPr>
                <w:rFonts w:ascii="宋体" w:hAnsi="宋体" w:eastAsia="宋体"/>
                <w:color w:val="auto"/>
                <w:szCs w:val="21"/>
              </w:rPr>
            </w:pPr>
            <w:r>
              <w:rPr>
                <w:rFonts w:hint="eastAsia" w:ascii="宋体" w:hAnsi="宋体" w:eastAsia="宋体"/>
                <w:color w:val="auto"/>
                <w:szCs w:val="21"/>
              </w:rPr>
              <w:t>深圳“二线关”</w:t>
            </w:r>
          </w:p>
        </w:tc>
        <w:tc>
          <w:tcPr>
            <w:tcW w:w="9019" w:type="dxa"/>
          </w:tcPr>
          <w:p>
            <w:pPr>
              <w:rPr>
                <w:rFonts w:ascii="宋体" w:hAnsi="宋体" w:eastAsia="宋体"/>
                <w:color w:val="auto"/>
                <w:szCs w:val="21"/>
              </w:rPr>
            </w:pPr>
            <w:r>
              <w:rPr>
                <w:rFonts w:hint="eastAsia" w:ascii="宋体" w:hAnsi="宋体" w:eastAsia="宋体"/>
                <w:color w:val="auto"/>
                <w:szCs w:val="21"/>
              </w:rPr>
              <w:t>边防管理线，沿线开设检查站以及多个供当地农民出入的耕作口，由武警边防人员驻守，对进入特区的人员和车辆进行检查。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34</w:t>
            </w:r>
          </w:p>
        </w:tc>
        <w:tc>
          <w:tcPr>
            <w:tcW w:w="1134" w:type="dxa"/>
          </w:tcPr>
          <w:p>
            <w:pPr>
              <w:rPr>
                <w:rFonts w:ascii="宋体" w:hAnsi="宋体" w:eastAsia="宋体"/>
                <w:color w:val="auto"/>
                <w:szCs w:val="21"/>
              </w:rPr>
            </w:pPr>
            <w:r>
              <w:rPr>
                <w:rFonts w:hint="eastAsia" w:ascii="宋体" w:hAnsi="宋体" w:eastAsia="宋体"/>
                <w:color w:val="auto"/>
                <w:szCs w:val="21"/>
              </w:rPr>
              <w:t>1985年</w:t>
            </w:r>
          </w:p>
        </w:tc>
        <w:tc>
          <w:tcPr>
            <w:tcW w:w="5954" w:type="dxa"/>
          </w:tcPr>
          <w:p>
            <w:pPr>
              <w:rPr>
                <w:rFonts w:ascii="宋体" w:hAnsi="宋体" w:eastAsia="宋体"/>
                <w:color w:val="auto"/>
                <w:szCs w:val="21"/>
              </w:rPr>
            </w:pPr>
            <w:r>
              <w:rPr>
                <w:rFonts w:hint="eastAsia" w:ascii="宋体" w:hAnsi="宋体" w:eastAsia="宋体"/>
                <w:color w:val="auto"/>
                <w:szCs w:val="21"/>
              </w:rPr>
              <w:t>华侨城开始筹建</w:t>
            </w:r>
          </w:p>
        </w:tc>
        <w:tc>
          <w:tcPr>
            <w:tcW w:w="4110" w:type="dxa"/>
          </w:tcPr>
          <w:p>
            <w:pPr>
              <w:rPr>
                <w:rFonts w:ascii="宋体" w:hAnsi="宋体" w:eastAsia="宋体"/>
                <w:color w:val="auto"/>
                <w:szCs w:val="21"/>
              </w:rPr>
            </w:pPr>
            <w:r>
              <w:rPr>
                <w:rFonts w:hint="eastAsia" w:ascii="宋体" w:hAnsi="宋体" w:eastAsia="宋体"/>
                <w:color w:val="auto"/>
                <w:szCs w:val="21"/>
              </w:rPr>
              <w:t>华侨城。香港中旅集团开发建设。</w:t>
            </w:r>
          </w:p>
        </w:tc>
        <w:tc>
          <w:tcPr>
            <w:tcW w:w="9019" w:type="dxa"/>
          </w:tcPr>
          <w:p>
            <w:pPr>
              <w:rPr>
                <w:rFonts w:ascii="宋体" w:hAnsi="宋体" w:eastAsia="宋体"/>
                <w:color w:val="auto"/>
                <w:szCs w:val="21"/>
              </w:rPr>
            </w:pPr>
            <w:r>
              <w:rPr>
                <w:rFonts w:hint="eastAsia" w:ascii="宋体" w:hAnsi="宋体" w:eastAsia="宋体"/>
                <w:color w:val="auto"/>
                <w:szCs w:val="21"/>
              </w:rPr>
              <w:t>拉开了中国内地“主题公园”建设序幕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4" w:type="dxa"/>
          </w:tcPr>
          <w:p>
            <w:pPr>
              <w:rPr>
                <w:rFonts w:ascii="宋体" w:hAnsi="宋体" w:eastAsia="宋体"/>
                <w:color w:val="auto"/>
                <w:szCs w:val="21"/>
              </w:rPr>
            </w:pPr>
            <w:r>
              <w:rPr>
                <w:rFonts w:hint="eastAsia" w:ascii="宋体" w:hAnsi="宋体" w:eastAsia="宋体"/>
                <w:color w:val="auto"/>
                <w:szCs w:val="21"/>
              </w:rPr>
              <w:t>35</w:t>
            </w:r>
          </w:p>
        </w:tc>
        <w:tc>
          <w:tcPr>
            <w:tcW w:w="1134" w:type="dxa"/>
          </w:tcPr>
          <w:p>
            <w:pPr>
              <w:rPr>
                <w:rFonts w:ascii="宋体" w:hAnsi="宋体" w:eastAsia="宋体"/>
                <w:color w:val="auto"/>
                <w:szCs w:val="21"/>
              </w:rPr>
            </w:pPr>
            <w:r>
              <w:rPr>
                <w:rFonts w:hint="eastAsia" w:ascii="宋体" w:hAnsi="宋体" w:eastAsia="宋体"/>
                <w:color w:val="auto"/>
                <w:szCs w:val="21"/>
              </w:rPr>
              <w:t>1985年</w:t>
            </w:r>
          </w:p>
        </w:tc>
        <w:tc>
          <w:tcPr>
            <w:tcW w:w="5954" w:type="dxa"/>
          </w:tcPr>
          <w:p>
            <w:pPr>
              <w:rPr>
                <w:rFonts w:ascii="宋体" w:hAnsi="宋体" w:eastAsia="宋体"/>
                <w:color w:val="auto"/>
                <w:szCs w:val="21"/>
              </w:rPr>
            </w:pPr>
            <w:r>
              <w:rPr>
                <w:rFonts w:hint="eastAsia" w:ascii="宋体" w:hAnsi="宋体" w:eastAsia="宋体"/>
                <w:color w:val="auto"/>
                <w:szCs w:val="21"/>
              </w:rPr>
              <w:t>罗湖口岸是深圳最早的口岸，是我国最早实行联检的口岸。联检大楼入选深圳十大建筑。</w:t>
            </w:r>
          </w:p>
        </w:tc>
        <w:tc>
          <w:tcPr>
            <w:tcW w:w="4110" w:type="dxa"/>
          </w:tcPr>
          <w:p>
            <w:pPr>
              <w:rPr>
                <w:rFonts w:ascii="宋体" w:hAnsi="宋体" w:eastAsia="宋体"/>
                <w:color w:val="auto"/>
                <w:szCs w:val="21"/>
              </w:rPr>
            </w:pPr>
            <w:r>
              <w:rPr>
                <w:rFonts w:hint="eastAsia" w:ascii="宋体" w:hAnsi="宋体" w:eastAsia="宋体"/>
                <w:color w:val="auto"/>
                <w:szCs w:val="21"/>
              </w:rPr>
              <w:t>罗湖口岸（联检大楼）</w:t>
            </w:r>
          </w:p>
        </w:tc>
        <w:tc>
          <w:tcPr>
            <w:tcW w:w="9019" w:type="dxa"/>
          </w:tcPr>
          <w:p>
            <w:pPr>
              <w:rPr>
                <w:rFonts w:ascii="宋体" w:hAnsi="宋体" w:eastAsia="宋体"/>
                <w:color w:val="auto"/>
                <w:szCs w:val="21"/>
              </w:rPr>
            </w:pPr>
            <w:r>
              <w:rPr>
                <w:rFonts w:hint="eastAsia" w:ascii="宋体" w:hAnsi="宋体" w:eastAsia="宋体"/>
                <w:color w:val="auto"/>
                <w:szCs w:val="21"/>
              </w:rPr>
              <w:t>罗湖口岸联检大楼入选深圳十大建筑。1985年4月竣工使用，发挥着重要的窗口作用，联结着深圳和香港，是中国人流量最大的陆路出入境口岸。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36</w:t>
            </w:r>
          </w:p>
        </w:tc>
        <w:tc>
          <w:tcPr>
            <w:tcW w:w="1134" w:type="dxa"/>
          </w:tcPr>
          <w:p>
            <w:pPr>
              <w:rPr>
                <w:rFonts w:ascii="宋体" w:hAnsi="宋体" w:eastAsia="宋体"/>
                <w:color w:val="auto"/>
                <w:szCs w:val="21"/>
              </w:rPr>
            </w:pPr>
            <w:r>
              <w:rPr>
                <w:rFonts w:hint="eastAsia" w:ascii="宋体" w:hAnsi="宋体" w:eastAsia="宋体"/>
                <w:color w:val="auto"/>
                <w:szCs w:val="21"/>
              </w:rPr>
              <w:t>1985年</w:t>
            </w:r>
          </w:p>
        </w:tc>
        <w:tc>
          <w:tcPr>
            <w:tcW w:w="5954" w:type="dxa"/>
          </w:tcPr>
          <w:p>
            <w:pPr>
              <w:rPr>
                <w:rFonts w:ascii="宋体" w:hAnsi="宋体" w:eastAsia="宋体"/>
                <w:color w:val="auto"/>
                <w:szCs w:val="21"/>
              </w:rPr>
            </w:pPr>
            <w:r>
              <w:rPr>
                <w:rFonts w:hint="eastAsia" w:ascii="宋体" w:hAnsi="宋体" w:eastAsia="宋体"/>
                <w:color w:val="auto"/>
                <w:szCs w:val="21"/>
              </w:rPr>
              <w:t>《深圳经济特区暂住人员户口管理暂行规定》出台</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中国内地率先实行暂住证制度。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37</w:t>
            </w:r>
          </w:p>
        </w:tc>
        <w:tc>
          <w:tcPr>
            <w:tcW w:w="1134" w:type="dxa"/>
          </w:tcPr>
          <w:p>
            <w:pPr>
              <w:rPr>
                <w:rFonts w:ascii="宋体" w:hAnsi="宋体" w:eastAsia="宋体"/>
                <w:color w:val="auto"/>
                <w:szCs w:val="21"/>
              </w:rPr>
            </w:pPr>
            <w:r>
              <w:rPr>
                <w:rFonts w:hint="eastAsia" w:ascii="宋体" w:hAnsi="宋体" w:eastAsia="宋体"/>
                <w:color w:val="auto"/>
                <w:szCs w:val="21"/>
              </w:rPr>
              <w:t xml:space="preserve"> 1985年</w:t>
            </w:r>
          </w:p>
        </w:tc>
        <w:tc>
          <w:tcPr>
            <w:tcW w:w="5954" w:type="dxa"/>
          </w:tcPr>
          <w:p>
            <w:pPr>
              <w:rPr>
                <w:rFonts w:ascii="宋体" w:hAnsi="宋体" w:eastAsia="宋体"/>
                <w:color w:val="auto"/>
                <w:szCs w:val="21"/>
              </w:rPr>
            </w:pPr>
            <w:r>
              <w:rPr>
                <w:rFonts w:hint="eastAsia" w:ascii="宋体" w:hAnsi="宋体" w:eastAsia="宋体"/>
                <w:color w:val="auto"/>
                <w:szCs w:val="21"/>
              </w:rPr>
              <w:t>深圳市保安服务公司成立</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深圳市保安服务公司成为中国内地第一家市级保安服务公司。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38</w:t>
            </w:r>
          </w:p>
        </w:tc>
        <w:tc>
          <w:tcPr>
            <w:tcW w:w="1134" w:type="dxa"/>
          </w:tcPr>
          <w:p>
            <w:pPr>
              <w:rPr>
                <w:rFonts w:ascii="宋体" w:hAnsi="宋体" w:eastAsia="宋体"/>
                <w:color w:val="auto"/>
                <w:szCs w:val="21"/>
              </w:rPr>
            </w:pPr>
            <w:r>
              <w:rPr>
                <w:rFonts w:hint="eastAsia" w:ascii="宋体" w:hAnsi="宋体" w:eastAsia="宋体"/>
                <w:color w:val="auto"/>
                <w:szCs w:val="21"/>
              </w:rPr>
              <w:t>1986年</w:t>
            </w:r>
          </w:p>
        </w:tc>
        <w:tc>
          <w:tcPr>
            <w:tcW w:w="5954" w:type="dxa"/>
          </w:tcPr>
          <w:p>
            <w:pPr>
              <w:rPr>
                <w:rFonts w:ascii="宋体" w:hAnsi="宋体" w:eastAsia="宋体"/>
                <w:color w:val="auto"/>
                <w:szCs w:val="21"/>
              </w:rPr>
            </w:pPr>
            <w:r>
              <w:rPr>
                <w:rFonts w:hint="eastAsia" w:ascii="宋体" w:hAnsi="宋体" w:eastAsia="宋体"/>
                <w:color w:val="auto"/>
                <w:szCs w:val="21"/>
              </w:rPr>
              <w:t>深圳市推出人事制度改革举措</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首次在社会上公开招聘市审计局、标准计量局正副局长四名。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39</w:t>
            </w:r>
          </w:p>
        </w:tc>
        <w:tc>
          <w:tcPr>
            <w:tcW w:w="1134" w:type="dxa"/>
          </w:tcPr>
          <w:p>
            <w:pPr>
              <w:rPr>
                <w:rFonts w:ascii="宋体" w:hAnsi="宋体" w:eastAsia="宋体"/>
                <w:color w:val="auto"/>
                <w:szCs w:val="21"/>
              </w:rPr>
            </w:pPr>
            <w:r>
              <w:rPr>
                <w:rFonts w:hint="eastAsia" w:ascii="宋体" w:hAnsi="宋体" w:eastAsia="宋体"/>
                <w:color w:val="auto"/>
                <w:szCs w:val="21"/>
              </w:rPr>
              <w:t>1986年</w:t>
            </w:r>
          </w:p>
        </w:tc>
        <w:tc>
          <w:tcPr>
            <w:tcW w:w="5954" w:type="dxa"/>
          </w:tcPr>
          <w:p>
            <w:pPr>
              <w:rPr>
                <w:rFonts w:ascii="宋体" w:hAnsi="宋体" w:eastAsia="宋体"/>
                <w:color w:val="auto"/>
                <w:szCs w:val="21"/>
              </w:rPr>
            </w:pPr>
            <w:r>
              <w:rPr>
                <w:rFonts w:hint="eastAsia" w:ascii="宋体" w:hAnsi="宋体" w:eastAsia="宋体"/>
                <w:color w:val="auto"/>
                <w:szCs w:val="21"/>
              </w:rPr>
              <w:t>深圳出台《深圳经济特区国营企业股份化试点暂行规定》</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率先探索国有企业股份制改造新路。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40</w:t>
            </w:r>
          </w:p>
        </w:tc>
        <w:tc>
          <w:tcPr>
            <w:tcW w:w="1134" w:type="dxa"/>
          </w:tcPr>
          <w:p>
            <w:pPr>
              <w:rPr>
                <w:rFonts w:ascii="宋体" w:hAnsi="宋体" w:eastAsia="宋体"/>
                <w:color w:val="auto"/>
                <w:szCs w:val="21"/>
              </w:rPr>
            </w:pPr>
            <w:r>
              <w:rPr>
                <w:rFonts w:hint="eastAsia" w:ascii="宋体" w:hAnsi="宋体" w:eastAsia="宋体"/>
                <w:color w:val="auto"/>
                <w:szCs w:val="21"/>
              </w:rPr>
              <w:t>1987年</w:t>
            </w:r>
          </w:p>
        </w:tc>
        <w:tc>
          <w:tcPr>
            <w:tcW w:w="5954" w:type="dxa"/>
          </w:tcPr>
          <w:p>
            <w:pPr>
              <w:rPr>
                <w:rFonts w:ascii="宋体" w:hAnsi="宋体" w:eastAsia="宋体"/>
                <w:color w:val="auto"/>
                <w:szCs w:val="21"/>
              </w:rPr>
            </w:pPr>
            <w:r>
              <w:rPr>
                <w:rFonts w:hint="eastAsia" w:ascii="宋体" w:hAnsi="宋体" w:eastAsia="宋体"/>
                <w:color w:val="auto"/>
                <w:szCs w:val="21"/>
              </w:rPr>
              <w:t>深圳市投资管理公司成立</w:t>
            </w:r>
          </w:p>
        </w:tc>
        <w:tc>
          <w:tcPr>
            <w:tcW w:w="4110" w:type="dxa"/>
          </w:tcPr>
          <w:p>
            <w:pPr>
              <w:rPr>
                <w:rFonts w:ascii="宋体" w:hAnsi="宋体" w:eastAsia="宋体"/>
                <w:color w:val="auto"/>
                <w:szCs w:val="21"/>
              </w:rPr>
            </w:pPr>
            <w:r>
              <w:rPr>
                <w:rFonts w:hint="eastAsia" w:ascii="宋体" w:hAnsi="宋体" w:eastAsia="宋体"/>
                <w:color w:val="auto"/>
                <w:szCs w:val="21"/>
              </w:rPr>
              <w:t>待定</w:t>
            </w:r>
          </w:p>
        </w:tc>
        <w:tc>
          <w:tcPr>
            <w:tcW w:w="9019" w:type="dxa"/>
          </w:tcPr>
          <w:p>
            <w:pPr>
              <w:rPr>
                <w:rFonts w:ascii="宋体" w:hAnsi="宋体" w:eastAsia="宋体"/>
                <w:color w:val="auto"/>
                <w:szCs w:val="21"/>
              </w:rPr>
            </w:pPr>
            <w:r>
              <w:rPr>
                <w:rFonts w:hint="eastAsia" w:ascii="宋体" w:hAnsi="宋体" w:eastAsia="宋体"/>
                <w:color w:val="auto"/>
                <w:szCs w:val="21"/>
              </w:rPr>
              <w:t>中国内地率先探索国有资产管理新体制。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41</w:t>
            </w:r>
          </w:p>
        </w:tc>
        <w:tc>
          <w:tcPr>
            <w:tcW w:w="1134" w:type="dxa"/>
          </w:tcPr>
          <w:p>
            <w:pPr>
              <w:rPr>
                <w:rFonts w:ascii="宋体" w:hAnsi="宋体" w:eastAsia="宋体"/>
                <w:color w:val="auto"/>
                <w:szCs w:val="21"/>
              </w:rPr>
            </w:pPr>
            <w:r>
              <w:rPr>
                <w:rFonts w:hint="eastAsia" w:ascii="宋体" w:hAnsi="宋体" w:eastAsia="宋体"/>
                <w:color w:val="auto"/>
                <w:szCs w:val="21"/>
              </w:rPr>
              <w:t>1987年</w:t>
            </w:r>
          </w:p>
        </w:tc>
        <w:tc>
          <w:tcPr>
            <w:tcW w:w="5954" w:type="dxa"/>
          </w:tcPr>
          <w:p>
            <w:pPr>
              <w:rPr>
                <w:rFonts w:ascii="宋体" w:hAnsi="宋体" w:eastAsia="宋体"/>
                <w:color w:val="auto"/>
                <w:szCs w:val="21"/>
              </w:rPr>
            </w:pPr>
            <w:r>
              <w:rPr>
                <w:rFonts w:hint="eastAsia" w:ascii="宋体" w:hAnsi="宋体" w:eastAsia="宋体"/>
                <w:color w:val="auto"/>
                <w:szCs w:val="21"/>
              </w:rPr>
              <w:t>深圳率先放开土地市场</w:t>
            </w:r>
          </w:p>
        </w:tc>
        <w:tc>
          <w:tcPr>
            <w:tcW w:w="4110" w:type="dxa"/>
          </w:tcPr>
          <w:p>
            <w:pPr>
              <w:rPr>
                <w:rFonts w:ascii="宋体" w:hAnsi="宋体" w:eastAsia="宋体"/>
                <w:color w:val="auto"/>
                <w:szCs w:val="21"/>
              </w:rPr>
            </w:pPr>
            <w:r>
              <w:rPr>
                <w:rFonts w:hint="eastAsia" w:ascii="宋体" w:hAnsi="宋体" w:eastAsia="宋体"/>
                <w:color w:val="auto"/>
                <w:szCs w:val="21"/>
              </w:rPr>
              <w:t>待定</w:t>
            </w:r>
          </w:p>
        </w:tc>
        <w:tc>
          <w:tcPr>
            <w:tcW w:w="9019" w:type="dxa"/>
          </w:tcPr>
          <w:p>
            <w:pPr>
              <w:rPr>
                <w:rFonts w:ascii="宋体" w:hAnsi="宋体" w:eastAsia="宋体"/>
                <w:color w:val="auto"/>
                <w:szCs w:val="21"/>
              </w:rPr>
            </w:pPr>
            <w:r>
              <w:rPr>
                <w:rFonts w:hint="eastAsia" w:ascii="宋体" w:hAnsi="宋体" w:eastAsia="宋体"/>
                <w:color w:val="auto"/>
                <w:szCs w:val="21"/>
              </w:rPr>
              <w:t>土地拍卖“第一槌”，引发新中国土地使用制度的“第一场革命”。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42</w:t>
            </w:r>
          </w:p>
        </w:tc>
        <w:tc>
          <w:tcPr>
            <w:tcW w:w="1134" w:type="dxa"/>
          </w:tcPr>
          <w:p>
            <w:pPr>
              <w:rPr>
                <w:rFonts w:ascii="宋体" w:hAnsi="宋体" w:eastAsia="宋体"/>
                <w:color w:val="auto"/>
                <w:szCs w:val="21"/>
              </w:rPr>
            </w:pPr>
            <w:r>
              <w:rPr>
                <w:rFonts w:hint="eastAsia" w:ascii="宋体" w:hAnsi="宋体" w:eastAsia="宋体"/>
                <w:color w:val="auto"/>
                <w:szCs w:val="21"/>
              </w:rPr>
              <w:t>1987年</w:t>
            </w:r>
          </w:p>
        </w:tc>
        <w:tc>
          <w:tcPr>
            <w:tcW w:w="5954" w:type="dxa"/>
          </w:tcPr>
          <w:p>
            <w:pPr>
              <w:rPr>
                <w:rFonts w:ascii="宋体" w:hAnsi="宋体" w:eastAsia="宋体"/>
                <w:color w:val="auto"/>
                <w:szCs w:val="21"/>
              </w:rPr>
            </w:pPr>
            <w:r>
              <w:rPr>
                <w:rFonts w:hint="eastAsia" w:ascii="宋体" w:hAnsi="宋体" w:eastAsia="宋体"/>
                <w:color w:val="auto"/>
                <w:szCs w:val="21"/>
              </w:rPr>
              <w:t>深圳鼓励技术入股、兴办民营科技企业</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催生了华为等一批高科技民营企业。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43</w:t>
            </w:r>
          </w:p>
        </w:tc>
        <w:tc>
          <w:tcPr>
            <w:tcW w:w="1134" w:type="dxa"/>
          </w:tcPr>
          <w:p>
            <w:pPr>
              <w:rPr>
                <w:rFonts w:ascii="宋体" w:hAnsi="宋体" w:eastAsia="宋体"/>
                <w:color w:val="auto"/>
                <w:szCs w:val="21"/>
              </w:rPr>
            </w:pPr>
            <w:r>
              <w:rPr>
                <w:rFonts w:hint="eastAsia" w:ascii="宋体" w:hAnsi="宋体" w:eastAsia="宋体"/>
                <w:color w:val="auto"/>
                <w:szCs w:val="21"/>
              </w:rPr>
              <w:t>1987年</w:t>
            </w:r>
          </w:p>
        </w:tc>
        <w:tc>
          <w:tcPr>
            <w:tcW w:w="5954" w:type="dxa"/>
          </w:tcPr>
          <w:p>
            <w:pPr>
              <w:rPr>
                <w:rFonts w:ascii="宋体" w:hAnsi="宋体" w:eastAsia="宋体"/>
                <w:color w:val="auto"/>
                <w:szCs w:val="21"/>
              </w:rPr>
            </w:pPr>
            <w:r>
              <w:rPr>
                <w:rFonts w:hint="eastAsia" w:ascii="宋体" w:hAnsi="宋体" w:eastAsia="宋体"/>
                <w:color w:val="auto"/>
                <w:szCs w:val="21"/>
              </w:rPr>
              <w:t>“深圳经济特区证券公司”成立</w:t>
            </w:r>
          </w:p>
        </w:tc>
        <w:tc>
          <w:tcPr>
            <w:tcW w:w="4110" w:type="dxa"/>
          </w:tcPr>
          <w:p>
            <w:pPr>
              <w:rPr>
                <w:rFonts w:ascii="宋体" w:hAnsi="宋体" w:eastAsia="宋体"/>
                <w:color w:val="auto"/>
                <w:szCs w:val="21"/>
              </w:rPr>
            </w:pPr>
            <w:r>
              <w:rPr>
                <w:rFonts w:hint="eastAsia" w:ascii="宋体" w:hAnsi="宋体" w:eastAsia="宋体"/>
                <w:color w:val="auto"/>
                <w:szCs w:val="21"/>
              </w:rPr>
              <w:t>深圳经济特区证券公司。后更名巨田证券。</w:t>
            </w:r>
          </w:p>
        </w:tc>
        <w:tc>
          <w:tcPr>
            <w:tcW w:w="9019" w:type="dxa"/>
          </w:tcPr>
          <w:p>
            <w:pPr>
              <w:rPr>
                <w:rFonts w:ascii="宋体" w:hAnsi="宋体" w:eastAsia="宋体"/>
                <w:color w:val="auto"/>
                <w:szCs w:val="21"/>
              </w:rPr>
            </w:pPr>
            <w:r>
              <w:rPr>
                <w:rFonts w:hint="eastAsia" w:ascii="宋体" w:hAnsi="宋体" w:eastAsia="宋体"/>
                <w:color w:val="auto"/>
                <w:szCs w:val="21"/>
              </w:rPr>
              <w:t>中国内地第一家证券公司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44</w:t>
            </w:r>
          </w:p>
        </w:tc>
        <w:tc>
          <w:tcPr>
            <w:tcW w:w="1134" w:type="dxa"/>
          </w:tcPr>
          <w:p>
            <w:pPr>
              <w:rPr>
                <w:rFonts w:ascii="宋体" w:hAnsi="宋体" w:eastAsia="宋体"/>
                <w:color w:val="auto"/>
                <w:szCs w:val="21"/>
              </w:rPr>
            </w:pPr>
            <w:r>
              <w:rPr>
                <w:rFonts w:hint="eastAsia" w:ascii="宋体" w:hAnsi="宋体" w:eastAsia="宋体"/>
                <w:color w:val="auto"/>
                <w:szCs w:val="21"/>
              </w:rPr>
              <w:t>1987年</w:t>
            </w:r>
          </w:p>
        </w:tc>
        <w:tc>
          <w:tcPr>
            <w:tcW w:w="5954" w:type="dxa"/>
          </w:tcPr>
          <w:p>
            <w:pPr>
              <w:rPr>
                <w:rFonts w:ascii="宋体" w:hAnsi="宋体" w:eastAsia="宋体"/>
                <w:color w:val="auto"/>
                <w:szCs w:val="21"/>
              </w:rPr>
            </w:pPr>
            <w:r>
              <w:rPr>
                <w:rFonts w:hint="eastAsia" w:ascii="宋体" w:hAnsi="宋体" w:eastAsia="宋体"/>
                <w:color w:val="auto"/>
                <w:szCs w:val="21"/>
              </w:rPr>
              <w:t>“招商银行”在深圳挂牌</w:t>
            </w:r>
          </w:p>
        </w:tc>
        <w:tc>
          <w:tcPr>
            <w:tcW w:w="4110" w:type="dxa"/>
          </w:tcPr>
          <w:p>
            <w:pPr>
              <w:rPr>
                <w:rFonts w:ascii="宋体" w:hAnsi="宋体" w:eastAsia="宋体"/>
                <w:color w:val="auto"/>
                <w:szCs w:val="21"/>
              </w:rPr>
            </w:pPr>
            <w:r>
              <w:rPr>
                <w:rFonts w:hint="eastAsia" w:ascii="宋体" w:hAnsi="宋体" w:eastAsia="宋体"/>
                <w:color w:val="auto"/>
                <w:szCs w:val="21"/>
              </w:rPr>
              <w:t>招商银行</w:t>
            </w:r>
          </w:p>
        </w:tc>
        <w:tc>
          <w:tcPr>
            <w:tcW w:w="9019" w:type="dxa"/>
          </w:tcPr>
          <w:p>
            <w:pPr>
              <w:rPr>
                <w:rFonts w:ascii="宋体" w:hAnsi="宋体" w:eastAsia="宋体"/>
                <w:color w:val="auto"/>
                <w:szCs w:val="21"/>
              </w:rPr>
            </w:pPr>
            <w:r>
              <w:rPr>
                <w:rFonts w:hint="eastAsia" w:ascii="宋体" w:hAnsi="宋体" w:eastAsia="宋体"/>
                <w:color w:val="auto"/>
                <w:szCs w:val="21"/>
              </w:rPr>
              <w:t>中国内地第一家企业自办股份制商业银行。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04" w:type="dxa"/>
          </w:tcPr>
          <w:p>
            <w:pPr>
              <w:rPr>
                <w:rFonts w:ascii="宋体" w:hAnsi="宋体" w:eastAsia="宋体"/>
                <w:color w:val="auto"/>
                <w:szCs w:val="21"/>
              </w:rPr>
            </w:pPr>
            <w:r>
              <w:rPr>
                <w:rFonts w:hint="eastAsia" w:ascii="宋体" w:hAnsi="宋体" w:eastAsia="宋体"/>
                <w:color w:val="auto"/>
                <w:szCs w:val="21"/>
              </w:rPr>
              <w:t>45</w:t>
            </w:r>
          </w:p>
        </w:tc>
        <w:tc>
          <w:tcPr>
            <w:tcW w:w="1134" w:type="dxa"/>
          </w:tcPr>
          <w:p>
            <w:pPr>
              <w:rPr>
                <w:rFonts w:ascii="宋体" w:hAnsi="宋体" w:eastAsia="宋体"/>
                <w:color w:val="auto"/>
                <w:szCs w:val="21"/>
              </w:rPr>
            </w:pPr>
            <w:r>
              <w:rPr>
                <w:rFonts w:hint="eastAsia" w:ascii="宋体" w:hAnsi="宋体" w:eastAsia="宋体"/>
                <w:color w:val="auto"/>
                <w:szCs w:val="21"/>
              </w:rPr>
              <w:t>1987年</w:t>
            </w:r>
          </w:p>
        </w:tc>
        <w:tc>
          <w:tcPr>
            <w:tcW w:w="5954" w:type="dxa"/>
          </w:tcPr>
          <w:p>
            <w:pPr>
              <w:rPr>
                <w:rFonts w:ascii="宋体" w:hAnsi="宋体" w:eastAsia="宋体"/>
                <w:color w:val="auto"/>
                <w:szCs w:val="21"/>
              </w:rPr>
            </w:pPr>
            <w:r>
              <w:rPr>
                <w:rFonts w:hint="eastAsia" w:ascii="宋体" w:hAnsi="宋体" w:eastAsia="宋体"/>
                <w:color w:val="auto"/>
                <w:szCs w:val="21"/>
              </w:rPr>
              <w:t>“深圳发展银行”成立</w:t>
            </w:r>
          </w:p>
        </w:tc>
        <w:tc>
          <w:tcPr>
            <w:tcW w:w="4110" w:type="dxa"/>
          </w:tcPr>
          <w:p>
            <w:pPr>
              <w:rPr>
                <w:rFonts w:ascii="宋体" w:hAnsi="宋体" w:eastAsia="宋体"/>
                <w:color w:val="auto"/>
                <w:szCs w:val="21"/>
              </w:rPr>
            </w:pPr>
            <w:r>
              <w:rPr>
                <w:rFonts w:hint="eastAsia" w:ascii="宋体" w:hAnsi="宋体" w:eastAsia="宋体"/>
                <w:color w:val="auto"/>
                <w:szCs w:val="21"/>
              </w:rPr>
              <w:t>深圳发展银行</w:t>
            </w:r>
          </w:p>
        </w:tc>
        <w:tc>
          <w:tcPr>
            <w:tcW w:w="9019" w:type="dxa"/>
          </w:tcPr>
          <w:p>
            <w:pPr>
              <w:rPr>
                <w:rFonts w:ascii="宋体" w:hAnsi="宋体" w:eastAsia="宋体"/>
                <w:color w:val="auto"/>
                <w:szCs w:val="21"/>
              </w:rPr>
            </w:pPr>
            <w:r>
              <w:rPr>
                <w:rFonts w:hint="eastAsia" w:ascii="宋体" w:hAnsi="宋体" w:eastAsia="宋体"/>
                <w:color w:val="auto"/>
                <w:szCs w:val="21"/>
              </w:rPr>
              <w:t>中国内地第一家向社会公众公开发行股票、第一家公开上市交易的股份制商业银行。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46</w:t>
            </w:r>
          </w:p>
        </w:tc>
        <w:tc>
          <w:tcPr>
            <w:tcW w:w="1134" w:type="dxa"/>
          </w:tcPr>
          <w:p>
            <w:pPr>
              <w:rPr>
                <w:rFonts w:ascii="宋体" w:hAnsi="宋体" w:eastAsia="宋体"/>
                <w:color w:val="auto"/>
                <w:szCs w:val="21"/>
              </w:rPr>
            </w:pPr>
            <w:r>
              <w:rPr>
                <w:rFonts w:hint="eastAsia" w:ascii="宋体" w:hAnsi="宋体" w:eastAsia="宋体"/>
                <w:color w:val="auto"/>
                <w:szCs w:val="21"/>
              </w:rPr>
              <w:t>1987年</w:t>
            </w:r>
          </w:p>
        </w:tc>
        <w:tc>
          <w:tcPr>
            <w:tcW w:w="5954" w:type="dxa"/>
          </w:tcPr>
          <w:p>
            <w:pPr>
              <w:rPr>
                <w:rFonts w:ascii="宋体" w:hAnsi="宋体" w:eastAsia="宋体"/>
                <w:color w:val="auto"/>
                <w:szCs w:val="21"/>
              </w:rPr>
            </w:pPr>
            <w:r>
              <w:rPr>
                <w:rFonts w:hint="eastAsia" w:ascii="宋体" w:hAnsi="宋体" w:eastAsia="宋体"/>
                <w:color w:val="auto"/>
                <w:szCs w:val="21"/>
              </w:rPr>
              <w:t>沙头角保税区成立</w:t>
            </w:r>
          </w:p>
        </w:tc>
        <w:tc>
          <w:tcPr>
            <w:tcW w:w="4110" w:type="dxa"/>
          </w:tcPr>
          <w:p>
            <w:pPr>
              <w:rPr>
                <w:rFonts w:ascii="宋体" w:hAnsi="宋体" w:eastAsia="宋体"/>
                <w:color w:val="auto"/>
                <w:szCs w:val="21"/>
              </w:rPr>
            </w:pPr>
            <w:r>
              <w:rPr>
                <w:rFonts w:hint="eastAsia" w:ascii="宋体" w:hAnsi="宋体" w:eastAsia="宋体"/>
                <w:color w:val="auto"/>
                <w:szCs w:val="21"/>
              </w:rPr>
              <w:t>沙头角保税区</w:t>
            </w:r>
          </w:p>
        </w:tc>
        <w:tc>
          <w:tcPr>
            <w:tcW w:w="9019" w:type="dxa"/>
          </w:tcPr>
          <w:p>
            <w:pPr>
              <w:rPr>
                <w:rFonts w:ascii="宋体" w:hAnsi="宋体" w:eastAsia="宋体"/>
                <w:color w:val="auto"/>
                <w:szCs w:val="21"/>
              </w:rPr>
            </w:pPr>
            <w:r>
              <w:rPr>
                <w:rFonts w:hint="eastAsia" w:ascii="宋体" w:hAnsi="宋体" w:eastAsia="宋体"/>
                <w:color w:val="auto"/>
                <w:szCs w:val="21"/>
              </w:rPr>
              <w:t>中国内地首个保税工业区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47</w:t>
            </w:r>
          </w:p>
        </w:tc>
        <w:tc>
          <w:tcPr>
            <w:tcW w:w="1134" w:type="dxa"/>
          </w:tcPr>
          <w:p>
            <w:pPr>
              <w:rPr>
                <w:rFonts w:ascii="宋体" w:hAnsi="宋体" w:eastAsia="宋体"/>
                <w:color w:val="auto"/>
                <w:szCs w:val="21"/>
              </w:rPr>
            </w:pPr>
            <w:r>
              <w:rPr>
                <w:rFonts w:hint="eastAsia" w:ascii="宋体" w:hAnsi="宋体" w:eastAsia="宋体"/>
                <w:color w:val="auto"/>
                <w:szCs w:val="21"/>
              </w:rPr>
              <w:t>1987年</w:t>
            </w:r>
          </w:p>
        </w:tc>
        <w:tc>
          <w:tcPr>
            <w:tcW w:w="5954" w:type="dxa"/>
          </w:tcPr>
          <w:p>
            <w:pPr>
              <w:rPr>
                <w:rFonts w:ascii="宋体" w:hAnsi="宋体" w:eastAsia="宋体"/>
                <w:color w:val="auto"/>
                <w:szCs w:val="21"/>
              </w:rPr>
            </w:pPr>
            <w:r>
              <w:rPr>
                <w:rFonts w:hint="eastAsia" w:ascii="宋体" w:hAnsi="宋体" w:eastAsia="宋体"/>
                <w:color w:val="auto"/>
                <w:szCs w:val="21"/>
              </w:rPr>
              <w:t>习仲勋、江泽民、胡锦涛、习近平视察</w:t>
            </w:r>
          </w:p>
        </w:tc>
        <w:tc>
          <w:tcPr>
            <w:tcW w:w="4110" w:type="dxa"/>
          </w:tcPr>
          <w:p>
            <w:pPr>
              <w:rPr>
                <w:rFonts w:ascii="宋体" w:hAnsi="宋体" w:eastAsia="宋体"/>
                <w:color w:val="auto"/>
                <w:szCs w:val="21"/>
              </w:rPr>
            </w:pPr>
            <w:r>
              <w:rPr>
                <w:rFonts w:hint="eastAsia" w:ascii="宋体" w:hAnsi="宋体" w:eastAsia="宋体"/>
                <w:color w:val="auto"/>
                <w:szCs w:val="21"/>
              </w:rPr>
              <w:t>深圳市南岭村</w:t>
            </w:r>
          </w:p>
        </w:tc>
        <w:tc>
          <w:tcPr>
            <w:tcW w:w="9019" w:type="dxa"/>
          </w:tcPr>
          <w:p>
            <w:pPr>
              <w:rPr>
                <w:rFonts w:ascii="宋体" w:hAnsi="宋体" w:eastAsia="宋体"/>
                <w:color w:val="auto"/>
                <w:szCs w:val="21"/>
              </w:rPr>
            </w:pPr>
            <w:r>
              <w:rPr>
                <w:rFonts w:hint="eastAsia" w:ascii="宋体" w:hAnsi="宋体" w:eastAsia="宋体"/>
                <w:color w:val="auto"/>
                <w:szCs w:val="21"/>
              </w:rPr>
              <w:t>社会主义新农村建设的典范，也是全国精神文明创建活动示范点。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48</w:t>
            </w:r>
          </w:p>
        </w:tc>
        <w:tc>
          <w:tcPr>
            <w:tcW w:w="1134" w:type="dxa"/>
          </w:tcPr>
          <w:p>
            <w:pPr>
              <w:rPr>
                <w:rFonts w:ascii="宋体" w:hAnsi="宋体" w:eastAsia="宋体"/>
                <w:color w:val="auto"/>
                <w:szCs w:val="21"/>
              </w:rPr>
            </w:pPr>
            <w:r>
              <w:rPr>
                <w:rFonts w:hint="eastAsia" w:ascii="宋体" w:hAnsi="宋体" w:eastAsia="宋体"/>
                <w:color w:val="auto"/>
                <w:szCs w:val="21"/>
              </w:rPr>
              <w:t xml:space="preserve"> 1988年</w:t>
            </w:r>
          </w:p>
        </w:tc>
        <w:tc>
          <w:tcPr>
            <w:tcW w:w="5954" w:type="dxa"/>
          </w:tcPr>
          <w:p>
            <w:pPr>
              <w:rPr>
                <w:rFonts w:ascii="宋体" w:hAnsi="宋体" w:eastAsia="宋体"/>
                <w:color w:val="auto"/>
                <w:szCs w:val="21"/>
              </w:rPr>
            </w:pPr>
            <w:r>
              <w:rPr>
                <w:rFonts w:hint="eastAsia" w:ascii="宋体" w:hAnsi="宋体" w:eastAsia="宋体"/>
                <w:color w:val="auto"/>
                <w:szCs w:val="21"/>
              </w:rPr>
              <w:t>《深圳经济特区住房制度改革方案》出台</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“房屋是商品”观念开始从深圳走向全国。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4" w:type="dxa"/>
          </w:tcPr>
          <w:p>
            <w:pPr>
              <w:rPr>
                <w:rFonts w:ascii="宋体" w:hAnsi="宋体" w:eastAsia="宋体"/>
                <w:color w:val="auto"/>
                <w:szCs w:val="21"/>
              </w:rPr>
            </w:pPr>
            <w:r>
              <w:rPr>
                <w:rFonts w:hint="eastAsia" w:ascii="宋体" w:hAnsi="宋体" w:eastAsia="宋体"/>
                <w:color w:val="auto"/>
                <w:szCs w:val="21"/>
              </w:rPr>
              <w:t>49</w:t>
            </w:r>
          </w:p>
        </w:tc>
        <w:tc>
          <w:tcPr>
            <w:tcW w:w="1134" w:type="dxa"/>
          </w:tcPr>
          <w:p>
            <w:pPr>
              <w:rPr>
                <w:rFonts w:ascii="宋体" w:hAnsi="宋体" w:eastAsia="宋体"/>
                <w:color w:val="auto"/>
                <w:szCs w:val="21"/>
              </w:rPr>
            </w:pPr>
            <w:r>
              <w:rPr>
                <w:rFonts w:hint="eastAsia" w:ascii="宋体" w:hAnsi="宋体" w:eastAsia="宋体"/>
                <w:color w:val="auto"/>
                <w:szCs w:val="21"/>
              </w:rPr>
              <w:t>1988年</w:t>
            </w:r>
          </w:p>
        </w:tc>
        <w:tc>
          <w:tcPr>
            <w:tcW w:w="5954" w:type="dxa"/>
          </w:tcPr>
          <w:p>
            <w:pPr>
              <w:rPr>
                <w:rFonts w:ascii="宋体" w:hAnsi="宋体" w:eastAsia="宋体"/>
                <w:color w:val="auto"/>
                <w:szCs w:val="21"/>
              </w:rPr>
            </w:pPr>
            <w:r>
              <w:rPr>
                <w:rFonts w:hint="eastAsia" w:ascii="宋体" w:hAnsi="宋体" w:eastAsia="宋体"/>
                <w:color w:val="auto"/>
                <w:szCs w:val="21"/>
              </w:rPr>
              <w:t>是国内第一座采用焚烧技术处理城市生活垃圾并利用其余热发电、供电的现代化公益设施。</w:t>
            </w:r>
          </w:p>
        </w:tc>
        <w:tc>
          <w:tcPr>
            <w:tcW w:w="4110" w:type="dxa"/>
          </w:tcPr>
          <w:p>
            <w:pPr>
              <w:rPr>
                <w:rFonts w:ascii="宋体" w:hAnsi="宋体" w:eastAsia="宋体"/>
                <w:color w:val="auto"/>
                <w:szCs w:val="21"/>
              </w:rPr>
            </w:pPr>
            <w:r>
              <w:rPr>
                <w:rFonts w:hint="eastAsia" w:ascii="宋体" w:hAnsi="宋体" w:eastAsia="宋体"/>
                <w:color w:val="auto"/>
                <w:szCs w:val="21"/>
              </w:rPr>
              <w:t>环卫综合处理厂</w:t>
            </w:r>
          </w:p>
        </w:tc>
        <w:tc>
          <w:tcPr>
            <w:tcW w:w="9019" w:type="dxa"/>
          </w:tcPr>
          <w:p>
            <w:pPr>
              <w:rPr>
                <w:rFonts w:ascii="宋体" w:hAnsi="宋体" w:eastAsia="宋体"/>
                <w:color w:val="auto"/>
                <w:szCs w:val="21"/>
              </w:rPr>
            </w:pPr>
            <w:r>
              <w:rPr>
                <w:rFonts w:hint="eastAsia" w:ascii="宋体" w:hAnsi="宋体" w:eastAsia="宋体"/>
                <w:color w:val="auto"/>
                <w:szCs w:val="21"/>
              </w:rPr>
              <w:t>1988年建成投产，是国内第一座采用焚烧技术处理城市生活垃圾并利用其余热发电、供电的现代化公益设施。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50</w:t>
            </w:r>
          </w:p>
        </w:tc>
        <w:tc>
          <w:tcPr>
            <w:tcW w:w="1134" w:type="dxa"/>
          </w:tcPr>
          <w:p>
            <w:pPr>
              <w:rPr>
                <w:rFonts w:ascii="宋体" w:hAnsi="宋体" w:eastAsia="宋体"/>
                <w:color w:val="auto"/>
                <w:szCs w:val="21"/>
              </w:rPr>
            </w:pPr>
            <w:r>
              <w:rPr>
                <w:rFonts w:hint="eastAsia" w:ascii="宋体" w:hAnsi="宋体" w:eastAsia="宋体"/>
                <w:color w:val="auto"/>
                <w:szCs w:val="21"/>
              </w:rPr>
              <w:t>1988年</w:t>
            </w:r>
          </w:p>
        </w:tc>
        <w:tc>
          <w:tcPr>
            <w:tcW w:w="5954" w:type="dxa"/>
          </w:tcPr>
          <w:p>
            <w:pPr>
              <w:rPr>
                <w:rFonts w:ascii="宋体" w:hAnsi="宋体" w:eastAsia="宋体"/>
                <w:color w:val="auto"/>
                <w:szCs w:val="21"/>
              </w:rPr>
            </w:pPr>
            <w:r>
              <w:rPr>
                <w:rFonts w:hint="eastAsia" w:ascii="宋体" w:hAnsi="宋体" w:eastAsia="宋体"/>
                <w:color w:val="auto"/>
                <w:szCs w:val="21"/>
              </w:rPr>
              <w:t>赛格电子配套市场成立</w:t>
            </w:r>
          </w:p>
        </w:tc>
        <w:tc>
          <w:tcPr>
            <w:tcW w:w="4110" w:type="dxa"/>
          </w:tcPr>
          <w:p>
            <w:pPr>
              <w:rPr>
                <w:rFonts w:ascii="宋体" w:hAnsi="宋体" w:eastAsia="宋体"/>
                <w:color w:val="auto"/>
                <w:szCs w:val="21"/>
              </w:rPr>
            </w:pPr>
            <w:r>
              <w:rPr>
                <w:rFonts w:hint="eastAsia" w:ascii="宋体" w:hAnsi="宋体" w:eastAsia="宋体"/>
                <w:color w:val="auto"/>
                <w:szCs w:val="21"/>
              </w:rPr>
              <w:t>赛格电子配套市场、华强北商业街</w:t>
            </w:r>
          </w:p>
        </w:tc>
        <w:tc>
          <w:tcPr>
            <w:tcW w:w="9019" w:type="dxa"/>
          </w:tcPr>
          <w:p>
            <w:pPr>
              <w:rPr>
                <w:rFonts w:ascii="宋体" w:hAnsi="宋体" w:eastAsia="宋体"/>
                <w:color w:val="auto"/>
                <w:szCs w:val="21"/>
              </w:rPr>
            </w:pPr>
            <w:r>
              <w:rPr>
                <w:rFonts w:hint="eastAsia" w:ascii="宋体" w:hAnsi="宋体" w:eastAsia="宋体"/>
                <w:color w:val="auto"/>
                <w:szCs w:val="21"/>
              </w:rPr>
              <w:t>其所在的华强北商业街后来发展成为“中国电子第一街”。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51</w:t>
            </w:r>
          </w:p>
        </w:tc>
        <w:tc>
          <w:tcPr>
            <w:tcW w:w="1134" w:type="dxa"/>
          </w:tcPr>
          <w:p>
            <w:pPr>
              <w:rPr>
                <w:rFonts w:ascii="宋体" w:hAnsi="宋体" w:eastAsia="宋体"/>
                <w:color w:val="auto"/>
                <w:szCs w:val="21"/>
              </w:rPr>
            </w:pPr>
            <w:r>
              <w:rPr>
                <w:rFonts w:hint="eastAsia" w:ascii="宋体" w:hAnsi="宋体" w:eastAsia="宋体"/>
                <w:color w:val="auto"/>
                <w:szCs w:val="21"/>
              </w:rPr>
              <w:t>1988年</w:t>
            </w:r>
          </w:p>
        </w:tc>
        <w:tc>
          <w:tcPr>
            <w:tcW w:w="5954" w:type="dxa"/>
          </w:tcPr>
          <w:p>
            <w:pPr>
              <w:rPr>
                <w:rFonts w:ascii="宋体" w:hAnsi="宋体" w:eastAsia="宋体"/>
                <w:color w:val="auto"/>
                <w:szCs w:val="21"/>
              </w:rPr>
            </w:pPr>
            <w:r>
              <w:rPr>
                <w:rFonts w:hint="eastAsia" w:ascii="宋体" w:hAnsi="宋体" w:eastAsia="宋体"/>
                <w:color w:val="auto"/>
                <w:szCs w:val="21"/>
              </w:rPr>
              <w:t>深圳平安保险公司成立</w:t>
            </w:r>
          </w:p>
        </w:tc>
        <w:tc>
          <w:tcPr>
            <w:tcW w:w="4110" w:type="dxa"/>
          </w:tcPr>
          <w:p>
            <w:pPr>
              <w:rPr>
                <w:rFonts w:ascii="宋体" w:hAnsi="宋体" w:eastAsia="宋体"/>
                <w:color w:val="auto"/>
                <w:szCs w:val="21"/>
              </w:rPr>
            </w:pPr>
            <w:r>
              <w:rPr>
                <w:rFonts w:hint="eastAsia" w:ascii="宋体" w:hAnsi="宋体" w:eastAsia="宋体"/>
                <w:color w:val="auto"/>
                <w:szCs w:val="21"/>
              </w:rPr>
              <w:t>深圳平安保险公司</w:t>
            </w:r>
          </w:p>
        </w:tc>
        <w:tc>
          <w:tcPr>
            <w:tcW w:w="9019" w:type="dxa"/>
          </w:tcPr>
          <w:p>
            <w:pPr>
              <w:rPr>
                <w:rFonts w:ascii="宋体" w:hAnsi="宋体" w:eastAsia="宋体"/>
                <w:color w:val="auto"/>
                <w:szCs w:val="21"/>
              </w:rPr>
            </w:pPr>
            <w:r>
              <w:rPr>
                <w:rFonts w:hint="eastAsia" w:ascii="宋体" w:hAnsi="宋体" w:eastAsia="宋体"/>
                <w:color w:val="auto"/>
                <w:szCs w:val="21"/>
              </w:rPr>
              <w:t>中国内地第一家由企业创办的股份制保险机构。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52</w:t>
            </w:r>
          </w:p>
        </w:tc>
        <w:tc>
          <w:tcPr>
            <w:tcW w:w="1134" w:type="dxa"/>
          </w:tcPr>
          <w:p>
            <w:pPr>
              <w:rPr>
                <w:rFonts w:ascii="宋体" w:hAnsi="宋体" w:eastAsia="宋体"/>
                <w:color w:val="auto"/>
                <w:szCs w:val="21"/>
              </w:rPr>
            </w:pPr>
            <w:r>
              <w:rPr>
                <w:rFonts w:hint="eastAsia" w:ascii="宋体" w:hAnsi="宋体" w:eastAsia="宋体"/>
                <w:color w:val="auto"/>
                <w:szCs w:val="21"/>
              </w:rPr>
              <w:t>1988年</w:t>
            </w:r>
          </w:p>
        </w:tc>
        <w:tc>
          <w:tcPr>
            <w:tcW w:w="5954" w:type="dxa"/>
          </w:tcPr>
          <w:p>
            <w:pPr>
              <w:rPr>
                <w:rFonts w:ascii="宋体" w:hAnsi="宋体" w:eastAsia="宋体"/>
                <w:color w:val="auto"/>
                <w:szCs w:val="21"/>
              </w:rPr>
            </w:pPr>
            <w:r>
              <w:rPr>
                <w:rFonts w:hint="eastAsia" w:ascii="宋体" w:hAnsi="宋体" w:eastAsia="宋体"/>
                <w:color w:val="auto"/>
                <w:szCs w:val="21"/>
              </w:rPr>
              <w:t>深圳经济罪案举报中心成立并在市检察院挂牌办公</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深圳经济罪案举报中心（市检察院）。深圳市检察院，中国内地属首创。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53</w:t>
            </w:r>
          </w:p>
        </w:tc>
        <w:tc>
          <w:tcPr>
            <w:tcW w:w="1134" w:type="dxa"/>
          </w:tcPr>
          <w:p>
            <w:pPr>
              <w:rPr>
                <w:rFonts w:ascii="宋体" w:hAnsi="宋体" w:eastAsia="宋体"/>
                <w:color w:val="auto"/>
                <w:szCs w:val="21"/>
              </w:rPr>
            </w:pPr>
            <w:r>
              <w:rPr>
                <w:rFonts w:hint="eastAsia" w:ascii="宋体" w:hAnsi="宋体" w:eastAsia="宋体"/>
                <w:color w:val="auto"/>
                <w:szCs w:val="21"/>
              </w:rPr>
              <w:t>1988年</w:t>
            </w:r>
          </w:p>
        </w:tc>
        <w:tc>
          <w:tcPr>
            <w:tcW w:w="5954" w:type="dxa"/>
          </w:tcPr>
          <w:p>
            <w:pPr>
              <w:rPr>
                <w:rFonts w:ascii="宋体" w:hAnsi="宋体" w:eastAsia="宋体"/>
                <w:color w:val="auto"/>
                <w:szCs w:val="21"/>
              </w:rPr>
            </w:pPr>
            <w:r>
              <w:rPr>
                <w:rFonts w:hint="eastAsia" w:ascii="宋体" w:hAnsi="宋体" w:eastAsia="宋体"/>
                <w:color w:val="auto"/>
                <w:szCs w:val="21"/>
              </w:rPr>
              <w:t>国际房地产中介服务公司在深设立</w:t>
            </w:r>
          </w:p>
        </w:tc>
        <w:tc>
          <w:tcPr>
            <w:tcW w:w="4110" w:type="dxa"/>
          </w:tcPr>
          <w:p>
            <w:pPr>
              <w:rPr>
                <w:rFonts w:ascii="宋体" w:hAnsi="宋体" w:eastAsia="宋体"/>
                <w:color w:val="auto"/>
                <w:szCs w:val="21"/>
              </w:rPr>
            </w:pPr>
            <w:r>
              <w:rPr>
                <w:rFonts w:hint="eastAsia" w:ascii="宋体" w:hAnsi="宋体" w:eastAsia="宋体"/>
                <w:color w:val="auto"/>
                <w:szCs w:val="21"/>
              </w:rPr>
              <w:t>待定</w:t>
            </w:r>
          </w:p>
        </w:tc>
        <w:tc>
          <w:tcPr>
            <w:tcW w:w="9019" w:type="dxa"/>
          </w:tcPr>
          <w:p>
            <w:pPr>
              <w:rPr>
                <w:rFonts w:ascii="宋体" w:hAnsi="宋体" w:eastAsia="宋体"/>
                <w:color w:val="auto"/>
                <w:szCs w:val="21"/>
              </w:rPr>
            </w:pPr>
            <w:r>
              <w:rPr>
                <w:rFonts w:hint="eastAsia" w:ascii="宋体" w:hAnsi="宋体" w:eastAsia="宋体"/>
                <w:color w:val="auto"/>
                <w:szCs w:val="21"/>
              </w:rPr>
              <w:t>中国内地第一家房地产中介服务公司。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54</w:t>
            </w:r>
          </w:p>
        </w:tc>
        <w:tc>
          <w:tcPr>
            <w:tcW w:w="1134" w:type="dxa"/>
          </w:tcPr>
          <w:p>
            <w:pPr>
              <w:rPr>
                <w:rFonts w:ascii="宋体" w:hAnsi="宋体" w:eastAsia="宋体"/>
                <w:color w:val="auto"/>
                <w:szCs w:val="21"/>
              </w:rPr>
            </w:pPr>
            <w:r>
              <w:rPr>
                <w:rFonts w:hint="eastAsia" w:ascii="宋体" w:hAnsi="宋体" w:eastAsia="宋体"/>
                <w:color w:val="auto"/>
                <w:szCs w:val="21"/>
              </w:rPr>
              <w:t>1988年</w:t>
            </w:r>
          </w:p>
        </w:tc>
        <w:tc>
          <w:tcPr>
            <w:tcW w:w="5954" w:type="dxa"/>
          </w:tcPr>
          <w:p>
            <w:pPr>
              <w:rPr>
                <w:rFonts w:ascii="宋体" w:hAnsi="宋体" w:eastAsia="宋体"/>
                <w:color w:val="auto"/>
                <w:szCs w:val="21"/>
              </w:rPr>
            </w:pPr>
            <w:r>
              <w:rPr>
                <w:rFonts w:hint="eastAsia" w:ascii="宋体" w:hAnsi="宋体" w:eastAsia="宋体"/>
                <w:color w:val="auto"/>
                <w:szCs w:val="21"/>
              </w:rPr>
              <w:t>《深圳经济特区加快高新技术及其产业发展暂行规定》出台</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中国内地城市率先确定了发展高新技术产业的基本思路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04" w:type="dxa"/>
          </w:tcPr>
          <w:p>
            <w:pPr>
              <w:rPr>
                <w:rFonts w:ascii="宋体" w:hAnsi="宋体" w:eastAsia="宋体"/>
                <w:color w:val="auto"/>
                <w:szCs w:val="21"/>
              </w:rPr>
            </w:pPr>
            <w:r>
              <w:rPr>
                <w:rFonts w:hint="eastAsia" w:ascii="宋体" w:hAnsi="宋体" w:eastAsia="宋体"/>
                <w:color w:val="auto"/>
                <w:szCs w:val="21"/>
              </w:rPr>
              <w:t>55</w:t>
            </w:r>
          </w:p>
        </w:tc>
        <w:tc>
          <w:tcPr>
            <w:tcW w:w="1134" w:type="dxa"/>
          </w:tcPr>
          <w:p>
            <w:pPr>
              <w:rPr>
                <w:rFonts w:ascii="宋体" w:hAnsi="宋体" w:eastAsia="宋体"/>
                <w:color w:val="auto"/>
                <w:szCs w:val="21"/>
              </w:rPr>
            </w:pPr>
            <w:r>
              <w:rPr>
                <w:rFonts w:hint="eastAsia" w:ascii="宋体" w:hAnsi="宋体" w:eastAsia="宋体"/>
                <w:color w:val="auto"/>
                <w:szCs w:val="21"/>
              </w:rPr>
              <w:t>1989年</w:t>
            </w:r>
          </w:p>
        </w:tc>
        <w:tc>
          <w:tcPr>
            <w:tcW w:w="5954" w:type="dxa"/>
          </w:tcPr>
          <w:p>
            <w:pPr>
              <w:rPr>
                <w:rFonts w:ascii="宋体" w:hAnsi="宋体" w:eastAsia="宋体"/>
                <w:color w:val="auto"/>
                <w:szCs w:val="21"/>
              </w:rPr>
            </w:pPr>
            <w:r>
              <w:rPr>
                <w:rFonts w:hint="eastAsia" w:ascii="宋体" w:hAnsi="宋体" w:eastAsia="宋体"/>
                <w:color w:val="auto"/>
                <w:szCs w:val="21"/>
              </w:rPr>
              <w:t>深圳创立内地首个义工团体</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首个义工团体“有困难找义工有时间做义工”成为最温暖的口号。共青团深圳市委发起。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56</w:t>
            </w:r>
          </w:p>
        </w:tc>
        <w:tc>
          <w:tcPr>
            <w:tcW w:w="1134" w:type="dxa"/>
          </w:tcPr>
          <w:p>
            <w:pPr>
              <w:rPr>
                <w:rFonts w:ascii="宋体" w:hAnsi="宋体" w:eastAsia="宋体"/>
                <w:color w:val="auto"/>
                <w:szCs w:val="21"/>
              </w:rPr>
            </w:pPr>
            <w:r>
              <w:rPr>
                <w:rFonts w:hint="eastAsia" w:ascii="宋体" w:hAnsi="宋体" w:eastAsia="宋体"/>
                <w:color w:val="auto"/>
                <w:szCs w:val="21"/>
              </w:rPr>
              <w:t xml:space="preserve"> 1989年</w:t>
            </w:r>
          </w:p>
        </w:tc>
        <w:tc>
          <w:tcPr>
            <w:tcW w:w="5954" w:type="dxa"/>
          </w:tcPr>
          <w:p>
            <w:pPr>
              <w:rPr>
                <w:rFonts w:ascii="宋体" w:hAnsi="宋体" w:eastAsia="宋体"/>
                <w:color w:val="auto"/>
                <w:szCs w:val="21"/>
              </w:rPr>
            </w:pPr>
            <w:r>
              <w:rPr>
                <w:rFonts w:hint="eastAsia" w:ascii="宋体" w:hAnsi="宋体" w:eastAsia="宋体"/>
                <w:color w:val="auto"/>
                <w:szCs w:val="21"/>
              </w:rPr>
              <w:t>百万劳工下深圳</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深圳成为最早聚集打工者的城市之一。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57</w:t>
            </w:r>
          </w:p>
        </w:tc>
        <w:tc>
          <w:tcPr>
            <w:tcW w:w="1134" w:type="dxa"/>
          </w:tcPr>
          <w:p>
            <w:pPr>
              <w:rPr>
                <w:rFonts w:ascii="宋体" w:hAnsi="宋体" w:eastAsia="宋体"/>
                <w:color w:val="auto"/>
                <w:szCs w:val="21"/>
              </w:rPr>
            </w:pPr>
            <w:r>
              <w:rPr>
                <w:rFonts w:hint="eastAsia" w:ascii="宋体" w:hAnsi="宋体" w:eastAsia="宋体"/>
                <w:color w:val="auto"/>
                <w:szCs w:val="21"/>
              </w:rPr>
              <w:t>1989年</w:t>
            </w:r>
          </w:p>
        </w:tc>
        <w:tc>
          <w:tcPr>
            <w:tcW w:w="5954" w:type="dxa"/>
          </w:tcPr>
          <w:p>
            <w:pPr>
              <w:rPr>
                <w:rFonts w:ascii="宋体" w:hAnsi="宋体" w:eastAsia="宋体"/>
                <w:color w:val="auto"/>
                <w:szCs w:val="21"/>
              </w:rPr>
            </w:pPr>
            <w:r>
              <w:rPr>
                <w:rFonts w:hint="eastAsia" w:ascii="宋体" w:hAnsi="宋体" w:eastAsia="宋体"/>
                <w:color w:val="auto"/>
                <w:szCs w:val="21"/>
              </w:rPr>
              <w:t>深圳布吉农产品中心批发市场开业</w:t>
            </w:r>
          </w:p>
        </w:tc>
        <w:tc>
          <w:tcPr>
            <w:tcW w:w="4110" w:type="dxa"/>
          </w:tcPr>
          <w:p>
            <w:pPr>
              <w:rPr>
                <w:rFonts w:ascii="宋体" w:hAnsi="宋体" w:eastAsia="宋体"/>
                <w:color w:val="auto"/>
                <w:szCs w:val="21"/>
              </w:rPr>
            </w:pPr>
            <w:r>
              <w:rPr>
                <w:rFonts w:hint="eastAsia" w:ascii="宋体" w:hAnsi="宋体" w:eastAsia="宋体"/>
                <w:color w:val="auto"/>
                <w:szCs w:val="21"/>
              </w:rPr>
              <w:t>深圳布吉农产品中心批发市场</w:t>
            </w:r>
          </w:p>
        </w:tc>
        <w:tc>
          <w:tcPr>
            <w:tcW w:w="9019" w:type="dxa"/>
          </w:tcPr>
          <w:p>
            <w:pPr>
              <w:rPr>
                <w:rFonts w:ascii="宋体" w:hAnsi="宋体" w:eastAsia="宋体"/>
                <w:color w:val="auto"/>
                <w:szCs w:val="21"/>
              </w:rPr>
            </w:pPr>
            <w:r>
              <w:rPr>
                <w:rFonts w:hint="eastAsia" w:ascii="宋体" w:hAnsi="宋体" w:eastAsia="宋体"/>
                <w:color w:val="auto"/>
                <w:szCs w:val="21"/>
              </w:rPr>
              <w:t>中国内地率先探索农产品流通体制改革。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58</w:t>
            </w:r>
          </w:p>
        </w:tc>
        <w:tc>
          <w:tcPr>
            <w:tcW w:w="1134" w:type="dxa"/>
          </w:tcPr>
          <w:p>
            <w:pPr>
              <w:rPr>
                <w:rFonts w:ascii="宋体" w:hAnsi="宋体" w:eastAsia="宋体"/>
                <w:color w:val="auto"/>
                <w:szCs w:val="21"/>
              </w:rPr>
            </w:pPr>
            <w:r>
              <w:rPr>
                <w:rFonts w:hint="eastAsia" w:ascii="宋体" w:hAnsi="宋体" w:eastAsia="宋体"/>
                <w:color w:val="auto"/>
                <w:szCs w:val="21"/>
              </w:rPr>
              <w:t xml:space="preserve"> 1990年</w:t>
            </w:r>
          </w:p>
        </w:tc>
        <w:tc>
          <w:tcPr>
            <w:tcW w:w="5954" w:type="dxa"/>
          </w:tcPr>
          <w:p>
            <w:pPr>
              <w:rPr>
                <w:rFonts w:ascii="宋体" w:hAnsi="宋体" w:eastAsia="宋体"/>
                <w:color w:val="auto"/>
                <w:szCs w:val="21"/>
              </w:rPr>
            </w:pPr>
            <w:r>
              <w:rPr>
                <w:rFonts w:hint="eastAsia" w:ascii="宋体" w:hAnsi="宋体" w:eastAsia="宋体"/>
                <w:color w:val="auto"/>
                <w:szCs w:val="21"/>
              </w:rPr>
              <w:t>深圳证券交易所成立</w:t>
            </w:r>
          </w:p>
        </w:tc>
        <w:tc>
          <w:tcPr>
            <w:tcW w:w="4110" w:type="dxa"/>
          </w:tcPr>
          <w:p>
            <w:pPr>
              <w:rPr>
                <w:rFonts w:ascii="宋体" w:hAnsi="宋体" w:eastAsia="宋体"/>
                <w:color w:val="auto"/>
                <w:szCs w:val="21"/>
              </w:rPr>
            </w:pPr>
            <w:r>
              <w:rPr>
                <w:rFonts w:hint="eastAsia" w:ascii="宋体" w:hAnsi="宋体" w:eastAsia="宋体"/>
                <w:color w:val="auto"/>
                <w:szCs w:val="21"/>
              </w:rPr>
              <w:t>深圳证券交易所</w:t>
            </w:r>
          </w:p>
        </w:tc>
        <w:tc>
          <w:tcPr>
            <w:tcW w:w="9019" w:type="dxa"/>
          </w:tcPr>
          <w:p>
            <w:pPr>
              <w:rPr>
                <w:rFonts w:ascii="宋体" w:hAnsi="宋体" w:eastAsia="宋体"/>
                <w:color w:val="auto"/>
                <w:szCs w:val="21"/>
              </w:rPr>
            </w:pPr>
            <w:r>
              <w:rPr>
                <w:rFonts w:hint="eastAsia" w:ascii="宋体" w:hAnsi="宋体" w:eastAsia="宋体"/>
                <w:color w:val="auto"/>
                <w:szCs w:val="21"/>
              </w:rPr>
              <w:t>成为中国内地两大证券交易所之一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59</w:t>
            </w:r>
          </w:p>
        </w:tc>
        <w:tc>
          <w:tcPr>
            <w:tcW w:w="1134" w:type="dxa"/>
          </w:tcPr>
          <w:p>
            <w:pPr>
              <w:rPr>
                <w:rFonts w:ascii="宋体" w:hAnsi="宋体" w:eastAsia="宋体"/>
                <w:color w:val="auto"/>
                <w:szCs w:val="21"/>
              </w:rPr>
            </w:pPr>
            <w:r>
              <w:rPr>
                <w:rFonts w:hint="eastAsia" w:ascii="宋体" w:hAnsi="宋体" w:eastAsia="宋体"/>
                <w:color w:val="auto"/>
                <w:szCs w:val="21"/>
              </w:rPr>
              <w:t>1991年</w:t>
            </w:r>
          </w:p>
        </w:tc>
        <w:tc>
          <w:tcPr>
            <w:tcW w:w="5954" w:type="dxa"/>
          </w:tcPr>
          <w:p>
            <w:pPr>
              <w:rPr>
                <w:rFonts w:ascii="宋体" w:hAnsi="宋体" w:eastAsia="宋体"/>
                <w:color w:val="auto"/>
                <w:szCs w:val="21"/>
              </w:rPr>
            </w:pPr>
            <w:r>
              <w:rPr>
                <w:rFonts w:hint="eastAsia" w:ascii="宋体" w:hAnsi="宋体" w:eastAsia="宋体"/>
                <w:color w:val="auto"/>
                <w:szCs w:val="21"/>
              </w:rPr>
              <w:t>深圳宝安国际机场建成通航</w:t>
            </w:r>
          </w:p>
        </w:tc>
        <w:tc>
          <w:tcPr>
            <w:tcW w:w="4110" w:type="dxa"/>
          </w:tcPr>
          <w:p>
            <w:pPr>
              <w:rPr>
                <w:rFonts w:ascii="宋体" w:hAnsi="宋体" w:eastAsia="宋体"/>
                <w:color w:val="auto"/>
                <w:szCs w:val="21"/>
              </w:rPr>
            </w:pPr>
            <w:r>
              <w:rPr>
                <w:rFonts w:hint="eastAsia" w:ascii="宋体" w:hAnsi="宋体" w:eastAsia="宋体"/>
                <w:color w:val="auto"/>
                <w:szCs w:val="21"/>
              </w:rPr>
              <w:t>深圳宝安国际机场</w:t>
            </w:r>
          </w:p>
        </w:tc>
        <w:tc>
          <w:tcPr>
            <w:tcW w:w="9019" w:type="dxa"/>
          </w:tcPr>
          <w:p>
            <w:pPr>
              <w:rPr>
                <w:rFonts w:ascii="宋体" w:hAnsi="宋体" w:eastAsia="宋体"/>
                <w:color w:val="auto"/>
                <w:szCs w:val="21"/>
              </w:rPr>
            </w:pPr>
            <w:r>
              <w:rPr>
                <w:rFonts w:hint="eastAsia" w:ascii="宋体" w:hAnsi="宋体" w:eastAsia="宋体"/>
                <w:color w:val="auto"/>
                <w:szCs w:val="21"/>
              </w:rPr>
              <w:t>深圳海陆空现代立体交通体系初步形成。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60</w:t>
            </w:r>
          </w:p>
        </w:tc>
        <w:tc>
          <w:tcPr>
            <w:tcW w:w="1134" w:type="dxa"/>
          </w:tcPr>
          <w:p>
            <w:pPr>
              <w:rPr>
                <w:rFonts w:ascii="宋体" w:hAnsi="宋体" w:eastAsia="宋体"/>
                <w:color w:val="auto"/>
                <w:szCs w:val="21"/>
              </w:rPr>
            </w:pPr>
            <w:r>
              <w:rPr>
                <w:rFonts w:hint="eastAsia" w:ascii="宋体" w:hAnsi="宋体" w:eastAsia="宋体"/>
                <w:color w:val="auto"/>
                <w:szCs w:val="21"/>
              </w:rPr>
              <w:t>1991年</w:t>
            </w:r>
          </w:p>
        </w:tc>
        <w:tc>
          <w:tcPr>
            <w:tcW w:w="5954" w:type="dxa"/>
          </w:tcPr>
          <w:p>
            <w:pPr>
              <w:rPr>
                <w:rFonts w:ascii="宋体" w:hAnsi="宋体" w:eastAsia="宋体"/>
                <w:color w:val="auto"/>
                <w:szCs w:val="21"/>
              </w:rPr>
            </w:pPr>
            <w:r>
              <w:rPr>
                <w:rFonts w:hint="eastAsia" w:ascii="宋体" w:hAnsi="宋体" w:eastAsia="宋体"/>
                <w:color w:val="auto"/>
                <w:szCs w:val="21"/>
              </w:rPr>
              <w:t>深圳有色金属交易所正式开业</w:t>
            </w:r>
          </w:p>
        </w:tc>
        <w:tc>
          <w:tcPr>
            <w:tcW w:w="4110" w:type="dxa"/>
          </w:tcPr>
          <w:p>
            <w:pPr>
              <w:rPr>
                <w:rFonts w:ascii="宋体" w:hAnsi="宋体" w:eastAsia="宋体"/>
                <w:color w:val="auto"/>
                <w:szCs w:val="21"/>
              </w:rPr>
            </w:pPr>
            <w:r>
              <w:rPr>
                <w:rFonts w:hint="eastAsia" w:ascii="宋体" w:hAnsi="宋体" w:eastAsia="宋体"/>
                <w:color w:val="auto"/>
                <w:szCs w:val="21"/>
              </w:rPr>
              <w:t>深圳有色金属交易所</w:t>
            </w:r>
          </w:p>
        </w:tc>
        <w:tc>
          <w:tcPr>
            <w:tcW w:w="9019" w:type="dxa"/>
          </w:tcPr>
          <w:p>
            <w:pPr>
              <w:rPr>
                <w:rFonts w:ascii="宋体" w:hAnsi="宋体" w:eastAsia="宋体"/>
                <w:color w:val="auto"/>
                <w:szCs w:val="21"/>
              </w:rPr>
            </w:pPr>
            <w:r>
              <w:rPr>
                <w:rFonts w:hint="eastAsia" w:ascii="宋体" w:hAnsi="宋体" w:eastAsia="宋体"/>
                <w:color w:val="auto"/>
                <w:szCs w:val="21"/>
              </w:rPr>
              <w:t>中国内地第一家期货交易所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61</w:t>
            </w:r>
          </w:p>
        </w:tc>
        <w:tc>
          <w:tcPr>
            <w:tcW w:w="1134" w:type="dxa"/>
          </w:tcPr>
          <w:p>
            <w:pPr>
              <w:rPr>
                <w:rFonts w:ascii="宋体" w:hAnsi="宋体" w:eastAsia="宋体"/>
                <w:color w:val="auto"/>
                <w:szCs w:val="21"/>
              </w:rPr>
            </w:pPr>
            <w:r>
              <w:rPr>
                <w:rFonts w:hint="eastAsia" w:ascii="宋体" w:hAnsi="宋体" w:eastAsia="宋体"/>
                <w:color w:val="auto"/>
                <w:szCs w:val="21"/>
              </w:rPr>
              <w:t>1991年</w:t>
            </w:r>
          </w:p>
        </w:tc>
        <w:tc>
          <w:tcPr>
            <w:tcW w:w="5954" w:type="dxa"/>
          </w:tcPr>
          <w:p>
            <w:pPr>
              <w:rPr>
                <w:rFonts w:ascii="宋体" w:hAnsi="宋体" w:eastAsia="宋体"/>
                <w:color w:val="auto"/>
                <w:szCs w:val="21"/>
              </w:rPr>
            </w:pPr>
            <w:r>
              <w:rPr>
                <w:rFonts w:hint="eastAsia" w:ascii="宋体" w:hAnsi="宋体" w:eastAsia="宋体"/>
                <w:color w:val="auto"/>
                <w:szCs w:val="21"/>
              </w:rPr>
              <w:t>深圳天景花园业主委员会成立</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中国内地第一个业主委员会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704" w:type="dxa"/>
          </w:tcPr>
          <w:p>
            <w:pPr>
              <w:rPr>
                <w:rFonts w:ascii="宋体" w:hAnsi="宋体" w:eastAsia="宋体"/>
                <w:color w:val="auto"/>
                <w:szCs w:val="21"/>
              </w:rPr>
            </w:pPr>
            <w:r>
              <w:rPr>
                <w:rFonts w:hint="eastAsia" w:ascii="宋体" w:hAnsi="宋体" w:eastAsia="宋体"/>
                <w:color w:val="auto"/>
                <w:szCs w:val="21"/>
              </w:rPr>
              <w:t>62</w:t>
            </w:r>
          </w:p>
        </w:tc>
        <w:tc>
          <w:tcPr>
            <w:tcW w:w="1134" w:type="dxa"/>
          </w:tcPr>
          <w:p>
            <w:pPr>
              <w:rPr>
                <w:rFonts w:ascii="宋体" w:hAnsi="宋体" w:eastAsia="宋体"/>
                <w:color w:val="auto"/>
                <w:szCs w:val="21"/>
              </w:rPr>
            </w:pPr>
            <w:r>
              <w:rPr>
                <w:rFonts w:hint="eastAsia" w:ascii="宋体" w:hAnsi="宋体" w:eastAsia="宋体"/>
                <w:color w:val="auto"/>
                <w:szCs w:val="21"/>
              </w:rPr>
              <w:t>1992年</w:t>
            </w:r>
          </w:p>
        </w:tc>
        <w:tc>
          <w:tcPr>
            <w:tcW w:w="5954" w:type="dxa"/>
          </w:tcPr>
          <w:p>
            <w:pPr>
              <w:rPr>
                <w:rFonts w:ascii="宋体" w:hAnsi="宋体" w:eastAsia="宋体"/>
                <w:color w:val="auto"/>
                <w:szCs w:val="21"/>
              </w:rPr>
            </w:pPr>
            <w:r>
              <w:rPr>
                <w:rFonts w:hint="eastAsia" w:ascii="宋体" w:hAnsi="宋体" w:eastAsia="宋体"/>
                <w:color w:val="auto"/>
                <w:szCs w:val="21"/>
              </w:rPr>
              <w:t>邓小平视察深圳发表南方谈话</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南方谈话、深圳特区报为此发表“猴年八评”和长篇通讯《东方风来满眼春》。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63</w:t>
            </w:r>
          </w:p>
        </w:tc>
        <w:tc>
          <w:tcPr>
            <w:tcW w:w="1134" w:type="dxa"/>
          </w:tcPr>
          <w:p>
            <w:pPr>
              <w:rPr>
                <w:rFonts w:ascii="宋体" w:hAnsi="宋体" w:eastAsia="宋体"/>
                <w:color w:val="auto"/>
                <w:szCs w:val="21"/>
              </w:rPr>
            </w:pPr>
            <w:r>
              <w:rPr>
                <w:rFonts w:hint="eastAsia" w:ascii="宋体" w:hAnsi="宋体" w:eastAsia="宋体"/>
                <w:color w:val="auto"/>
                <w:szCs w:val="21"/>
              </w:rPr>
              <w:t>1992年</w:t>
            </w:r>
          </w:p>
        </w:tc>
        <w:tc>
          <w:tcPr>
            <w:tcW w:w="5954" w:type="dxa"/>
          </w:tcPr>
          <w:p>
            <w:pPr>
              <w:rPr>
                <w:rFonts w:ascii="宋体" w:hAnsi="宋体" w:eastAsia="宋体"/>
                <w:color w:val="auto"/>
                <w:szCs w:val="21"/>
              </w:rPr>
            </w:pPr>
            <w:r>
              <w:rPr>
                <w:rFonts w:hint="eastAsia" w:ascii="宋体" w:hAnsi="宋体" w:eastAsia="宋体"/>
                <w:color w:val="auto"/>
                <w:szCs w:val="21"/>
              </w:rPr>
              <w:t>邓小平视察深圳参观了皇岗口岸</w:t>
            </w:r>
          </w:p>
        </w:tc>
        <w:tc>
          <w:tcPr>
            <w:tcW w:w="4110" w:type="dxa"/>
          </w:tcPr>
          <w:p>
            <w:pPr>
              <w:rPr>
                <w:rFonts w:ascii="宋体" w:hAnsi="宋体" w:eastAsia="宋体"/>
                <w:color w:val="auto"/>
                <w:szCs w:val="21"/>
              </w:rPr>
            </w:pPr>
            <w:r>
              <w:rPr>
                <w:rFonts w:hint="eastAsia" w:ascii="宋体" w:hAnsi="宋体" w:eastAsia="宋体"/>
                <w:color w:val="auto"/>
                <w:szCs w:val="21"/>
              </w:rPr>
              <w:t>皇岗口岸</w:t>
            </w:r>
          </w:p>
        </w:tc>
        <w:tc>
          <w:tcPr>
            <w:tcW w:w="9019" w:type="dxa"/>
          </w:tcPr>
          <w:p>
            <w:pPr>
              <w:rPr>
                <w:rFonts w:ascii="宋体" w:hAnsi="宋体" w:eastAsia="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64</w:t>
            </w:r>
          </w:p>
        </w:tc>
        <w:tc>
          <w:tcPr>
            <w:tcW w:w="1134" w:type="dxa"/>
          </w:tcPr>
          <w:p>
            <w:pPr>
              <w:rPr>
                <w:rFonts w:ascii="宋体" w:hAnsi="宋体" w:eastAsia="宋体"/>
                <w:color w:val="auto"/>
                <w:szCs w:val="21"/>
              </w:rPr>
            </w:pPr>
            <w:r>
              <w:rPr>
                <w:rFonts w:hint="eastAsia" w:ascii="宋体" w:hAnsi="宋体" w:eastAsia="宋体"/>
                <w:color w:val="auto"/>
                <w:szCs w:val="21"/>
              </w:rPr>
              <w:t>1992年</w:t>
            </w:r>
          </w:p>
        </w:tc>
        <w:tc>
          <w:tcPr>
            <w:tcW w:w="5954" w:type="dxa"/>
          </w:tcPr>
          <w:p>
            <w:pPr>
              <w:rPr>
                <w:rFonts w:ascii="宋体" w:hAnsi="宋体" w:eastAsia="宋体"/>
                <w:color w:val="auto"/>
                <w:szCs w:val="21"/>
              </w:rPr>
            </w:pPr>
            <w:r>
              <w:rPr>
                <w:rFonts w:hint="eastAsia" w:ascii="宋体" w:hAnsi="宋体" w:eastAsia="宋体"/>
                <w:color w:val="auto"/>
                <w:szCs w:val="21"/>
              </w:rPr>
              <w:t>邓小平视察深圳参观了深圳先科激光公司</w:t>
            </w:r>
          </w:p>
        </w:tc>
        <w:tc>
          <w:tcPr>
            <w:tcW w:w="4110" w:type="dxa"/>
          </w:tcPr>
          <w:p>
            <w:pPr>
              <w:rPr>
                <w:rFonts w:ascii="宋体" w:hAnsi="宋体" w:eastAsia="宋体"/>
                <w:color w:val="auto"/>
                <w:szCs w:val="21"/>
              </w:rPr>
            </w:pPr>
            <w:r>
              <w:rPr>
                <w:rFonts w:hint="eastAsia" w:ascii="宋体" w:hAnsi="宋体" w:eastAsia="宋体"/>
                <w:color w:val="auto"/>
                <w:szCs w:val="21"/>
              </w:rPr>
              <w:t>深圳先科激光公司</w:t>
            </w:r>
          </w:p>
        </w:tc>
        <w:tc>
          <w:tcPr>
            <w:tcW w:w="9019" w:type="dxa"/>
          </w:tcPr>
          <w:p>
            <w:pPr>
              <w:rPr>
                <w:rFonts w:ascii="宋体" w:hAnsi="宋体" w:eastAsia="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65</w:t>
            </w:r>
          </w:p>
        </w:tc>
        <w:tc>
          <w:tcPr>
            <w:tcW w:w="1134" w:type="dxa"/>
          </w:tcPr>
          <w:p>
            <w:pPr>
              <w:rPr>
                <w:rFonts w:ascii="宋体" w:hAnsi="宋体" w:eastAsia="宋体"/>
                <w:color w:val="auto"/>
                <w:szCs w:val="21"/>
              </w:rPr>
            </w:pPr>
            <w:r>
              <w:rPr>
                <w:rFonts w:hint="eastAsia" w:ascii="宋体" w:hAnsi="宋体" w:eastAsia="宋体"/>
                <w:color w:val="auto"/>
                <w:szCs w:val="21"/>
              </w:rPr>
              <w:t>1992年</w:t>
            </w:r>
          </w:p>
        </w:tc>
        <w:tc>
          <w:tcPr>
            <w:tcW w:w="5954" w:type="dxa"/>
          </w:tcPr>
          <w:p>
            <w:pPr>
              <w:rPr>
                <w:rFonts w:ascii="宋体" w:hAnsi="宋体" w:eastAsia="宋体"/>
                <w:color w:val="auto"/>
                <w:szCs w:val="21"/>
              </w:rPr>
            </w:pPr>
            <w:r>
              <w:rPr>
                <w:rFonts w:hint="eastAsia" w:ascii="宋体" w:hAnsi="宋体" w:eastAsia="宋体"/>
                <w:color w:val="auto"/>
                <w:szCs w:val="21"/>
              </w:rPr>
              <w:t>全国人大授予深圳经济特区立法权</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为深圳经济特区发挥“试验田”、“窗口”作用提供了强有力的法律保障。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66</w:t>
            </w:r>
          </w:p>
        </w:tc>
        <w:tc>
          <w:tcPr>
            <w:tcW w:w="1134" w:type="dxa"/>
          </w:tcPr>
          <w:p>
            <w:pPr>
              <w:rPr>
                <w:rFonts w:ascii="宋体" w:hAnsi="宋体" w:eastAsia="宋体"/>
                <w:color w:val="auto"/>
                <w:szCs w:val="21"/>
              </w:rPr>
            </w:pPr>
            <w:r>
              <w:rPr>
                <w:rFonts w:hint="eastAsia" w:ascii="宋体" w:hAnsi="宋体" w:eastAsia="宋体"/>
                <w:color w:val="auto"/>
                <w:szCs w:val="21"/>
              </w:rPr>
              <w:t>1992年</w:t>
            </w:r>
          </w:p>
        </w:tc>
        <w:tc>
          <w:tcPr>
            <w:tcW w:w="5954" w:type="dxa"/>
          </w:tcPr>
          <w:p>
            <w:pPr>
              <w:rPr>
                <w:rFonts w:ascii="宋体" w:hAnsi="宋体" w:eastAsia="宋体"/>
                <w:color w:val="auto"/>
                <w:szCs w:val="21"/>
              </w:rPr>
            </w:pPr>
            <w:r>
              <w:rPr>
                <w:rFonts w:hint="eastAsia" w:ascii="宋体" w:hAnsi="宋体" w:eastAsia="宋体"/>
                <w:color w:val="auto"/>
                <w:szCs w:val="21"/>
              </w:rPr>
              <w:t>深圳出台最低工资标准</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中国内地率先探索最低工资制度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67</w:t>
            </w:r>
          </w:p>
        </w:tc>
        <w:tc>
          <w:tcPr>
            <w:tcW w:w="1134" w:type="dxa"/>
          </w:tcPr>
          <w:p>
            <w:pPr>
              <w:rPr>
                <w:rFonts w:ascii="宋体" w:hAnsi="宋体" w:eastAsia="宋体"/>
                <w:color w:val="auto"/>
                <w:szCs w:val="21"/>
              </w:rPr>
            </w:pPr>
            <w:r>
              <w:rPr>
                <w:rFonts w:hint="eastAsia" w:ascii="宋体" w:hAnsi="宋体" w:eastAsia="宋体"/>
                <w:color w:val="auto"/>
                <w:szCs w:val="21"/>
              </w:rPr>
              <w:t>1992年</w:t>
            </w:r>
          </w:p>
        </w:tc>
        <w:tc>
          <w:tcPr>
            <w:tcW w:w="5954" w:type="dxa"/>
          </w:tcPr>
          <w:p>
            <w:pPr>
              <w:rPr>
                <w:rFonts w:ascii="宋体" w:hAnsi="宋体" w:eastAsia="宋体"/>
                <w:color w:val="auto"/>
                <w:szCs w:val="21"/>
              </w:rPr>
            </w:pPr>
            <w:r>
              <w:rPr>
                <w:rFonts w:hint="eastAsia" w:ascii="宋体" w:hAnsi="宋体" w:eastAsia="宋体"/>
                <w:color w:val="auto"/>
                <w:szCs w:val="21"/>
              </w:rPr>
              <w:t>《深圳市社会保险暂行规定》出台</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中国内地率先探索“社会共济与自我保障有机结合”的新型社会保障制度。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68</w:t>
            </w:r>
          </w:p>
        </w:tc>
        <w:tc>
          <w:tcPr>
            <w:tcW w:w="1134" w:type="dxa"/>
          </w:tcPr>
          <w:p>
            <w:pPr>
              <w:rPr>
                <w:rFonts w:ascii="宋体" w:hAnsi="宋体" w:eastAsia="宋体"/>
                <w:color w:val="auto"/>
                <w:szCs w:val="21"/>
              </w:rPr>
            </w:pPr>
            <w:r>
              <w:rPr>
                <w:rFonts w:hint="eastAsia" w:ascii="宋体" w:hAnsi="宋体" w:eastAsia="宋体"/>
                <w:color w:val="auto"/>
                <w:szCs w:val="21"/>
              </w:rPr>
              <w:t>1993年</w:t>
            </w:r>
          </w:p>
        </w:tc>
        <w:tc>
          <w:tcPr>
            <w:tcW w:w="5954" w:type="dxa"/>
          </w:tcPr>
          <w:p>
            <w:pPr>
              <w:rPr>
                <w:rFonts w:ascii="宋体" w:hAnsi="宋体" w:eastAsia="宋体"/>
                <w:color w:val="auto"/>
                <w:szCs w:val="21"/>
              </w:rPr>
            </w:pPr>
            <w:r>
              <w:rPr>
                <w:rFonts w:hint="eastAsia" w:ascii="宋体" w:hAnsi="宋体" w:eastAsia="宋体"/>
                <w:color w:val="auto"/>
                <w:szCs w:val="21"/>
              </w:rPr>
              <w:t>深圳举行文稿拍卖</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首次把市场竞争机制引入文化生产领域。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69</w:t>
            </w:r>
          </w:p>
        </w:tc>
        <w:tc>
          <w:tcPr>
            <w:tcW w:w="1134" w:type="dxa"/>
          </w:tcPr>
          <w:p>
            <w:pPr>
              <w:rPr>
                <w:rFonts w:ascii="宋体" w:hAnsi="宋体" w:eastAsia="宋体"/>
                <w:color w:val="auto"/>
                <w:szCs w:val="21"/>
              </w:rPr>
            </w:pPr>
            <w:r>
              <w:rPr>
                <w:rFonts w:hint="eastAsia" w:ascii="宋体" w:hAnsi="宋体" w:eastAsia="宋体"/>
                <w:color w:val="auto"/>
                <w:szCs w:val="21"/>
              </w:rPr>
              <w:t>1993年</w:t>
            </w:r>
          </w:p>
        </w:tc>
        <w:tc>
          <w:tcPr>
            <w:tcW w:w="5954" w:type="dxa"/>
          </w:tcPr>
          <w:p>
            <w:pPr>
              <w:rPr>
                <w:rFonts w:ascii="宋体" w:hAnsi="宋体" w:eastAsia="宋体"/>
                <w:color w:val="auto"/>
                <w:szCs w:val="21"/>
              </w:rPr>
            </w:pPr>
            <w:r>
              <w:rPr>
                <w:rFonts w:hint="eastAsia" w:ascii="宋体" w:hAnsi="宋体" w:eastAsia="宋体"/>
                <w:color w:val="auto"/>
                <w:szCs w:val="21"/>
              </w:rPr>
              <w:t>深圳市宝安县撤县建立宝安、龙岗两区</w:t>
            </w:r>
          </w:p>
        </w:tc>
        <w:tc>
          <w:tcPr>
            <w:tcW w:w="4110" w:type="dxa"/>
          </w:tcPr>
          <w:p>
            <w:pPr>
              <w:rPr>
                <w:rFonts w:ascii="宋体" w:hAnsi="宋体" w:eastAsia="宋体"/>
                <w:color w:val="auto"/>
                <w:szCs w:val="21"/>
              </w:rPr>
            </w:pPr>
            <w:r>
              <w:rPr>
                <w:rFonts w:hint="eastAsia" w:ascii="宋体" w:hAnsi="宋体" w:eastAsia="宋体"/>
                <w:color w:val="auto"/>
                <w:szCs w:val="21"/>
              </w:rPr>
              <w:t>宝安、龙岗两区。原为宝安县。</w:t>
            </w:r>
          </w:p>
        </w:tc>
        <w:tc>
          <w:tcPr>
            <w:tcW w:w="9019" w:type="dxa"/>
          </w:tcPr>
          <w:p>
            <w:pPr>
              <w:rPr>
                <w:rFonts w:ascii="宋体" w:hAnsi="宋体" w:eastAsia="宋体"/>
                <w:color w:val="auto"/>
                <w:szCs w:val="21"/>
              </w:rPr>
            </w:pPr>
            <w:r>
              <w:rPr>
                <w:rFonts w:hint="eastAsia" w:ascii="宋体" w:hAnsi="宋体" w:eastAsia="宋体"/>
                <w:color w:val="auto"/>
                <w:szCs w:val="21"/>
              </w:rPr>
              <w:t>加快推动深圳市城市化进程。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70</w:t>
            </w:r>
          </w:p>
        </w:tc>
        <w:tc>
          <w:tcPr>
            <w:tcW w:w="1134" w:type="dxa"/>
          </w:tcPr>
          <w:p>
            <w:pPr>
              <w:rPr>
                <w:rFonts w:ascii="宋体" w:hAnsi="宋体" w:eastAsia="宋体"/>
                <w:color w:val="auto"/>
                <w:szCs w:val="21"/>
              </w:rPr>
            </w:pPr>
            <w:r>
              <w:rPr>
                <w:rFonts w:hint="eastAsia" w:ascii="宋体" w:hAnsi="宋体" w:eastAsia="宋体"/>
                <w:color w:val="auto"/>
                <w:szCs w:val="21"/>
              </w:rPr>
              <w:t>1993年</w:t>
            </w:r>
          </w:p>
        </w:tc>
        <w:tc>
          <w:tcPr>
            <w:tcW w:w="5954" w:type="dxa"/>
          </w:tcPr>
          <w:p>
            <w:pPr>
              <w:rPr>
                <w:rFonts w:ascii="宋体" w:hAnsi="宋体" w:eastAsia="宋体"/>
                <w:color w:val="auto"/>
                <w:szCs w:val="21"/>
              </w:rPr>
            </w:pPr>
            <w:r>
              <w:rPr>
                <w:rFonts w:hint="eastAsia" w:ascii="宋体" w:hAnsi="宋体" w:eastAsia="宋体"/>
                <w:color w:val="auto"/>
                <w:szCs w:val="21"/>
              </w:rPr>
              <w:t>深圳市产权交易所成立</w:t>
            </w:r>
          </w:p>
        </w:tc>
        <w:tc>
          <w:tcPr>
            <w:tcW w:w="4110" w:type="dxa"/>
          </w:tcPr>
          <w:p>
            <w:pPr>
              <w:rPr>
                <w:rFonts w:ascii="宋体" w:hAnsi="宋体" w:eastAsia="宋体"/>
                <w:color w:val="auto"/>
                <w:szCs w:val="21"/>
              </w:rPr>
            </w:pPr>
            <w:r>
              <w:rPr>
                <w:rFonts w:hint="eastAsia" w:ascii="宋体" w:hAnsi="宋体" w:eastAsia="宋体"/>
                <w:color w:val="auto"/>
                <w:szCs w:val="21"/>
              </w:rPr>
              <w:t>深圳市产权交易所</w:t>
            </w:r>
          </w:p>
        </w:tc>
        <w:tc>
          <w:tcPr>
            <w:tcW w:w="9019" w:type="dxa"/>
          </w:tcPr>
          <w:p>
            <w:pPr>
              <w:rPr>
                <w:rFonts w:ascii="宋体" w:hAnsi="宋体" w:eastAsia="宋体"/>
                <w:color w:val="auto"/>
                <w:szCs w:val="21"/>
              </w:rPr>
            </w:pPr>
            <w:r>
              <w:rPr>
                <w:rFonts w:hint="eastAsia" w:ascii="宋体" w:hAnsi="宋体" w:eastAsia="宋体"/>
                <w:color w:val="auto"/>
                <w:szCs w:val="21"/>
              </w:rPr>
              <w:t>中国内地第一家产权交易机构。中国内地属首创。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71</w:t>
            </w:r>
          </w:p>
        </w:tc>
        <w:tc>
          <w:tcPr>
            <w:tcW w:w="1134" w:type="dxa"/>
          </w:tcPr>
          <w:p>
            <w:pPr>
              <w:rPr>
                <w:rFonts w:ascii="宋体" w:hAnsi="宋体" w:eastAsia="宋体"/>
                <w:color w:val="auto"/>
                <w:szCs w:val="21"/>
              </w:rPr>
            </w:pPr>
            <w:r>
              <w:rPr>
                <w:rFonts w:hint="eastAsia" w:ascii="宋体" w:hAnsi="宋体" w:eastAsia="宋体"/>
                <w:color w:val="auto"/>
                <w:szCs w:val="21"/>
              </w:rPr>
              <w:t>1993年</w:t>
            </w:r>
          </w:p>
        </w:tc>
        <w:tc>
          <w:tcPr>
            <w:tcW w:w="5954" w:type="dxa"/>
          </w:tcPr>
          <w:p>
            <w:pPr>
              <w:rPr>
                <w:rFonts w:ascii="宋体" w:hAnsi="宋体" w:eastAsia="宋体"/>
                <w:color w:val="auto"/>
                <w:szCs w:val="21"/>
              </w:rPr>
            </w:pPr>
            <w:r>
              <w:rPr>
                <w:rFonts w:hint="eastAsia" w:ascii="宋体" w:hAnsi="宋体" w:eastAsia="宋体"/>
                <w:color w:val="auto"/>
                <w:szCs w:val="21"/>
              </w:rPr>
              <w:t>深圳成立无形资产评估事务所</w:t>
            </w:r>
          </w:p>
        </w:tc>
        <w:tc>
          <w:tcPr>
            <w:tcW w:w="4110" w:type="dxa"/>
          </w:tcPr>
          <w:p>
            <w:pPr>
              <w:rPr>
                <w:rFonts w:ascii="宋体" w:hAnsi="宋体" w:eastAsia="宋体"/>
                <w:color w:val="auto"/>
                <w:szCs w:val="21"/>
              </w:rPr>
            </w:pPr>
            <w:r>
              <w:rPr>
                <w:rFonts w:hint="eastAsia" w:ascii="宋体" w:hAnsi="宋体" w:eastAsia="宋体"/>
                <w:color w:val="auto"/>
                <w:szCs w:val="21"/>
              </w:rPr>
              <w:t>无形资产评估事务所</w:t>
            </w:r>
          </w:p>
        </w:tc>
        <w:tc>
          <w:tcPr>
            <w:tcW w:w="9019" w:type="dxa"/>
          </w:tcPr>
          <w:p>
            <w:pPr>
              <w:rPr>
                <w:rFonts w:ascii="宋体" w:hAnsi="宋体" w:eastAsia="宋体"/>
                <w:color w:val="auto"/>
                <w:szCs w:val="21"/>
              </w:rPr>
            </w:pPr>
            <w:r>
              <w:rPr>
                <w:rFonts w:hint="eastAsia" w:ascii="宋体" w:hAnsi="宋体" w:eastAsia="宋体"/>
                <w:color w:val="auto"/>
                <w:szCs w:val="21"/>
              </w:rPr>
              <w:t>中国内地第一部公务员规章。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72</w:t>
            </w:r>
          </w:p>
        </w:tc>
        <w:tc>
          <w:tcPr>
            <w:tcW w:w="1134" w:type="dxa"/>
          </w:tcPr>
          <w:p>
            <w:pPr>
              <w:rPr>
                <w:rFonts w:ascii="宋体" w:hAnsi="宋体" w:eastAsia="宋体"/>
                <w:color w:val="auto"/>
                <w:szCs w:val="21"/>
              </w:rPr>
            </w:pPr>
            <w:r>
              <w:rPr>
                <w:rFonts w:hint="eastAsia" w:ascii="宋体" w:hAnsi="宋体" w:eastAsia="宋体"/>
                <w:color w:val="auto"/>
                <w:szCs w:val="21"/>
              </w:rPr>
              <w:t>1993年</w:t>
            </w:r>
          </w:p>
        </w:tc>
        <w:tc>
          <w:tcPr>
            <w:tcW w:w="5954" w:type="dxa"/>
          </w:tcPr>
          <w:p>
            <w:pPr>
              <w:rPr>
                <w:rFonts w:ascii="宋体" w:hAnsi="宋体" w:eastAsia="宋体"/>
                <w:color w:val="auto"/>
                <w:szCs w:val="21"/>
              </w:rPr>
            </w:pPr>
            <w:r>
              <w:rPr>
                <w:rFonts w:hint="eastAsia" w:ascii="宋体" w:hAnsi="宋体" w:eastAsia="宋体"/>
                <w:color w:val="auto"/>
                <w:szCs w:val="21"/>
              </w:rPr>
              <w:t>《深圳市国家公务员管理办法》出台</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704" w:type="dxa"/>
          </w:tcPr>
          <w:p>
            <w:pPr>
              <w:rPr>
                <w:rFonts w:ascii="宋体" w:hAnsi="宋体" w:eastAsia="宋体"/>
                <w:color w:val="auto"/>
                <w:szCs w:val="21"/>
              </w:rPr>
            </w:pPr>
            <w:r>
              <w:rPr>
                <w:rFonts w:hint="eastAsia" w:ascii="宋体" w:hAnsi="宋体" w:eastAsia="宋体"/>
                <w:color w:val="auto"/>
                <w:szCs w:val="21"/>
              </w:rPr>
              <w:t>73</w:t>
            </w:r>
          </w:p>
        </w:tc>
        <w:tc>
          <w:tcPr>
            <w:tcW w:w="1134" w:type="dxa"/>
          </w:tcPr>
          <w:p>
            <w:pPr>
              <w:rPr>
                <w:rFonts w:ascii="宋体" w:hAnsi="宋体" w:eastAsia="宋体"/>
                <w:color w:val="auto"/>
                <w:szCs w:val="21"/>
              </w:rPr>
            </w:pPr>
            <w:r>
              <w:rPr>
                <w:rFonts w:hint="eastAsia" w:ascii="宋体" w:hAnsi="宋体" w:eastAsia="宋体"/>
                <w:color w:val="auto"/>
                <w:szCs w:val="21"/>
              </w:rPr>
              <w:t>1993年</w:t>
            </w:r>
          </w:p>
        </w:tc>
        <w:tc>
          <w:tcPr>
            <w:tcW w:w="5954" w:type="dxa"/>
          </w:tcPr>
          <w:p>
            <w:pPr>
              <w:rPr>
                <w:rFonts w:ascii="宋体" w:hAnsi="宋体" w:eastAsia="宋体"/>
                <w:color w:val="auto"/>
                <w:szCs w:val="21"/>
              </w:rPr>
            </w:pPr>
            <w:r>
              <w:rPr>
                <w:rFonts w:hint="eastAsia" w:ascii="宋体" w:hAnsi="宋体" w:eastAsia="宋体"/>
                <w:color w:val="auto"/>
                <w:szCs w:val="21"/>
              </w:rPr>
              <w:t>盐田港集团有限公司与香港和记黄埔盐田港口投资公司合资成立盐田国际</w:t>
            </w:r>
          </w:p>
        </w:tc>
        <w:tc>
          <w:tcPr>
            <w:tcW w:w="4110" w:type="dxa"/>
          </w:tcPr>
          <w:p>
            <w:pPr>
              <w:rPr>
                <w:rFonts w:ascii="宋体" w:hAnsi="宋体" w:eastAsia="宋体"/>
                <w:color w:val="auto"/>
                <w:szCs w:val="21"/>
              </w:rPr>
            </w:pPr>
            <w:r>
              <w:rPr>
                <w:rFonts w:hint="eastAsia" w:ascii="宋体" w:hAnsi="宋体" w:eastAsia="宋体"/>
                <w:color w:val="auto"/>
                <w:szCs w:val="21"/>
              </w:rPr>
              <w:t>深圳盐田港（盐田国际集装箱码头）</w:t>
            </w:r>
          </w:p>
        </w:tc>
        <w:tc>
          <w:tcPr>
            <w:tcW w:w="9019" w:type="dxa"/>
          </w:tcPr>
          <w:p>
            <w:pPr>
              <w:rPr>
                <w:rFonts w:ascii="宋体" w:hAnsi="宋体" w:eastAsia="宋体"/>
                <w:color w:val="auto"/>
                <w:szCs w:val="21"/>
              </w:rPr>
            </w:pPr>
            <w:r>
              <w:rPr>
                <w:rFonts w:hint="eastAsia" w:ascii="宋体" w:hAnsi="宋体" w:eastAsia="宋体"/>
                <w:color w:val="auto"/>
                <w:szCs w:val="21"/>
              </w:rPr>
              <w:t>是中国进出口贸易的重要门户、全国集装箱吞吐量最大的单一港区，也是目前中国大陆远洋集装箱班轮密度最高的单个集装箱码头，是世界最大、最先进的集装箱码头之一，在区域经济和全球外贸运输网络中发挥着举足轻重的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4" w:type="dxa"/>
          </w:tcPr>
          <w:p>
            <w:pPr>
              <w:rPr>
                <w:rFonts w:ascii="宋体" w:hAnsi="宋体" w:eastAsia="宋体"/>
                <w:color w:val="auto"/>
                <w:szCs w:val="21"/>
              </w:rPr>
            </w:pPr>
            <w:r>
              <w:rPr>
                <w:rFonts w:hint="eastAsia" w:ascii="宋体" w:hAnsi="宋体" w:eastAsia="宋体"/>
                <w:color w:val="auto"/>
                <w:szCs w:val="21"/>
              </w:rPr>
              <w:t>74</w:t>
            </w:r>
          </w:p>
        </w:tc>
        <w:tc>
          <w:tcPr>
            <w:tcW w:w="1134" w:type="dxa"/>
          </w:tcPr>
          <w:p>
            <w:pPr>
              <w:rPr>
                <w:rFonts w:ascii="宋体" w:hAnsi="宋体" w:eastAsia="宋体"/>
                <w:color w:val="auto"/>
                <w:szCs w:val="21"/>
              </w:rPr>
            </w:pPr>
            <w:r>
              <w:rPr>
                <w:rFonts w:hint="eastAsia" w:ascii="宋体" w:hAnsi="宋体" w:eastAsia="宋体"/>
                <w:color w:val="auto"/>
                <w:szCs w:val="21"/>
              </w:rPr>
              <w:t>1994年</w:t>
            </w:r>
          </w:p>
        </w:tc>
        <w:tc>
          <w:tcPr>
            <w:tcW w:w="5954" w:type="dxa"/>
          </w:tcPr>
          <w:p>
            <w:pPr>
              <w:rPr>
                <w:rFonts w:ascii="宋体" w:hAnsi="宋体" w:eastAsia="宋体"/>
                <w:color w:val="auto"/>
                <w:szCs w:val="21"/>
              </w:rPr>
            </w:pPr>
            <w:r>
              <w:rPr>
                <w:rFonts w:hint="eastAsia" w:ascii="宋体" w:hAnsi="宋体" w:eastAsia="宋体"/>
                <w:color w:val="auto"/>
                <w:szCs w:val="21"/>
              </w:rPr>
              <w:t>世界之窗世界广场建成</w:t>
            </w:r>
          </w:p>
        </w:tc>
        <w:tc>
          <w:tcPr>
            <w:tcW w:w="4110" w:type="dxa"/>
          </w:tcPr>
          <w:p>
            <w:pPr>
              <w:rPr>
                <w:rFonts w:ascii="宋体" w:hAnsi="宋体" w:eastAsia="宋体"/>
                <w:color w:val="auto"/>
                <w:szCs w:val="21"/>
              </w:rPr>
            </w:pPr>
            <w:r>
              <w:rPr>
                <w:rFonts w:hint="eastAsia" w:ascii="宋体" w:hAnsi="宋体" w:eastAsia="宋体"/>
                <w:color w:val="auto"/>
                <w:szCs w:val="21"/>
              </w:rPr>
              <w:t>世界之窗世界广场</w:t>
            </w:r>
          </w:p>
        </w:tc>
        <w:tc>
          <w:tcPr>
            <w:tcW w:w="9019" w:type="dxa"/>
          </w:tcPr>
          <w:p>
            <w:pPr>
              <w:rPr>
                <w:rFonts w:ascii="宋体" w:hAnsi="宋体" w:eastAsia="宋体"/>
                <w:color w:val="auto"/>
                <w:szCs w:val="21"/>
              </w:rPr>
            </w:pPr>
            <w:r>
              <w:rPr>
                <w:rFonts w:hint="eastAsia" w:ascii="宋体" w:hAnsi="宋体" w:eastAsia="宋体"/>
                <w:color w:val="auto"/>
                <w:szCs w:val="21"/>
              </w:rPr>
              <w:t>入选深圳十大建筑。建成于1994年，是世界之窗最具代表性、艺术性的一个景点。2001年广场内建成的中国首座全景式环球舞台，为亚洲第一。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75</w:t>
            </w:r>
          </w:p>
        </w:tc>
        <w:tc>
          <w:tcPr>
            <w:tcW w:w="1134" w:type="dxa"/>
          </w:tcPr>
          <w:p>
            <w:pPr>
              <w:rPr>
                <w:rFonts w:ascii="宋体" w:hAnsi="宋体" w:eastAsia="宋体"/>
                <w:color w:val="auto"/>
                <w:szCs w:val="21"/>
              </w:rPr>
            </w:pPr>
            <w:r>
              <w:rPr>
                <w:rFonts w:hint="eastAsia" w:ascii="宋体" w:hAnsi="宋体" w:eastAsia="宋体"/>
                <w:color w:val="auto"/>
                <w:szCs w:val="21"/>
              </w:rPr>
              <w:t>1994年</w:t>
            </w:r>
          </w:p>
        </w:tc>
        <w:tc>
          <w:tcPr>
            <w:tcW w:w="5954" w:type="dxa"/>
          </w:tcPr>
          <w:p>
            <w:pPr>
              <w:rPr>
                <w:rFonts w:ascii="宋体" w:hAnsi="宋体" w:eastAsia="宋体"/>
                <w:color w:val="auto"/>
                <w:szCs w:val="21"/>
              </w:rPr>
            </w:pPr>
            <w:r>
              <w:rPr>
                <w:rFonts w:hint="eastAsia" w:ascii="宋体" w:hAnsi="宋体" w:eastAsia="宋体"/>
                <w:color w:val="auto"/>
                <w:szCs w:val="21"/>
              </w:rPr>
              <w:t>江泽民视察深圳</w:t>
            </w:r>
          </w:p>
        </w:tc>
        <w:tc>
          <w:tcPr>
            <w:tcW w:w="4110" w:type="dxa"/>
          </w:tcPr>
          <w:p>
            <w:pPr>
              <w:rPr>
                <w:rFonts w:ascii="宋体" w:hAnsi="宋体" w:eastAsia="宋体"/>
                <w:color w:val="auto"/>
                <w:szCs w:val="21"/>
              </w:rPr>
            </w:pPr>
            <w:r>
              <w:rPr>
                <w:rFonts w:hint="eastAsia" w:ascii="宋体" w:hAnsi="宋体" w:eastAsia="宋体"/>
                <w:color w:val="auto"/>
                <w:szCs w:val="21"/>
              </w:rPr>
              <w:t>莲花北小区</w:t>
            </w:r>
          </w:p>
        </w:tc>
        <w:tc>
          <w:tcPr>
            <w:tcW w:w="9019" w:type="dxa"/>
          </w:tcPr>
          <w:p>
            <w:pPr>
              <w:rPr>
                <w:rFonts w:ascii="宋体" w:hAnsi="宋体" w:eastAsia="宋体"/>
                <w:color w:val="auto"/>
                <w:szCs w:val="21"/>
              </w:rPr>
            </w:pPr>
            <w:r>
              <w:rPr>
                <w:rFonts w:hint="eastAsia" w:ascii="宋体" w:hAnsi="宋体" w:eastAsia="宋体"/>
                <w:color w:val="auto"/>
                <w:szCs w:val="21"/>
              </w:rPr>
              <w:t>“增创新优势，更上一层楼”讲话。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04" w:type="dxa"/>
          </w:tcPr>
          <w:p>
            <w:pPr>
              <w:rPr>
                <w:rFonts w:ascii="宋体" w:hAnsi="宋体" w:eastAsia="宋体"/>
                <w:color w:val="auto"/>
                <w:szCs w:val="21"/>
              </w:rPr>
            </w:pPr>
            <w:r>
              <w:rPr>
                <w:rFonts w:hint="eastAsia" w:ascii="宋体" w:hAnsi="宋体" w:eastAsia="宋体"/>
                <w:color w:val="auto"/>
                <w:szCs w:val="21"/>
              </w:rPr>
              <w:t>76</w:t>
            </w:r>
          </w:p>
        </w:tc>
        <w:tc>
          <w:tcPr>
            <w:tcW w:w="1134" w:type="dxa"/>
          </w:tcPr>
          <w:p>
            <w:pPr>
              <w:rPr>
                <w:rFonts w:ascii="宋体" w:hAnsi="宋体" w:eastAsia="宋体"/>
                <w:color w:val="auto"/>
                <w:szCs w:val="21"/>
              </w:rPr>
            </w:pPr>
            <w:r>
              <w:rPr>
                <w:rFonts w:hint="eastAsia" w:ascii="宋体" w:hAnsi="宋体" w:eastAsia="宋体"/>
                <w:color w:val="auto"/>
                <w:szCs w:val="21"/>
              </w:rPr>
              <w:t>1994年</w:t>
            </w:r>
          </w:p>
        </w:tc>
        <w:tc>
          <w:tcPr>
            <w:tcW w:w="5954" w:type="dxa"/>
          </w:tcPr>
          <w:p>
            <w:pPr>
              <w:rPr>
                <w:rFonts w:ascii="宋体" w:hAnsi="宋体" w:eastAsia="宋体"/>
                <w:color w:val="auto"/>
                <w:szCs w:val="21"/>
              </w:rPr>
            </w:pPr>
            <w:r>
              <w:rPr>
                <w:rFonts w:hint="eastAsia" w:ascii="宋体" w:hAnsi="宋体" w:eastAsia="宋体"/>
                <w:color w:val="auto"/>
                <w:szCs w:val="21"/>
              </w:rPr>
              <w:t>深圳市保税生产资料市场向全国“三资”企业开放</w:t>
            </w:r>
          </w:p>
        </w:tc>
        <w:tc>
          <w:tcPr>
            <w:tcW w:w="4110" w:type="dxa"/>
          </w:tcPr>
          <w:p>
            <w:pPr>
              <w:rPr>
                <w:rFonts w:ascii="宋体" w:hAnsi="宋体" w:eastAsia="宋体"/>
                <w:color w:val="auto"/>
                <w:szCs w:val="21"/>
              </w:rPr>
            </w:pPr>
            <w:r>
              <w:rPr>
                <w:rFonts w:hint="eastAsia" w:ascii="宋体" w:hAnsi="宋体" w:eastAsia="宋体"/>
                <w:color w:val="auto"/>
                <w:szCs w:val="21"/>
              </w:rPr>
              <w:t>深圳市保税生产资料市场</w:t>
            </w:r>
          </w:p>
        </w:tc>
        <w:tc>
          <w:tcPr>
            <w:tcW w:w="9019" w:type="dxa"/>
          </w:tcPr>
          <w:p>
            <w:pPr>
              <w:rPr>
                <w:rFonts w:ascii="宋体" w:hAnsi="宋体" w:eastAsia="宋体"/>
                <w:color w:val="auto"/>
                <w:szCs w:val="21"/>
              </w:rPr>
            </w:pPr>
            <w:r>
              <w:rPr>
                <w:rFonts w:hint="eastAsia" w:ascii="宋体" w:hAnsi="宋体" w:eastAsia="宋体"/>
                <w:color w:val="auto"/>
                <w:szCs w:val="21"/>
              </w:rPr>
              <w:t>中国内地第一个全国性的保税生产资料市场。国务院特区办和国家海关总署等部门批准。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77</w:t>
            </w:r>
          </w:p>
        </w:tc>
        <w:tc>
          <w:tcPr>
            <w:tcW w:w="1134" w:type="dxa"/>
          </w:tcPr>
          <w:p>
            <w:pPr>
              <w:rPr>
                <w:rFonts w:ascii="宋体" w:hAnsi="宋体" w:eastAsia="宋体"/>
                <w:color w:val="auto"/>
                <w:szCs w:val="21"/>
              </w:rPr>
            </w:pPr>
            <w:r>
              <w:rPr>
                <w:rFonts w:hint="eastAsia" w:ascii="宋体" w:hAnsi="宋体" w:eastAsia="宋体"/>
                <w:color w:val="auto"/>
                <w:szCs w:val="21"/>
              </w:rPr>
              <w:t>1995年</w:t>
            </w:r>
          </w:p>
        </w:tc>
        <w:tc>
          <w:tcPr>
            <w:tcW w:w="5954" w:type="dxa"/>
          </w:tcPr>
          <w:p>
            <w:pPr>
              <w:rPr>
                <w:rFonts w:ascii="宋体" w:hAnsi="宋体" w:eastAsia="宋体"/>
                <w:color w:val="auto"/>
                <w:szCs w:val="21"/>
              </w:rPr>
            </w:pPr>
            <w:r>
              <w:rPr>
                <w:rFonts w:hint="eastAsia" w:ascii="宋体" w:hAnsi="宋体" w:eastAsia="宋体"/>
                <w:color w:val="auto"/>
                <w:szCs w:val="21"/>
              </w:rPr>
              <w:t>深圳出台《深圳经济特区公民无偿献血及血液管理条例》</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中国内地第一部有关无偿献血的地方性法规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78</w:t>
            </w:r>
          </w:p>
        </w:tc>
        <w:tc>
          <w:tcPr>
            <w:tcW w:w="1134" w:type="dxa"/>
          </w:tcPr>
          <w:p>
            <w:pPr>
              <w:rPr>
                <w:rFonts w:ascii="宋体" w:hAnsi="宋体" w:eastAsia="宋体"/>
                <w:color w:val="auto"/>
                <w:szCs w:val="21"/>
              </w:rPr>
            </w:pPr>
            <w:r>
              <w:rPr>
                <w:rFonts w:hint="eastAsia" w:ascii="宋体" w:hAnsi="宋体" w:eastAsia="宋体"/>
                <w:color w:val="auto"/>
                <w:szCs w:val="21"/>
              </w:rPr>
              <w:t>1996年</w:t>
            </w:r>
          </w:p>
        </w:tc>
        <w:tc>
          <w:tcPr>
            <w:tcW w:w="5954" w:type="dxa"/>
          </w:tcPr>
          <w:p>
            <w:pPr>
              <w:rPr>
                <w:rFonts w:ascii="宋体" w:hAnsi="宋体" w:eastAsia="宋体"/>
                <w:color w:val="auto"/>
                <w:szCs w:val="21"/>
              </w:rPr>
            </w:pPr>
            <w:r>
              <w:rPr>
                <w:rFonts w:hint="eastAsia" w:ascii="宋体" w:hAnsi="宋体" w:eastAsia="宋体"/>
                <w:color w:val="auto"/>
                <w:szCs w:val="21"/>
              </w:rPr>
              <w:t>广深铁路股份有限公司在深圳成立</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中国内地首家铁路股份有限公司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79</w:t>
            </w:r>
          </w:p>
        </w:tc>
        <w:tc>
          <w:tcPr>
            <w:tcW w:w="1134" w:type="dxa"/>
          </w:tcPr>
          <w:p>
            <w:pPr>
              <w:rPr>
                <w:rFonts w:ascii="宋体" w:hAnsi="宋体" w:eastAsia="宋体"/>
                <w:color w:val="auto"/>
                <w:szCs w:val="21"/>
              </w:rPr>
            </w:pPr>
            <w:r>
              <w:rPr>
                <w:rFonts w:hint="eastAsia" w:ascii="宋体" w:hAnsi="宋体" w:eastAsia="宋体"/>
                <w:color w:val="auto"/>
                <w:szCs w:val="21"/>
              </w:rPr>
              <w:t>1996年</w:t>
            </w:r>
          </w:p>
        </w:tc>
        <w:tc>
          <w:tcPr>
            <w:tcW w:w="5954" w:type="dxa"/>
          </w:tcPr>
          <w:p>
            <w:pPr>
              <w:rPr>
                <w:rFonts w:ascii="宋体" w:hAnsi="宋体" w:eastAsia="宋体"/>
                <w:color w:val="auto"/>
                <w:szCs w:val="21"/>
              </w:rPr>
            </w:pPr>
            <w:r>
              <w:rPr>
                <w:rFonts w:hint="eastAsia" w:ascii="宋体" w:hAnsi="宋体" w:eastAsia="宋体"/>
                <w:color w:val="auto"/>
                <w:szCs w:val="21"/>
              </w:rPr>
              <w:t>地王大厦竣工</w:t>
            </w:r>
          </w:p>
        </w:tc>
        <w:tc>
          <w:tcPr>
            <w:tcW w:w="4110" w:type="dxa"/>
          </w:tcPr>
          <w:p>
            <w:pPr>
              <w:rPr>
                <w:rFonts w:ascii="宋体" w:hAnsi="宋体" w:eastAsia="宋体"/>
                <w:color w:val="auto"/>
                <w:szCs w:val="21"/>
              </w:rPr>
            </w:pPr>
            <w:r>
              <w:rPr>
                <w:rFonts w:hint="eastAsia" w:ascii="宋体" w:hAnsi="宋体" w:eastAsia="宋体"/>
                <w:color w:val="auto"/>
                <w:szCs w:val="21"/>
              </w:rPr>
              <w:t>地王大厦</w:t>
            </w:r>
          </w:p>
        </w:tc>
        <w:tc>
          <w:tcPr>
            <w:tcW w:w="9019" w:type="dxa"/>
          </w:tcPr>
          <w:p>
            <w:pPr>
              <w:rPr>
                <w:rFonts w:ascii="宋体" w:hAnsi="宋体" w:eastAsia="宋体"/>
                <w:color w:val="auto"/>
                <w:szCs w:val="21"/>
              </w:rPr>
            </w:pPr>
            <w:r>
              <w:rPr>
                <w:rFonts w:hint="eastAsia" w:ascii="宋体" w:hAnsi="宋体" w:eastAsia="宋体"/>
                <w:color w:val="auto"/>
                <w:szCs w:val="21"/>
              </w:rPr>
              <w:t>当时亚洲第一高楼、世界第四高楼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80</w:t>
            </w:r>
          </w:p>
        </w:tc>
        <w:tc>
          <w:tcPr>
            <w:tcW w:w="1134" w:type="dxa"/>
          </w:tcPr>
          <w:p>
            <w:pPr>
              <w:rPr>
                <w:rFonts w:ascii="宋体" w:hAnsi="宋体" w:eastAsia="宋体"/>
                <w:color w:val="auto"/>
                <w:szCs w:val="21"/>
              </w:rPr>
            </w:pPr>
            <w:r>
              <w:rPr>
                <w:rFonts w:hint="eastAsia" w:ascii="宋体" w:hAnsi="宋体" w:eastAsia="宋体"/>
                <w:color w:val="auto"/>
                <w:szCs w:val="21"/>
              </w:rPr>
              <w:t>1997年</w:t>
            </w:r>
          </w:p>
        </w:tc>
        <w:tc>
          <w:tcPr>
            <w:tcW w:w="5954" w:type="dxa"/>
          </w:tcPr>
          <w:p>
            <w:pPr>
              <w:rPr>
                <w:rFonts w:ascii="宋体" w:hAnsi="宋体" w:eastAsia="宋体"/>
                <w:color w:val="auto"/>
                <w:szCs w:val="21"/>
              </w:rPr>
            </w:pPr>
            <w:r>
              <w:rPr>
                <w:rFonts w:hint="eastAsia" w:ascii="宋体" w:hAnsi="宋体" w:eastAsia="宋体"/>
                <w:color w:val="auto"/>
                <w:szCs w:val="21"/>
              </w:rPr>
              <w:t>深圳建立人才大市场</w:t>
            </w:r>
          </w:p>
        </w:tc>
        <w:tc>
          <w:tcPr>
            <w:tcW w:w="4110" w:type="dxa"/>
          </w:tcPr>
          <w:p>
            <w:pPr>
              <w:rPr>
                <w:rFonts w:ascii="宋体" w:hAnsi="宋体" w:eastAsia="宋体"/>
                <w:color w:val="auto"/>
                <w:szCs w:val="21"/>
              </w:rPr>
            </w:pPr>
            <w:r>
              <w:rPr>
                <w:rFonts w:hint="eastAsia" w:ascii="宋体" w:hAnsi="宋体" w:eastAsia="宋体"/>
                <w:color w:val="auto"/>
                <w:szCs w:val="21"/>
              </w:rPr>
              <w:t>罗湖区宝安北路人才大市场大厦。</w:t>
            </w:r>
          </w:p>
        </w:tc>
        <w:tc>
          <w:tcPr>
            <w:tcW w:w="9019" w:type="dxa"/>
          </w:tcPr>
          <w:p>
            <w:pPr>
              <w:rPr>
                <w:rFonts w:ascii="宋体" w:hAnsi="宋体" w:eastAsia="宋体"/>
                <w:color w:val="auto"/>
                <w:szCs w:val="21"/>
              </w:rPr>
            </w:pPr>
            <w:r>
              <w:rPr>
                <w:rFonts w:hint="eastAsia" w:ascii="宋体" w:hAnsi="宋体" w:eastAsia="宋体"/>
                <w:color w:val="auto"/>
                <w:szCs w:val="21"/>
              </w:rPr>
              <w:t>开劳动力商品化之先河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4" w:type="dxa"/>
          </w:tcPr>
          <w:p>
            <w:pPr>
              <w:rPr>
                <w:rFonts w:ascii="宋体" w:hAnsi="宋体" w:eastAsia="宋体"/>
                <w:color w:val="auto"/>
                <w:szCs w:val="21"/>
              </w:rPr>
            </w:pPr>
            <w:r>
              <w:rPr>
                <w:rFonts w:hint="eastAsia" w:ascii="宋体" w:hAnsi="宋体" w:eastAsia="宋体"/>
                <w:color w:val="auto"/>
                <w:szCs w:val="21"/>
              </w:rPr>
              <w:t>81</w:t>
            </w:r>
          </w:p>
        </w:tc>
        <w:tc>
          <w:tcPr>
            <w:tcW w:w="1134" w:type="dxa"/>
          </w:tcPr>
          <w:p>
            <w:pPr>
              <w:rPr>
                <w:rFonts w:ascii="宋体" w:hAnsi="宋体" w:eastAsia="宋体"/>
                <w:color w:val="auto"/>
                <w:szCs w:val="21"/>
              </w:rPr>
            </w:pPr>
            <w:r>
              <w:rPr>
                <w:rFonts w:hint="eastAsia" w:ascii="宋体" w:hAnsi="宋体" w:eastAsia="宋体"/>
                <w:color w:val="auto"/>
                <w:szCs w:val="21"/>
              </w:rPr>
              <w:t>1997年</w:t>
            </w:r>
          </w:p>
        </w:tc>
        <w:tc>
          <w:tcPr>
            <w:tcW w:w="5954" w:type="dxa"/>
          </w:tcPr>
          <w:p>
            <w:pPr>
              <w:rPr>
                <w:rFonts w:ascii="宋体" w:hAnsi="宋体" w:eastAsia="宋体"/>
                <w:color w:val="auto"/>
                <w:szCs w:val="21"/>
              </w:rPr>
            </w:pPr>
            <w:r>
              <w:rPr>
                <w:rFonts w:hint="eastAsia" w:ascii="宋体" w:hAnsi="宋体" w:eastAsia="宋体"/>
                <w:color w:val="auto"/>
                <w:szCs w:val="21"/>
              </w:rPr>
              <w:t>庆祝香港回归祖国</w:t>
            </w:r>
          </w:p>
        </w:tc>
        <w:tc>
          <w:tcPr>
            <w:tcW w:w="4110" w:type="dxa"/>
          </w:tcPr>
          <w:p>
            <w:pPr>
              <w:rPr>
                <w:rFonts w:ascii="宋体" w:hAnsi="宋体" w:eastAsia="宋体"/>
                <w:color w:val="auto"/>
                <w:szCs w:val="21"/>
              </w:rPr>
            </w:pPr>
            <w:r>
              <w:rPr>
                <w:rFonts w:hint="eastAsia" w:ascii="宋体" w:hAnsi="宋体" w:eastAsia="宋体"/>
                <w:color w:val="auto"/>
                <w:szCs w:val="21"/>
              </w:rPr>
              <w:t>深圳万人空巷、洪湖公园、皇岗口岸和文锦渡口岸</w:t>
            </w:r>
          </w:p>
        </w:tc>
        <w:tc>
          <w:tcPr>
            <w:tcW w:w="9019" w:type="dxa"/>
          </w:tcPr>
          <w:p>
            <w:pPr>
              <w:rPr>
                <w:rFonts w:ascii="宋体" w:hAnsi="宋体" w:eastAsia="宋体"/>
                <w:color w:val="auto"/>
                <w:szCs w:val="21"/>
              </w:rPr>
            </w:pPr>
            <w:r>
              <w:rPr>
                <w:rFonts w:hint="eastAsia" w:ascii="宋体" w:hAnsi="宋体" w:eastAsia="宋体"/>
                <w:color w:val="auto"/>
                <w:szCs w:val="21"/>
              </w:rPr>
              <w:t>深圳万人空巷、洪湖公园(鸣放1997响礼花以志纪念)、皇岗口岸和文锦渡口岸(数万名群众冒雨为驻港部队送行)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82</w:t>
            </w:r>
          </w:p>
        </w:tc>
        <w:tc>
          <w:tcPr>
            <w:tcW w:w="1134" w:type="dxa"/>
          </w:tcPr>
          <w:p>
            <w:pPr>
              <w:rPr>
                <w:rFonts w:ascii="宋体" w:hAnsi="宋体" w:eastAsia="宋体"/>
                <w:color w:val="auto"/>
                <w:szCs w:val="21"/>
              </w:rPr>
            </w:pPr>
            <w:r>
              <w:rPr>
                <w:rFonts w:hint="eastAsia" w:ascii="宋体" w:hAnsi="宋体" w:eastAsia="宋体"/>
                <w:color w:val="auto"/>
                <w:szCs w:val="21"/>
              </w:rPr>
              <w:t>1997年</w:t>
            </w:r>
          </w:p>
        </w:tc>
        <w:tc>
          <w:tcPr>
            <w:tcW w:w="5954" w:type="dxa"/>
          </w:tcPr>
          <w:p>
            <w:pPr>
              <w:rPr>
                <w:rFonts w:ascii="宋体" w:hAnsi="宋体" w:eastAsia="宋体"/>
                <w:color w:val="auto"/>
                <w:szCs w:val="21"/>
              </w:rPr>
            </w:pPr>
            <w:r>
              <w:rPr>
                <w:rFonts w:hint="eastAsia" w:ascii="宋体" w:hAnsi="宋体" w:eastAsia="宋体"/>
                <w:color w:val="auto"/>
                <w:szCs w:val="21"/>
              </w:rPr>
              <w:t>深圳率先建成社会主义市场经济十大体系</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基本完成了从计划经济到社会主义市场经济的过渡。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83</w:t>
            </w:r>
          </w:p>
        </w:tc>
        <w:tc>
          <w:tcPr>
            <w:tcW w:w="1134" w:type="dxa"/>
          </w:tcPr>
          <w:p>
            <w:pPr>
              <w:rPr>
                <w:rFonts w:ascii="宋体" w:hAnsi="宋体" w:eastAsia="宋体"/>
                <w:color w:val="auto"/>
                <w:szCs w:val="21"/>
              </w:rPr>
            </w:pPr>
            <w:r>
              <w:rPr>
                <w:rFonts w:hint="eastAsia" w:ascii="宋体" w:hAnsi="宋体" w:eastAsia="宋体"/>
                <w:color w:val="auto"/>
                <w:szCs w:val="21"/>
              </w:rPr>
              <w:t>1997年</w:t>
            </w:r>
          </w:p>
        </w:tc>
        <w:tc>
          <w:tcPr>
            <w:tcW w:w="5954" w:type="dxa"/>
          </w:tcPr>
          <w:p>
            <w:pPr>
              <w:rPr>
                <w:rFonts w:ascii="宋体" w:hAnsi="宋体" w:eastAsia="宋体"/>
                <w:color w:val="auto"/>
                <w:szCs w:val="21"/>
              </w:rPr>
            </w:pPr>
            <w:r>
              <w:rPr>
                <w:rFonts w:hint="eastAsia" w:ascii="宋体" w:hAnsi="宋体" w:eastAsia="宋体"/>
                <w:color w:val="auto"/>
                <w:szCs w:val="21"/>
              </w:rPr>
              <w:t>市社会科学研究中心改建为深圳社会科学院</w:t>
            </w:r>
          </w:p>
        </w:tc>
        <w:tc>
          <w:tcPr>
            <w:tcW w:w="4110" w:type="dxa"/>
          </w:tcPr>
          <w:p>
            <w:pPr>
              <w:rPr>
                <w:rFonts w:ascii="宋体" w:hAnsi="宋体" w:eastAsia="宋体"/>
                <w:color w:val="auto"/>
                <w:szCs w:val="21"/>
              </w:rPr>
            </w:pPr>
            <w:r>
              <w:rPr>
                <w:rFonts w:hint="eastAsia" w:ascii="宋体" w:hAnsi="宋体" w:eastAsia="宋体"/>
                <w:color w:val="auto"/>
                <w:szCs w:val="21"/>
              </w:rPr>
              <w:t>深圳社会科学院</w:t>
            </w:r>
          </w:p>
        </w:tc>
        <w:tc>
          <w:tcPr>
            <w:tcW w:w="9019" w:type="dxa"/>
          </w:tcPr>
          <w:p>
            <w:pPr>
              <w:rPr>
                <w:rFonts w:ascii="宋体" w:hAnsi="宋体" w:eastAsia="宋体"/>
                <w:color w:val="auto"/>
                <w:szCs w:val="21"/>
              </w:rPr>
            </w:pPr>
            <w:r>
              <w:rPr>
                <w:rFonts w:hint="eastAsia" w:ascii="宋体" w:hAnsi="宋体" w:eastAsia="宋体"/>
                <w:color w:val="auto"/>
                <w:szCs w:val="21"/>
              </w:rPr>
              <w:t>成为全国经济特区中第一个社科院。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84</w:t>
            </w:r>
          </w:p>
        </w:tc>
        <w:tc>
          <w:tcPr>
            <w:tcW w:w="1134" w:type="dxa"/>
          </w:tcPr>
          <w:p>
            <w:pPr>
              <w:rPr>
                <w:rFonts w:ascii="宋体" w:hAnsi="宋体" w:eastAsia="宋体"/>
                <w:color w:val="auto"/>
                <w:szCs w:val="21"/>
              </w:rPr>
            </w:pPr>
            <w:r>
              <w:rPr>
                <w:rFonts w:hint="eastAsia" w:ascii="宋体" w:hAnsi="宋体" w:eastAsia="宋体"/>
                <w:color w:val="auto"/>
                <w:szCs w:val="21"/>
              </w:rPr>
              <w:t>1998年</w:t>
            </w:r>
          </w:p>
        </w:tc>
        <w:tc>
          <w:tcPr>
            <w:tcW w:w="5954" w:type="dxa"/>
          </w:tcPr>
          <w:p>
            <w:pPr>
              <w:rPr>
                <w:rFonts w:ascii="宋体" w:hAnsi="宋体" w:eastAsia="宋体"/>
                <w:color w:val="auto"/>
                <w:szCs w:val="21"/>
              </w:rPr>
            </w:pPr>
            <w:r>
              <w:rPr>
                <w:rFonts w:hint="eastAsia" w:ascii="宋体" w:hAnsi="宋体" w:eastAsia="宋体"/>
                <w:color w:val="auto"/>
                <w:szCs w:val="21"/>
              </w:rPr>
              <w:t>《深圳市政府审批制度改革实施方案》出台</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开创了中国内地审批制度改革先例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85</w:t>
            </w:r>
          </w:p>
        </w:tc>
        <w:tc>
          <w:tcPr>
            <w:tcW w:w="1134" w:type="dxa"/>
          </w:tcPr>
          <w:p>
            <w:pPr>
              <w:rPr>
                <w:rFonts w:ascii="宋体" w:hAnsi="宋体" w:eastAsia="宋体"/>
                <w:color w:val="auto"/>
                <w:szCs w:val="21"/>
              </w:rPr>
            </w:pPr>
            <w:r>
              <w:rPr>
                <w:rFonts w:hint="eastAsia" w:ascii="宋体" w:hAnsi="宋体" w:eastAsia="宋体"/>
                <w:color w:val="auto"/>
                <w:szCs w:val="21"/>
              </w:rPr>
              <w:t>1999年</w:t>
            </w:r>
          </w:p>
        </w:tc>
        <w:tc>
          <w:tcPr>
            <w:tcW w:w="5954" w:type="dxa"/>
          </w:tcPr>
          <w:p>
            <w:pPr>
              <w:rPr>
                <w:rFonts w:ascii="宋体" w:hAnsi="宋体" w:eastAsia="宋体"/>
                <w:color w:val="auto"/>
                <w:szCs w:val="21"/>
              </w:rPr>
            </w:pPr>
            <w:r>
              <w:rPr>
                <w:rFonts w:hint="eastAsia" w:ascii="宋体" w:hAnsi="宋体" w:eastAsia="宋体"/>
                <w:color w:val="auto"/>
                <w:szCs w:val="21"/>
              </w:rPr>
              <w:t>首届中国国际高新科技成果交易会在深圳举行</w:t>
            </w:r>
          </w:p>
        </w:tc>
        <w:tc>
          <w:tcPr>
            <w:tcW w:w="4110" w:type="dxa"/>
          </w:tcPr>
          <w:p>
            <w:pPr>
              <w:rPr>
                <w:rFonts w:ascii="宋体" w:hAnsi="宋体" w:eastAsia="宋体"/>
                <w:color w:val="auto"/>
                <w:szCs w:val="21"/>
              </w:rPr>
            </w:pPr>
            <w:r>
              <w:rPr>
                <w:rFonts w:hint="eastAsia" w:ascii="宋体" w:hAnsi="宋体" w:eastAsia="宋体"/>
                <w:color w:val="auto"/>
                <w:szCs w:val="21"/>
              </w:rPr>
              <w:t>高交会展览中心</w:t>
            </w:r>
          </w:p>
        </w:tc>
        <w:tc>
          <w:tcPr>
            <w:tcW w:w="9019" w:type="dxa"/>
          </w:tcPr>
          <w:p>
            <w:pPr>
              <w:rPr>
                <w:rFonts w:ascii="宋体" w:hAnsi="宋体" w:eastAsia="宋体"/>
                <w:color w:val="auto"/>
                <w:szCs w:val="21"/>
              </w:rPr>
            </w:pPr>
            <w:r>
              <w:rPr>
                <w:rFonts w:hint="eastAsia" w:ascii="宋体" w:hAnsi="宋体" w:eastAsia="宋体"/>
                <w:color w:val="auto"/>
                <w:szCs w:val="21"/>
              </w:rPr>
              <w:t>首届中国国际高新科技成果交易会。其后发展成为“中国科技第一展”。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86</w:t>
            </w:r>
          </w:p>
        </w:tc>
        <w:tc>
          <w:tcPr>
            <w:tcW w:w="1134" w:type="dxa"/>
          </w:tcPr>
          <w:p>
            <w:pPr>
              <w:rPr>
                <w:rFonts w:ascii="宋体" w:hAnsi="宋体" w:eastAsia="宋体"/>
                <w:color w:val="auto"/>
                <w:szCs w:val="21"/>
              </w:rPr>
            </w:pPr>
            <w:r>
              <w:rPr>
                <w:rFonts w:hint="eastAsia" w:ascii="宋体" w:hAnsi="宋体" w:eastAsia="宋体"/>
                <w:color w:val="auto"/>
                <w:szCs w:val="21"/>
              </w:rPr>
              <w:t>1999年</w:t>
            </w:r>
          </w:p>
        </w:tc>
        <w:tc>
          <w:tcPr>
            <w:tcW w:w="5954" w:type="dxa"/>
          </w:tcPr>
          <w:p>
            <w:pPr>
              <w:rPr>
                <w:rFonts w:ascii="宋体" w:hAnsi="宋体" w:eastAsia="宋体"/>
                <w:color w:val="auto"/>
                <w:szCs w:val="21"/>
              </w:rPr>
            </w:pPr>
            <w:r>
              <w:rPr>
                <w:rFonts w:hint="eastAsia" w:ascii="宋体" w:hAnsi="宋体" w:eastAsia="宋体"/>
                <w:color w:val="auto"/>
                <w:szCs w:val="21"/>
              </w:rPr>
              <w:t>腾讯推出即时通信软件“QQ”</w:t>
            </w:r>
          </w:p>
        </w:tc>
        <w:tc>
          <w:tcPr>
            <w:tcW w:w="4110" w:type="dxa"/>
          </w:tcPr>
          <w:p>
            <w:pPr>
              <w:rPr>
                <w:rFonts w:ascii="宋体" w:hAnsi="宋体" w:eastAsia="宋体"/>
                <w:color w:val="auto"/>
                <w:szCs w:val="21"/>
              </w:rPr>
            </w:pPr>
            <w:r>
              <w:rPr>
                <w:rFonts w:hint="eastAsia" w:ascii="宋体" w:hAnsi="宋体" w:eastAsia="宋体"/>
                <w:color w:val="auto"/>
                <w:szCs w:val="21"/>
              </w:rPr>
              <w:t>待定</w:t>
            </w:r>
          </w:p>
        </w:tc>
        <w:tc>
          <w:tcPr>
            <w:tcW w:w="9019" w:type="dxa"/>
          </w:tcPr>
          <w:p>
            <w:pPr>
              <w:rPr>
                <w:rFonts w:ascii="宋体" w:hAnsi="宋体" w:eastAsia="宋体"/>
                <w:color w:val="auto"/>
                <w:szCs w:val="21"/>
              </w:rPr>
            </w:pPr>
            <w:r>
              <w:rPr>
                <w:rFonts w:hint="eastAsia" w:ascii="宋体" w:hAnsi="宋体" w:eastAsia="宋体"/>
                <w:color w:val="auto"/>
                <w:szCs w:val="21"/>
              </w:rPr>
              <w:t>开启网上个人即时通讯方式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87</w:t>
            </w:r>
          </w:p>
        </w:tc>
        <w:tc>
          <w:tcPr>
            <w:tcW w:w="1134" w:type="dxa"/>
          </w:tcPr>
          <w:p>
            <w:pPr>
              <w:rPr>
                <w:rFonts w:ascii="宋体" w:hAnsi="宋体" w:eastAsia="宋体"/>
                <w:color w:val="auto"/>
                <w:szCs w:val="21"/>
              </w:rPr>
            </w:pPr>
            <w:r>
              <w:rPr>
                <w:rFonts w:hint="eastAsia" w:ascii="宋体" w:hAnsi="宋体" w:eastAsia="宋体"/>
                <w:color w:val="auto"/>
                <w:szCs w:val="21"/>
              </w:rPr>
              <w:t>1999年</w:t>
            </w:r>
          </w:p>
        </w:tc>
        <w:tc>
          <w:tcPr>
            <w:tcW w:w="5954" w:type="dxa"/>
          </w:tcPr>
          <w:p>
            <w:pPr>
              <w:rPr>
                <w:rFonts w:ascii="宋体" w:hAnsi="宋体" w:eastAsia="宋体"/>
                <w:color w:val="auto"/>
                <w:szCs w:val="21"/>
              </w:rPr>
            </w:pPr>
            <w:r>
              <w:rPr>
                <w:rFonts w:hint="eastAsia" w:ascii="宋体" w:hAnsi="宋体" w:eastAsia="宋体"/>
                <w:color w:val="auto"/>
                <w:szCs w:val="21"/>
              </w:rPr>
              <w:t>深圳市龙岗区大鹏镇实行“三轮两票制”的镇长选举制度改革</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中国内地率先创造了量化的民意表达机制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88</w:t>
            </w:r>
          </w:p>
        </w:tc>
        <w:tc>
          <w:tcPr>
            <w:tcW w:w="1134" w:type="dxa"/>
          </w:tcPr>
          <w:p>
            <w:pPr>
              <w:rPr>
                <w:rFonts w:ascii="宋体" w:hAnsi="宋体" w:eastAsia="宋体"/>
                <w:color w:val="auto"/>
                <w:szCs w:val="21"/>
              </w:rPr>
            </w:pPr>
            <w:r>
              <w:rPr>
                <w:rFonts w:hint="eastAsia" w:ascii="宋体" w:hAnsi="宋体" w:eastAsia="宋体"/>
                <w:color w:val="auto"/>
                <w:szCs w:val="21"/>
              </w:rPr>
              <w:t>2000年</w:t>
            </w:r>
          </w:p>
        </w:tc>
        <w:tc>
          <w:tcPr>
            <w:tcW w:w="5954" w:type="dxa"/>
          </w:tcPr>
          <w:p>
            <w:pPr>
              <w:rPr>
                <w:rFonts w:ascii="宋体" w:hAnsi="宋体" w:eastAsia="宋体"/>
                <w:color w:val="auto"/>
                <w:szCs w:val="21"/>
              </w:rPr>
            </w:pPr>
            <w:r>
              <w:rPr>
                <w:rFonts w:hint="eastAsia" w:ascii="宋体" w:hAnsi="宋体" w:eastAsia="宋体"/>
                <w:color w:val="auto"/>
                <w:szCs w:val="21"/>
              </w:rPr>
              <w:t>首届“深圳读书月”成功举办</w:t>
            </w:r>
          </w:p>
        </w:tc>
        <w:tc>
          <w:tcPr>
            <w:tcW w:w="4110" w:type="dxa"/>
          </w:tcPr>
          <w:p>
            <w:pPr>
              <w:rPr>
                <w:rFonts w:ascii="宋体" w:hAnsi="宋体" w:eastAsia="宋体"/>
                <w:color w:val="auto"/>
                <w:szCs w:val="21"/>
              </w:rPr>
            </w:pPr>
            <w:r>
              <w:rPr>
                <w:rFonts w:hint="eastAsia" w:ascii="宋体" w:hAnsi="宋体" w:eastAsia="宋体"/>
                <w:color w:val="auto"/>
                <w:szCs w:val="21"/>
              </w:rPr>
              <w:t>深圳会展中心</w:t>
            </w:r>
          </w:p>
        </w:tc>
        <w:tc>
          <w:tcPr>
            <w:tcW w:w="9019" w:type="dxa"/>
          </w:tcPr>
          <w:p>
            <w:pPr>
              <w:rPr>
                <w:rFonts w:ascii="宋体" w:hAnsi="宋体" w:eastAsia="宋体"/>
                <w:color w:val="auto"/>
                <w:szCs w:val="21"/>
              </w:rPr>
            </w:pPr>
            <w:r>
              <w:rPr>
                <w:rFonts w:hint="eastAsia" w:ascii="宋体" w:hAnsi="宋体" w:eastAsia="宋体"/>
                <w:color w:val="auto"/>
                <w:szCs w:val="21"/>
              </w:rPr>
              <w:t>首届“深圳读书月”。深圳率先建设学习型城市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04" w:type="dxa"/>
          </w:tcPr>
          <w:p>
            <w:pPr>
              <w:rPr>
                <w:rFonts w:ascii="宋体" w:hAnsi="宋体" w:eastAsia="宋体"/>
                <w:color w:val="auto"/>
                <w:szCs w:val="21"/>
              </w:rPr>
            </w:pPr>
            <w:r>
              <w:rPr>
                <w:rFonts w:hint="eastAsia" w:ascii="宋体" w:hAnsi="宋体" w:eastAsia="宋体"/>
                <w:color w:val="auto"/>
                <w:szCs w:val="21"/>
              </w:rPr>
              <w:t>89</w:t>
            </w:r>
          </w:p>
        </w:tc>
        <w:tc>
          <w:tcPr>
            <w:tcW w:w="1134" w:type="dxa"/>
          </w:tcPr>
          <w:p>
            <w:pPr>
              <w:rPr>
                <w:rFonts w:ascii="宋体" w:hAnsi="宋体" w:eastAsia="宋体"/>
                <w:color w:val="auto"/>
                <w:szCs w:val="21"/>
              </w:rPr>
            </w:pPr>
            <w:r>
              <w:rPr>
                <w:rFonts w:hint="eastAsia" w:ascii="宋体" w:hAnsi="宋体" w:eastAsia="宋体"/>
                <w:color w:val="auto"/>
                <w:szCs w:val="21"/>
              </w:rPr>
              <w:t>2000年</w:t>
            </w:r>
          </w:p>
        </w:tc>
        <w:tc>
          <w:tcPr>
            <w:tcW w:w="5954" w:type="dxa"/>
          </w:tcPr>
          <w:p>
            <w:pPr>
              <w:rPr>
                <w:rFonts w:ascii="宋体" w:hAnsi="宋体" w:eastAsia="宋体"/>
                <w:color w:val="auto"/>
                <w:szCs w:val="21"/>
              </w:rPr>
            </w:pPr>
            <w:r>
              <w:rPr>
                <w:rFonts w:hint="eastAsia" w:ascii="宋体" w:hAnsi="宋体" w:eastAsia="宋体"/>
                <w:color w:val="auto"/>
                <w:szCs w:val="21"/>
              </w:rPr>
              <w:t>首座邓小平塑像在莲花山揭幕</w:t>
            </w:r>
          </w:p>
        </w:tc>
        <w:tc>
          <w:tcPr>
            <w:tcW w:w="4110" w:type="dxa"/>
          </w:tcPr>
          <w:p>
            <w:pPr>
              <w:rPr>
                <w:rFonts w:ascii="宋体" w:hAnsi="宋体" w:eastAsia="宋体"/>
                <w:color w:val="auto"/>
                <w:szCs w:val="21"/>
              </w:rPr>
            </w:pPr>
            <w:r>
              <w:rPr>
                <w:rFonts w:hint="eastAsia" w:ascii="宋体" w:hAnsi="宋体" w:eastAsia="宋体"/>
                <w:color w:val="auto"/>
                <w:szCs w:val="21"/>
              </w:rPr>
              <w:t>莲花山邓小平塑像。莲花山公园。</w:t>
            </w:r>
          </w:p>
        </w:tc>
        <w:tc>
          <w:tcPr>
            <w:tcW w:w="9019" w:type="dxa"/>
          </w:tcPr>
          <w:p>
            <w:pPr>
              <w:rPr>
                <w:rFonts w:ascii="宋体" w:hAnsi="宋体" w:eastAsia="宋体"/>
                <w:color w:val="auto"/>
                <w:szCs w:val="21"/>
              </w:rPr>
            </w:pPr>
            <w:r>
              <w:rPr>
                <w:rFonts w:hint="eastAsia" w:ascii="宋体" w:hAnsi="宋体" w:eastAsia="宋体"/>
                <w:color w:val="auto"/>
                <w:szCs w:val="21"/>
              </w:rPr>
              <w:t>表达了深圳人民对改革开放总设计师的崇高敬意，2012年习近平总书记到莲花山公园，向邓小平铜像敬献花篮。离开前，习近平挥锹铲土，种下一棵高山榕。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4" w:type="dxa"/>
          </w:tcPr>
          <w:p>
            <w:pPr>
              <w:rPr>
                <w:rFonts w:ascii="宋体" w:hAnsi="宋体" w:eastAsia="宋体"/>
                <w:color w:val="auto"/>
                <w:szCs w:val="21"/>
              </w:rPr>
            </w:pPr>
            <w:r>
              <w:rPr>
                <w:rFonts w:hint="eastAsia" w:ascii="宋体" w:hAnsi="宋体" w:eastAsia="宋体"/>
                <w:color w:val="auto"/>
                <w:szCs w:val="21"/>
              </w:rPr>
              <w:t>90</w:t>
            </w:r>
          </w:p>
        </w:tc>
        <w:tc>
          <w:tcPr>
            <w:tcW w:w="1134" w:type="dxa"/>
          </w:tcPr>
          <w:p>
            <w:pPr>
              <w:rPr>
                <w:rFonts w:ascii="宋体" w:hAnsi="宋体" w:eastAsia="宋体"/>
                <w:color w:val="auto"/>
                <w:szCs w:val="21"/>
              </w:rPr>
            </w:pPr>
            <w:r>
              <w:rPr>
                <w:rFonts w:hint="eastAsia" w:ascii="宋体" w:hAnsi="宋体" w:eastAsia="宋体"/>
                <w:color w:val="auto"/>
                <w:szCs w:val="21"/>
              </w:rPr>
              <w:t>2000年</w:t>
            </w:r>
          </w:p>
        </w:tc>
        <w:tc>
          <w:tcPr>
            <w:tcW w:w="5954" w:type="dxa"/>
          </w:tcPr>
          <w:p>
            <w:pPr>
              <w:rPr>
                <w:rFonts w:ascii="宋体" w:hAnsi="宋体" w:eastAsia="宋体"/>
                <w:color w:val="auto"/>
                <w:szCs w:val="21"/>
              </w:rPr>
            </w:pPr>
            <w:r>
              <w:rPr>
                <w:rFonts w:hint="eastAsia" w:ascii="宋体" w:hAnsi="宋体" w:eastAsia="宋体"/>
                <w:color w:val="auto"/>
                <w:szCs w:val="21"/>
              </w:rPr>
              <w:t>深圳大学城创建</w:t>
            </w:r>
          </w:p>
        </w:tc>
        <w:tc>
          <w:tcPr>
            <w:tcW w:w="4110" w:type="dxa"/>
          </w:tcPr>
          <w:p>
            <w:pPr>
              <w:rPr>
                <w:rFonts w:ascii="宋体" w:hAnsi="宋体" w:eastAsia="宋体"/>
                <w:color w:val="auto"/>
                <w:szCs w:val="21"/>
              </w:rPr>
            </w:pPr>
            <w:r>
              <w:rPr>
                <w:rFonts w:hint="eastAsia" w:ascii="宋体" w:hAnsi="宋体" w:eastAsia="宋体"/>
                <w:color w:val="auto"/>
                <w:szCs w:val="21"/>
              </w:rPr>
              <w:t>深圳大学</w:t>
            </w:r>
          </w:p>
        </w:tc>
        <w:tc>
          <w:tcPr>
            <w:tcW w:w="9019" w:type="dxa"/>
          </w:tcPr>
          <w:p>
            <w:pPr>
              <w:rPr>
                <w:rFonts w:ascii="宋体" w:hAnsi="宋体" w:eastAsia="宋体"/>
                <w:color w:val="auto"/>
                <w:szCs w:val="21"/>
              </w:rPr>
            </w:pPr>
            <w:r>
              <w:rPr>
                <w:rFonts w:hint="eastAsia" w:ascii="宋体" w:hAnsi="宋体" w:eastAsia="宋体"/>
                <w:color w:val="auto"/>
                <w:szCs w:val="21"/>
              </w:rPr>
              <w:t>全国唯一经教育部批准，由深圳地方政府联合著名大学共同举办、以培养全日制研究生为主的研究生院群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91</w:t>
            </w:r>
          </w:p>
        </w:tc>
        <w:tc>
          <w:tcPr>
            <w:tcW w:w="1134" w:type="dxa"/>
          </w:tcPr>
          <w:p>
            <w:pPr>
              <w:rPr>
                <w:rFonts w:ascii="宋体" w:hAnsi="宋体" w:eastAsia="宋体"/>
                <w:color w:val="auto"/>
                <w:szCs w:val="21"/>
              </w:rPr>
            </w:pPr>
            <w:r>
              <w:rPr>
                <w:rFonts w:hint="eastAsia" w:ascii="宋体" w:hAnsi="宋体" w:eastAsia="宋体"/>
                <w:color w:val="auto"/>
                <w:szCs w:val="21"/>
              </w:rPr>
              <w:t>2001年</w:t>
            </w:r>
          </w:p>
        </w:tc>
        <w:tc>
          <w:tcPr>
            <w:tcW w:w="5954" w:type="dxa"/>
          </w:tcPr>
          <w:p>
            <w:pPr>
              <w:rPr>
                <w:rFonts w:ascii="宋体" w:hAnsi="宋体" w:eastAsia="宋体"/>
                <w:color w:val="auto"/>
                <w:szCs w:val="21"/>
              </w:rPr>
            </w:pPr>
            <w:r>
              <w:rPr>
                <w:rFonts w:hint="eastAsia" w:ascii="宋体" w:hAnsi="宋体" w:eastAsia="宋体"/>
                <w:color w:val="auto"/>
                <w:szCs w:val="21"/>
              </w:rPr>
              <w:t>评为全国四大考古新发现</w:t>
            </w:r>
          </w:p>
        </w:tc>
        <w:tc>
          <w:tcPr>
            <w:tcW w:w="4110" w:type="dxa"/>
          </w:tcPr>
          <w:p>
            <w:pPr>
              <w:rPr>
                <w:rFonts w:ascii="宋体" w:hAnsi="宋体" w:eastAsia="宋体"/>
                <w:color w:val="auto"/>
                <w:szCs w:val="21"/>
              </w:rPr>
            </w:pPr>
            <w:r>
              <w:rPr>
                <w:rFonts w:hint="eastAsia" w:ascii="宋体" w:hAnsi="宋体" w:eastAsia="宋体"/>
                <w:color w:val="auto"/>
                <w:szCs w:val="21"/>
              </w:rPr>
              <w:t>屋背岭遗址</w:t>
            </w:r>
          </w:p>
        </w:tc>
        <w:tc>
          <w:tcPr>
            <w:tcW w:w="9019" w:type="dxa"/>
          </w:tcPr>
          <w:p>
            <w:pPr>
              <w:rPr>
                <w:rFonts w:ascii="宋体" w:hAnsi="宋体" w:eastAsia="宋体"/>
                <w:color w:val="auto"/>
                <w:szCs w:val="21"/>
              </w:rPr>
            </w:pPr>
            <w:r>
              <w:rPr>
                <w:rFonts w:hint="eastAsia" w:ascii="宋体" w:hAnsi="宋体" w:eastAsia="宋体"/>
                <w:color w:val="auto"/>
                <w:szCs w:val="21"/>
              </w:rPr>
              <w:t>全国四大考古新发现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92</w:t>
            </w:r>
          </w:p>
        </w:tc>
        <w:tc>
          <w:tcPr>
            <w:tcW w:w="1134" w:type="dxa"/>
          </w:tcPr>
          <w:p>
            <w:pPr>
              <w:rPr>
                <w:rFonts w:ascii="宋体" w:hAnsi="宋体" w:eastAsia="宋体"/>
                <w:color w:val="auto"/>
                <w:szCs w:val="21"/>
              </w:rPr>
            </w:pPr>
            <w:r>
              <w:rPr>
                <w:rFonts w:hint="eastAsia" w:ascii="宋体" w:hAnsi="宋体" w:eastAsia="宋体"/>
                <w:color w:val="auto"/>
                <w:szCs w:val="21"/>
              </w:rPr>
              <w:t>2001年</w:t>
            </w:r>
          </w:p>
        </w:tc>
        <w:tc>
          <w:tcPr>
            <w:tcW w:w="5954" w:type="dxa"/>
          </w:tcPr>
          <w:p>
            <w:pPr>
              <w:rPr>
                <w:rFonts w:ascii="宋体" w:hAnsi="宋体" w:eastAsia="宋体"/>
                <w:color w:val="auto"/>
                <w:szCs w:val="21"/>
              </w:rPr>
            </w:pPr>
            <w:r>
              <w:rPr>
                <w:rFonts w:hint="eastAsia" w:ascii="宋体" w:hAnsi="宋体" w:eastAsia="宋体"/>
                <w:color w:val="auto"/>
                <w:szCs w:val="21"/>
              </w:rPr>
              <w:t>被国务院公布为全国重点文物保护单位</w:t>
            </w:r>
          </w:p>
        </w:tc>
        <w:tc>
          <w:tcPr>
            <w:tcW w:w="4110" w:type="dxa"/>
          </w:tcPr>
          <w:p>
            <w:pPr>
              <w:rPr>
                <w:rFonts w:ascii="宋体" w:hAnsi="宋体" w:eastAsia="宋体"/>
                <w:color w:val="auto"/>
                <w:szCs w:val="21"/>
              </w:rPr>
            </w:pPr>
            <w:r>
              <w:rPr>
                <w:rFonts w:hint="eastAsia" w:ascii="宋体" w:hAnsi="宋体" w:eastAsia="宋体"/>
                <w:color w:val="auto"/>
                <w:szCs w:val="21"/>
              </w:rPr>
              <w:t>大鹏所城</w:t>
            </w:r>
          </w:p>
        </w:tc>
        <w:tc>
          <w:tcPr>
            <w:tcW w:w="9019" w:type="dxa"/>
          </w:tcPr>
          <w:p>
            <w:pPr>
              <w:rPr>
                <w:rFonts w:ascii="宋体" w:hAnsi="宋体" w:eastAsia="宋体"/>
                <w:color w:val="auto"/>
                <w:szCs w:val="21"/>
              </w:rPr>
            </w:pPr>
            <w:r>
              <w:rPr>
                <w:rFonts w:hint="eastAsia" w:ascii="宋体" w:hAnsi="宋体" w:eastAsia="宋体"/>
                <w:color w:val="auto"/>
                <w:szCs w:val="21"/>
              </w:rPr>
              <w:t>被国务院公布为全国重点文物保护单位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93</w:t>
            </w:r>
          </w:p>
        </w:tc>
        <w:tc>
          <w:tcPr>
            <w:tcW w:w="1134" w:type="dxa"/>
          </w:tcPr>
          <w:p>
            <w:pPr>
              <w:rPr>
                <w:rFonts w:ascii="宋体" w:hAnsi="宋体" w:eastAsia="宋体"/>
                <w:color w:val="auto"/>
                <w:szCs w:val="21"/>
              </w:rPr>
            </w:pPr>
            <w:r>
              <w:rPr>
                <w:rFonts w:hint="eastAsia" w:ascii="宋体" w:hAnsi="宋体" w:eastAsia="宋体"/>
                <w:color w:val="auto"/>
                <w:szCs w:val="21"/>
              </w:rPr>
              <w:t>2002年</w:t>
            </w:r>
          </w:p>
        </w:tc>
        <w:tc>
          <w:tcPr>
            <w:tcW w:w="5954" w:type="dxa"/>
          </w:tcPr>
          <w:p>
            <w:pPr>
              <w:rPr>
                <w:rFonts w:ascii="宋体" w:hAnsi="宋体" w:eastAsia="宋体"/>
                <w:color w:val="auto"/>
                <w:szCs w:val="21"/>
              </w:rPr>
            </w:pPr>
            <w:r>
              <w:rPr>
                <w:rFonts w:hint="eastAsia" w:ascii="宋体" w:hAnsi="宋体" w:eastAsia="宋体"/>
                <w:color w:val="auto"/>
                <w:szCs w:val="21"/>
              </w:rPr>
              <w:t>深圳成功承办了广东省第十一届运动会</w:t>
            </w:r>
          </w:p>
        </w:tc>
        <w:tc>
          <w:tcPr>
            <w:tcW w:w="4110" w:type="dxa"/>
          </w:tcPr>
          <w:p>
            <w:pPr>
              <w:rPr>
                <w:rFonts w:ascii="宋体" w:hAnsi="宋体" w:eastAsia="宋体"/>
                <w:color w:val="auto"/>
                <w:szCs w:val="21"/>
              </w:rPr>
            </w:pPr>
            <w:r>
              <w:rPr>
                <w:rFonts w:hint="eastAsia" w:ascii="宋体" w:hAnsi="宋体" w:eastAsia="宋体"/>
                <w:color w:val="auto"/>
                <w:szCs w:val="21"/>
              </w:rPr>
              <w:t>深圳体育场</w:t>
            </w:r>
          </w:p>
        </w:tc>
        <w:tc>
          <w:tcPr>
            <w:tcW w:w="9019" w:type="dxa"/>
          </w:tcPr>
          <w:p>
            <w:pPr>
              <w:rPr>
                <w:rFonts w:ascii="宋体" w:hAnsi="宋体" w:eastAsia="宋体"/>
                <w:color w:val="auto"/>
                <w:szCs w:val="21"/>
              </w:rPr>
            </w:pPr>
            <w:r>
              <w:rPr>
                <w:rFonts w:hint="eastAsia" w:ascii="宋体" w:hAnsi="宋体" w:eastAsia="宋体"/>
                <w:color w:val="auto"/>
                <w:szCs w:val="21"/>
              </w:rPr>
              <w:t>深圳代表团夺得金牌和总分两个第二的好成绩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94</w:t>
            </w:r>
          </w:p>
        </w:tc>
        <w:tc>
          <w:tcPr>
            <w:tcW w:w="1134" w:type="dxa"/>
          </w:tcPr>
          <w:p>
            <w:pPr>
              <w:rPr>
                <w:rFonts w:ascii="宋体" w:hAnsi="宋体" w:eastAsia="宋体"/>
                <w:color w:val="auto"/>
                <w:szCs w:val="21"/>
              </w:rPr>
            </w:pPr>
            <w:r>
              <w:rPr>
                <w:rFonts w:hint="eastAsia" w:ascii="宋体" w:hAnsi="宋体" w:eastAsia="宋体"/>
                <w:color w:val="auto"/>
                <w:szCs w:val="21"/>
              </w:rPr>
              <w:t>2003年</w:t>
            </w:r>
          </w:p>
        </w:tc>
        <w:tc>
          <w:tcPr>
            <w:tcW w:w="5954" w:type="dxa"/>
          </w:tcPr>
          <w:p>
            <w:pPr>
              <w:rPr>
                <w:rFonts w:ascii="宋体" w:hAnsi="宋体" w:eastAsia="宋体"/>
                <w:color w:val="auto"/>
                <w:szCs w:val="21"/>
              </w:rPr>
            </w:pPr>
            <w:r>
              <w:rPr>
                <w:rFonts w:hint="eastAsia" w:ascii="宋体" w:hAnsi="宋体" w:eastAsia="宋体"/>
                <w:color w:val="auto"/>
                <w:szCs w:val="21"/>
              </w:rPr>
              <w:t>胡锦涛总书记视察 “非典”疫情</w:t>
            </w:r>
          </w:p>
        </w:tc>
        <w:tc>
          <w:tcPr>
            <w:tcW w:w="4110" w:type="dxa"/>
          </w:tcPr>
          <w:p>
            <w:pPr>
              <w:rPr>
                <w:rFonts w:ascii="宋体" w:hAnsi="宋体" w:eastAsia="宋体"/>
                <w:color w:val="auto"/>
                <w:szCs w:val="21"/>
              </w:rPr>
            </w:pPr>
            <w:r>
              <w:rPr>
                <w:rFonts w:hint="eastAsia" w:ascii="宋体" w:hAnsi="宋体" w:eastAsia="宋体"/>
                <w:color w:val="auto"/>
                <w:szCs w:val="21"/>
              </w:rPr>
              <w:t>北京路商业步行街（含高第街）、南岭村</w:t>
            </w:r>
          </w:p>
        </w:tc>
        <w:tc>
          <w:tcPr>
            <w:tcW w:w="9019" w:type="dxa"/>
          </w:tcPr>
          <w:p>
            <w:pPr>
              <w:rPr>
                <w:rFonts w:ascii="宋体" w:hAnsi="宋体" w:eastAsia="宋体"/>
                <w:color w:val="auto"/>
                <w:szCs w:val="21"/>
              </w:rPr>
            </w:pPr>
            <w:r>
              <w:rPr>
                <w:rFonts w:hint="eastAsia" w:ascii="宋体" w:hAnsi="宋体" w:eastAsia="宋体"/>
                <w:color w:val="auto"/>
                <w:szCs w:val="21"/>
              </w:rPr>
              <w:t>慰问了坚持在抗击“非典”第一线的广大医务工作者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4" w:type="dxa"/>
          </w:tcPr>
          <w:p>
            <w:pPr>
              <w:rPr>
                <w:rFonts w:ascii="宋体" w:hAnsi="宋体" w:eastAsia="宋体"/>
                <w:color w:val="auto"/>
                <w:szCs w:val="21"/>
              </w:rPr>
            </w:pPr>
            <w:r>
              <w:rPr>
                <w:rFonts w:hint="eastAsia" w:ascii="宋体" w:hAnsi="宋体" w:eastAsia="宋体"/>
                <w:color w:val="auto"/>
                <w:szCs w:val="21"/>
              </w:rPr>
              <w:t>95</w:t>
            </w:r>
          </w:p>
        </w:tc>
        <w:tc>
          <w:tcPr>
            <w:tcW w:w="1134" w:type="dxa"/>
          </w:tcPr>
          <w:p>
            <w:pPr>
              <w:rPr>
                <w:rFonts w:ascii="宋体" w:hAnsi="宋体" w:eastAsia="宋体"/>
                <w:color w:val="auto"/>
                <w:szCs w:val="21"/>
              </w:rPr>
            </w:pPr>
            <w:r>
              <w:rPr>
                <w:rFonts w:hint="eastAsia" w:ascii="宋体" w:hAnsi="宋体" w:eastAsia="宋体"/>
                <w:color w:val="auto"/>
                <w:szCs w:val="21"/>
              </w:rPr>
              <w:t>2003年</w:t>
            </w:r>
          </w:p>
        </w:tc>
        <w:tc>
          <w:tcPr>
            <w:tcW w:w="5954" w:type="dxa"/>
          </w:tcPr>
          <w:p>
            <w:pPr>
              <w:rPr>
                <w:rFonts w:ascii="宋体" w:hAnsi="宋体" w:eastAsia="宋体"/>
                <w:color w:val="auto"/>
                <w:szCs w:val="21"/>
              </w:rPr>
            </w:pPr>
            <w:r>
              <w:rPr>
                <w:rFonts w:hint="eastAsia" w:ascii="宋体" w:hAnsi="宋体" w:eastAsia="宋体"/>
                <w:color w:val="auto"/>
                <w:szCs w:val="21"/>
              </w:rPr>
              <w:t>胡锦涛总书记亲莅深圳视察高新技术产业园区、中兴通讯、长城计算机、富士康、华为以及盐田港、南岭村等地</w:t>
            </w:r>
          </w:p>
        </w:tc>
        <w:tc>
          <w:tcPr>
            <w:tcW w:w="4110" w:type="dxa"/>
          </w:tcPr>
          <w:p>
            <w:pPr>
              <w:rPr>
                <w:rFonts w:ascii="宋体" w:hAnsi="宋体" w:eastAsia="宋体"/>
                <w:color w:val="auto"/>
                <w:szCs w:val="21"/>
              </w:rPr>
            </w:pPr>
            <w:r>
              <w:rPr>
                <w:rFonts w:hint="eastAsia" w:ascii="宋体" w:hAnsi="宋体" w:eastAsia="宋体"/>
                <w:color w:val="auto"/>
                <w:szCs w:val="21"/>
              </w:rPr>
              <w:t>高新技术产业园区、中兴通讯、长城计算机、富士康、华为以及盐田港、南岭村</w:t>
            </w:r>
          </w:p>
        </w:tc>
        <w:tc>
          <w:tcPr>
            <w:tcW w:w="9019" w:type="dxa"/>
          </w:tcPr>
          <w:p>
            <w:pPr>
              <w:rPr>
                <w:rFonts w:ascii="宋体" w:hAnsi="宋体" w:eastAsia="宋体"/>
                <w:color w:val="auto"/>
                <w:szCs w:val="21"/>
              </w:rPr>
            </w:pPr>
            <w:r>
              <w:rPr>
                <w:rFonts w:hint="eastAsia" w:ascii="宋体" w:hAnsi="宋体" w:eastAsia="宋体"/>
                <w:color w:val="auto"/>
                <w:szCs w:val="21"/>
              </w:rPr>
              <w:t>强调特区要继续发挥“试验田”和“示范区”的作用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704" w:type="dxa"/>
          </w:tcPr>
          <w:p>
            <w:pPr>
              <w:rPr>
                <w:rFonts w:ascii="宋体" w:hAnsi="宋体" w:eastAsia="宋体"/>
                <w:color w:val="auto"/>
                <w:szCs w:val="21"/>
              </w:rPr>
            </w:pPr>
            <w:r>
              <w:rPr>
                <w:rFonts w:hint="eastAsia" w:ascii="宋体" w:hAnsi="宋体" w:eastAsia="宋体"/>
                <w:color w:val="auto"/>
                <w:szCs w:val="21"/>
              </w:rPr>
              <w:t>96</w:t>
            </w:r>
          </w:p>
        </w:tc>
        <w:tc>
          <w:tcPr>
            <w:tcW w:w="1134" w:type="dxa"/>
          </w:tcPr>
          <w:p>
            <w:pPr>
              <w:rPr>
                <w:rFonts w:ascii="宋体" w:hAnsi="宋体" w:eastAsia="宋体"/>
                <w:color w:val="auto"/>
                <w:szCs w:val="21"/>
              </w:rPr>
            </w:pPr>
            <w:r>
              <w:rPr>
                <w:rFonts w:hint="eastAsia" w:ascii="宋体" w:hAnsi="宋体" w:eastAsia="宋体"/>
                <w:color w:val="auto"/>
                <w:szCs w:val="21"/>
              </w:rPr>
              <w:t>2003年</w:t>
            </w:r>
          </w:p>
        </w:tc>
        <w:tc>
          <w:tcPr>
            <w:tcW w:w="5954" w:type="dxa"/>
          </w:tcPr>
          <w:p>
            <w:pPr>
              <w:rPr>
                <w:rFonts w:ascii="宋体" w:hAnsi="宋体" w:eastAsia="宋体"/>
                <w:color w:val="auto"/>
                <w:szCs w:val="21"/>
              </w:rPr>
            </w:pPr>
            <w:r>
              <w:rPr>
                <w:rFonts w:hint="eastAsia" w:ascii="宋体" w:hAnsi="宋体" w:eastAsia="宋体"/>
                <w:color w:val="auto"/>
                <w:szCs w:val="21"/>
              </w:rPr>
              <w:t>深港西部通道——跨海大桥奠基</w:t>
            </w:r>
          </w:p>
        </w:tc>
        <w:tc>
          <w:tcPr>
            <w:tcW w:w="4110" w:type="dxa"/>
          </w:tcPr>
          <w:p>
            <w:pPr>
              <w:rPr>
                <w:rFonts w:ascii="宋体" w:hAnsi="宋体" w:eastAsia="宋体"/>
                <w:color w:val="auto"/>
                <w:szCs w:val="21"/>
              </w:rPr>
            </w:pPr>
            <w:r>
              <w:rPr>
                <w:rFonts w:hint="eastAsia" w:ascii="宋体" w:hAnsi="宋体" w:eastAsia="宋体"/>
                <w:color w:val="auto"/>
                <w:szCs w:val="21"/>
              </w:rPr>
              <w:t>深港西部通道——跨海大桥</w:t>
            </w:r>
          </w:p>
        </w:tc>
        <w:tc>
          <w:tcPr>
            <w:tcW w:w="9019" w:type="dxa"/>
          </w:tcPr>
          <w:p>
            <w:pPr>
              <w:rPr>
                <w:rFonts w:ascii="宋体" w:hAnsi="宋体" w:eastAsia="宋体"/>
                <w:color w:val="auto"/>
                <w:szCs w:val="21"/>
              </w:rPr>
            </w:pPr>
            <w:r>
              <w:rPr>
                <w:rFonts w:hint="eastAsia" w:ascii="宋体" w:hAnsi="宋体" w:eastAsia="宋体"/>
                <w:color w:val="auto"/>
                <w:szCs w:val="21"/>
              </w:rPr>
              <w:t>首个内地与香港大型基建设施协作重大项目，2007年7月1日正式通车，成为连接香港与内地的最快捷的黄金通道。胡锦涛主席为深圳湾跨海大桥通车剪彩。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97</w:t>
            </w:r>
          </w:p>
        </w:tc>
        <w:tc>
          <w:tcPr>
            <w:tcW w:w="1134" w:type="dxa"/>
          </w:tcPr>
          <w:p>
            <w:pPr>
              <w:rPr>
                <w:rFonts w:ascii="宋体" w:hAnsi="宋体" w:eastAsia="宋体"/>
                <w:color w:val="auto"/>
                <w:szCs w:val="21"/>
              </w:rPr>
            </w:pPr>
            <w:r>
              <w:rPr>
                <w:rFonts w:hint="eastAsia" w:ascii="宋体" w:hAnsi="宋体" w:eastAsia="宋体"/>
                <w:color w:val="auto"/>
                <w:szCs w:val="21"/>
              </w:rPr>
              <w:t>2003年</w:t>
            </w:r>
          </w:p>
        </w:tc>
        <w:tc>
          <w:tcPr>
            <w:tcW w:w="5954" w:type="dxa"/>
          </w:tcPr>
          <w:p>
            <w:pPr>
              <w:rPr>
                <w:rFonts w:ascii="宋体" w:hAnsi="宋体" w:eastAsia="宋体"/>
                <w:color w:val="auto"/>
                <w:szCs w:val="21"/>
              </w:rPr>
            </w:pPr>
            <w:r>
              <w:rPr>
                <w:rFonts w:hint="eastAsia" w:ascii="宋体" w:hAnsi="宋体" w:eastAsia="宋体"/>
                <w:color w:val="auto"/>
                <w:szCs w:val="21"/>
              </w:rPr>
              <w:t>实行24小时通关（客运）</w:t>
            </w:r>
          </w:p>
        </w:tc>
        <w:tc>
          <w:tcPr>
            <w:tcW w:w="4110" w:type="dxa"/>
          </w:tcPr>
          <w:p>
            <w:pPr>
              <w:rPr>
                <w:rFonts w:ascii="宋体" w:hAnsi="宋体" w:eastAsia="宋体"/>
                <w:color w:val="auto"/>
                <w:szCs w:val="21"/>
              </w:rPr>
            </w:pPr>
            <w:r>
              <w:rPr>
                <w:rFonts w:hint="eastAsia" w:ascii="宋体" w:hAnsi="宋体" w:eastAsia="宋体"/>
                <w:color w:val="auto"/>
                <w:szCs w:val="21"/>
              </w:rPr>
              <w:t>深圳皇岗——香港落马洲口岸</w:t>
            </w:r>
          </w:p>
        </w:tc>
        <w:tc>
          <w:tcPr>
            <w:tcW w:w="9019" w:type="dxa"/>
          </w:tcPr>
          <w:p>
            <w:pPr>
              <w:rPr>
                <w:rFonts w:ascii="宋体" w:hAnsi="宋体" w:eastAsia="宋体"/>
                <w:color w:val="auto"/>
                <w:szCs w:val="21"/>
              </w:rPr>
            </w:pPr>
            <w:r>
              <w:rPr>
                <w:rFonts w:hint="eastAsia" w:ascii="宋体" w:hAnsi="宋体" w:eastAsia="宋体"/>
                <w:color w:val="auto"/>
                <w:szCs w:val="21"/>
              </w:rPr>
              <w:t>成为全国243个对外开放一类口岸的首例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98</w:t>
            </w:r>
          </w:p>
        </w:tc>
        <w:tc>
          <w:tcPr>
            <w:tcW w:w="1134" w:type="dxa"/>
          </w:tcPr>
          <w:p>
            <w:pPr>
              <w:rPr>
                <w:rFonts w:ascii="宋体" w:hAnsi="宋体" w:eastAsia="宋体"/>
                <w:color w:val="auto"/>
                <w:szCs w:val="21"/>
              </w:rPr>
            </w:pPr>
            <w:r>
              <w:rPr>
                <w:rFonts w:hint="eastAsia" w:ascii="宋体" w:hAnsi="宋体" w:eastAsia="宋体"/>
                <w:color w:val="auto"/>
                <w:szCs w:val="21"/>
              </w:rPr>
              <w:t>2004年</w:t>
            </w:r>
          </w:p>
        </w:tc>
        <w:tc>
          <w:tcPr>
            <w:tcW w:w="5954" w:type="dxa"/>
          </w:tcPr>
          <w:p>
            <w:pPr>
              <w:rPr>
                <w:rFonts w:ascii="宋体" w:hAnsi="宋体" w:eastAsia="宋体"/>
                <w:color w:val="auto"/>
                <w:szCs w:val="21"/>
              </w:rPr>
            </w:pPr>
            <w:r>
              <w:rPr>
                <w:rFonts w:hint="eastAsia" w:ascii="宋体" w:hAnsi="宋体" w:eastAsia="宋体"/>
                <w:color w:val="auto"/>
                <w:szCs w:val="21"/>
              </w:rPr>
              <w:t>地铁一号线正式运营</w:t>
            </w:r>
          </w:p>
        </w:tc>
        <w:tc>
          <w:tcPr>
            <w:tcW w:w="4110" w:type="dxa"/>
          </w:tcPr>
          <w:p>
            <w:pPr>
              <w:rPr>
                <w:rFonts w:ascii="宋体" w:hAnsi="宋体" w:eastAsia="宋体"/>
                <w:color w:val="auto"/>
                <w:szCs w:val="21"/>
              </w:rPr>
            </w:pPr>
            <w:r>
              <w:rPr>
                <w:rFonts w:hint="eastAsia" w:ascii="宋体" w:hAnsi="宋体" w:eastAsia="宋体"/>
                <w:color w:val="auto"/>
                <w:szCs w:val="21"/>
              </w:rPr>
              <w:t>地铁一号线</w:t>
            </w:r>
          </w:p>
        </w:tc>
        <w:tc>
          <w:tcPr>
            <w:tcW w:w="9019" w:type="dxa"/>
          </w:tcPr>
          <w:p>
            <w:pPr>
              <w:rPr>
                <w:rFonts w:ascii="宋体" w:hAnsi="宋体" w:eastAsia="宋体"/>
                <w:color w:val="auto"/>
                <w:szCs w:val="21"/>
              </w:rPr>
            </w:pPr>
            <w:r>
              <w:rPr>
                <w:rFonts w:hint="eastAsia" w:ascii="宋体" w:hAnsi="宋体" w:eastAsia="宋体"/>
                <w:color w:val="auto"/>
                <w:szCs w:val="21"/>
              </w:rPr>
              <w:t>从而使深圳城市交通实现了新的跨越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99</w:t>
            </w:r>
          </w:p>
        </w:tc>
        <w:tc>
          <w:tcPr>
            <w:tcW w:w="1134" w:type="dxa"/>
          </w:tcPr>
          <w:p>
            <w:pPr>
              <w:rPr>
                <w:rFonts w:ascii="宋体" w:hAnsi="宋体" w:eastAsia="宋体"/>
                <w:color w:val="auto"/>
                <w:szCs w:val="21"/>
              </w:rPr>
            </w:pPr>
            <w:r>
              <w:rPr>
                <w:rFonts w:hint="eastAsia" w:ascii="宋体" w:hAnsi="宋体" w:eastAsia="宋体"/>
                <w:color w:val="auto"/>
                <w:szCs w:val="21"/>
              </w:rPr>
              <w:t>2004年</w:t>
            </w:r>
          </w:p>
        </w:tc>
        <w:tc>
          <w:tcPr>
            <w:tcW w:w="5954" w:type="dxa"/>
          </w:tcPr>
          <w:p>
            <w:pPr>
              <w:rPr>
                <w:rFonts w:ascii="宋体" w:hAnsi="宋体" w:eastAsia="宋体"/>
                <w:color w:val="auto"/>
                <w:szCs w:val="21"/>
              </w:rPr>
            </w:pPr>
            <w:r>
              <w:rPr>
                <w:rFonts w:hint="eastAsia" w:ascii="宋体" w:hAnsi="宋体" w:eastAsia="宋体"/>
                <w:color w:val="auto"/>
                <w:szCs w:val="21"/>
              </w:rPr>
              <w:t>首届深圳国际文化产业博览会</w:t>
            </w:r>
          </w:p>
        </w:tc>
        <w:tc>
          <w:tcPr>
            <w:tcW w:w="4110" w:type="dxa"/>
          </w:tcPr>
          <w:p>
            <w:pPr>
              <w:rPr>
                <w:rFonts w:ascii="宋体" w:hAnsi="宋体" w:eastAsia="宋体"/>
                <w:color w:val="auto"/>
                <w:szCs w:val="21"/>
              </w:rPr>
            </w:pPr>
            <w:r>
              <w:rPr>
                <w:rFonts w:hint="eastAsia" w:ascii="宋体" w:hAnsi="宋体" w:eastAsia="宋体"/>
                <w:color w:val="auto"/>
                <w:szCs w:val="21"/>
              </w:rPr>
              <w:t>待定</w:t>
            </w:r>
          </w:p>
        </w:tc>
        <w:tc>
          <w:tcPr>
            <w:tcW w:w="9019" w:type="dxa"/>
          </w:tcPr>
          <w:p>
            <w:pPr>
              <w:rPr>
                <w:rFonts w:ascii="宋体" w:hAnsi="宋体" w:eastAsia="宋体"/>
                <w:color w:val="auto"/>
                <w:szCs w:val="21"/>
              </w:rPr>
            </w:pPr>
            <w:r>
              <w:rPr>
                <w:rFonts w:hint="eastAsia" w:ascii="宋体" w:hAnsi="宋体" w:eastAsia="宋体"/>
                <w:color w:val="auto"/>
                <w:szCs w:val="21"/>
              </w:rPr>
              <w:t>首届深圳国际文化产业博览会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4" w:type="dxa"/>
          </w:tcPr>
          <w:p>
            <w:pPr>
              <w:rPr>
                <w:rFonts w:ascii="宋体" w:hAnsi="宋体" w:eastAsia="宋体"/>
                <w:color w:val="auto"/>
                <w:szCs w:val="21"/>
              </w:rPr>
            </w:pPr>
            <w:r>
              <w:rPr>
                <w:rFonts w:hint="eastAsia" w:ascii="宋体" w:hAnsi="宋体" w:eastAsia="宋体"/>
                <w:color w:val="auto"/>
                <w:szCs w:val="21"/>
              </w:rPr>
              <w:t>100</w:t>
            </w:r>
          </w:p>
        </w:tc>
        <w:tc>
          <w:tcPr>
            <w:tcW w:w="1134" w:type="dxa"/>
          </w:tcPr>
          <w:p>
            <w:pPr>
              <w:rPr>
                <w:rFonts w:ascii="宋体" w:hAnsi="宋体" w:eastAsia="宋体"/>
                <w:color w:val="auto"/>
                <w:szCs w:val="21"/>
              </w:rPr>
            </w:pPr>
            <w:r>
              <w:rPr>
                <w:rFonts w:hint="eastAsia" w:ascii="宋体" w:hAnsi="宋体" w:eastAsia="宋体"/>
                <w:color w:val="auto"/>
                <w:szCs w:val="21"/>
              </w:rPr>
              <w:t>2004年</w:t>
            </w:r>
          </w:p>
        </w:tc>
        <w:tc>
          <w:tcPr>
            <w:tcW w:w="5954" w:type="dxa"/>
          </w:tcPr>
          <w:p>
            <w:pPr>
              <w:rPr>
                <w:rFonts w:ascii="宋体" w:hAnsi="宋体" w:eastAsia="宋体"/>
                <w:color w:val="auto"/>
                <w:szCs w:val="21"/>
              </w:rPr>
            </w:pPr>
            <w:r>
              <w:rPr>
                <w:rFonts w:hint="eastAsia" w:ascii="宋体" w:hAnsi="宋体" w:eastAsia="宋体"/>
                <w:color w:val="auto"/>
                <w:szCs w:val="21"/>
              </w:rPr>
              <w:t>建成了现代化花园式社区</w:t>
            </w:r>
          </w:p>
        </w:tc>
        <w:tc>
          <w:tcPr>
            <w:tcW w:w="4110" w:type="dxa"/>
          </w:tcPr>
          <w:p>
            <w:pPr>
              <w:rPr>
                <w:rFonts w:ascii="宋体" w:hAnsi="宋体" w:eastAsia="宋体"/>
                <w:color w:val="auto"/>
                <w:szCs w:val="21"/>
              </w:rPr>
            </w:pPr>
            <w:r>
              <w:rPr>
                <w:rFonts w:hint="eastAsia" w:ascii="宋体" w:hAnsi="宋体" w:eastAsia="宋体"/>
                <w:color w:val="auto"/>
                <w:szCs w:val="21"/>
              </w:rPr>
              <w:t>渔民村</w:t>
            </w:r>
          </w:p>
        </w:tc>
        <w:tc>
          <w:tcPr>
            <w:tcW w:w="9019" w:type="dxa"/>
          </w:tcPr>
          <w:p>
            <w:pPr>
              <w:rPr>
                <w:rFonts w:ascii="宋体" w:hAnsi="宋体" w:eastAsia="宋体"/>
                <w:color w:val="auto"/>
                <w:szCs w:val="21"/>
              </w:rPr>
            </w:pPr>
            <w:r>
              <w:rPr>
                <w:rFonts w:hint="eastAsia" w:ascii="宋体" w:hAnsi="宋体" w:eastAsia="宋体"/>
                <w:color w:val="auto"/>
                <w:szCs w:val="21"/>
              </w:rPr>
              <w:t>成为“城中村改造”的成功典范。1984年邓小平同志视察渔民村，2010年胡锦涛同志视察渔民村，2012年习近平总书记视察渔民村。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101</w:t>
            </w:r>
          </w:p>
        </w:tc>
        <w:tc>
          <w:tcPr>
            <w:tcW w:w="1134" w:type="dxa"/>
          </w:tcPr>
          <w:p>
            <w:pPr>
              <w:rPr>
                <w:rFonts w:ascii="宋体" w:hAnsi="宋体" w:eastAsia="宋体"/>
                <w:color w:val="auto"/>
                <w:szCs w:val="21"/>
              </w:rPr>
            </w:pPr>
            <w:r>
              <w:rPr>
                <w:rFonts w:hint="eastAsia" w:ascii="宋体" w:hAnsi="宋体" w:eastAsia="宋体"/>
                <w:color w:val="auto"/>
                <w:szCs w:val="21"/>
              </w:rPr>
              <w:t>2004年</w:t>
            </w:r>
          </w:p>
        </w:tc>
        <w:tc>
          <w:tcPr>
            <w:tcW w:w="5954" w:type="dxa"/>
          </w:tcPr>
          <w:p>
            <w:pPr>
              <w:rPr>
                <w:rFonts w:ascii="宋体" w:hAnsi="宋体" w:eastAsia="宋体"/>
                <w:color w:val="auto"/>
                <w:szCs w:val="21"/>
              </w:rPr>
            </w:pPr>
            <w:r>
              <w:rPr>
                <w:rFonts w:hint="eastAsia" w:ascii="宋体" w:hAnsi="宋体" w:eastAsia="宋体"/>
                <w:color w:val="auto"/>
                <w:szCs w:val="21"/>
              </w:rPr>
              <w:t>深圳大芬油画村被国家文化部命名为“文化产业示范基地”</w:t>
            </w:r>
          </w:p>
        </w:tc>
        <w:tc>
          <w:tcPr>
            <w:tcW w:w="4110" w:type="dxa"/>
          </w:tcPr>
          <w:p>
            <w:pPr>
              <w:rPr>
                <w:rFonts w:ascii="宋体" w:hAnsi="宋体" w:eastAsia="宋体"/>
                <w:color w:val="auto"/>
                <w:szCs w:val="21"/>
              </w:rPr>
            </w:pPr>
            <w:r>
              <w:rPr>
                <w:rFonts w:hint="eastAsia" w:ascii="宋体" w:hAnsi="宋体" w:eastAsia="宋体"/>
                <w:color w:val="auto"/>
                <w:szCs w:val="21"/>
              </w:rPr>
              <w:t>大芬油画村</w:t>
            </w:r>
          </w:p>
        </w:tc>
        <w:tc>
          <w:tcPr>
            <w:tcW w:w="9019" w:type="dxa"/>
          </w:tcPr>
          <w:p>
            <w:pPr>
              <w:rPr>
                <w:rFonts w:ascii="宋体" w:hAnsi="宋体" w:eastAsia="宋体"/>
                <w:color w:val="auto"/>
                <w:szCs w:val="21"/>
              </w:rPr>
            </w:pPr>
            <w:r>
              <w:rPr>
                <w:rFonts w:hint="eastAsia" w:ascii="宋体" w:hAnsi="宋体" w:eastAsia="宋体"/>
                <w:color w:val="auto"/>
                <w:szCs w:val="21"/>
              </w:rPr>
              <w:t>被誉为中国油画第一村。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04" w:type="dxa"/>
          </w:tcPr>
          <w:p>
            <w:pPr>
              <w:rPr>
                <w:rFonts w:ascii="宋体" w:hAnsi="宋体" w:eastAsia="宋体"/>
                <w:color w:val="auto"/>
                <w:szCs w:val="21"/>
              </w:rPr>
            </w:pPr>
            <w:r>
              <w:rPr>
                <w:rFonts w:hint="eastAsia" w:ascii="宋体" w:hAnsi="宋体" w:eastAsia="宋体"/>
                <w:color w:val="auto"/>
                <w:szCs w:val="21"/>
              </w:rPr>
              <w:t>102</w:t>
            </w:r>
          </w:p>
        </w:tc>
        <w:tc>
          <w:tcPr>
            <w:tcW w:w="1134" w:type="dxa"/>
          </w:tcPr>
          <w:p>
            <w:pPr>
              <w:rPr>
                <w:rFonts w:ascii="宋体" w:hAnsi="宋体" w:eastAsia="宋体"/>
                <w:color w:val="auto"/>
                <w:szCs w:val="21"/>
              </w:rPr>
            </w:pPr>
            <w:r>
              <w:rPr>
                <w:rFonts w:hint="eastAsia" w:ascii="宋体" w:hAnsi="宋体" w:eastAsia="宋体"/>
                <w:color w:val="auto"/>
                <w:szCs w:val="21"/>
              </w:rPr>
              <w:t>2006年</w:t>
            </w:r>
          </w:p>
        </w:tc>
        <w:tc>
          <w:tcPr>
            <w:tcW w:w="5954" w:type="dxa"/>
          </w:tcPr>
          <w:p>
            <w:pPr>
              <w:rPr>
                <w:rFonts w:ascii="宋体" w:hAnsi="宋体" w:eastAsia="宋体"/>
                <w:color w:val="auto"/>
                <w:szCs w:val="21"/>
              </w:rPr>
            </w:pPr>
            <w:r>
              <w:rPr>
                <w:rFonts w:hint="eastAsia" w:ascii="宋体" w:hAnsi="宋体" w:eastAsia="宋体"/>
                <w:color w:val="auto"/>
                <w:szCs w:val="21"/>
              </w:rPr>
              <w:t>市文物局正式挂牌</w:t>
            </w:r>
          </w:p>
        </w:tc>
        <w:tc>
          <w:tcPr>
            <w:tcW w:w="4110" w:type="dxa"/>
          </w:tcPr>
          <w:p>
            <w:pPr>
              <w:rPr>
                <w:rFonts w:ascii="宋体" w:hAnsi="宋体" w:eastAsia="宋体"/>
                <w:color w:val="auto"/>
                <w:szCs w:val="21"/>
              </w:rPr>
            </w:pPr>
            <w:r>
              <w:rPr>
                <w:rFonts w:hint="eastAsia" w:ascii="宋体" w:hAnsi="宋体" w:eastAsia="宋体"/>
                <w:color w:val="auto"/>
                <w:szCs w:val="21"/>
              </w:rPr>
              <w:t>市文物局</w:t>
            </w:r>
          </w:p>
        </w:tc>
        <w:tc>
          <w:tcPr>
            <w:tcW w:w="9019" w:type="dxa"/>
          </w:tcPr>
          <w:p>
            <w:pPr>
              <w:rPr>
                <w:rFonts w:ascii="宋体" w:hAnsi="宋体" w:eastAsia="宋体"/>
                <w:color w:val="auto"/>
                <w:szCs w:val="21"/>
              </w:rPr>
            </w:pPr>
            <w:r>
              <w:rPr>
                <w:rFonts w:hint="eastAsia" w:ascii="宋体" w:hAnsi="宋体" w:eastAsia="宋体"/>
                <w:color w:val="auto"/>
                <w:szCs w:val="21"/>
              </w:rPr>
              <w:t>各区文物管理机构也逐步健全完善，并开展了一系列卓有成效的文物保护工作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103</w:t>
            </w:r>
          </w:p>
        </w:tc>
        <w:tc>
          <w:tcPr>
            <w:tcW w:w="1134" w:type="dxa"/>
          </w:tcPr>
          <w:p>
            <w:pPr>
              <w:rPr>
                <w:rFonts w:ascii="宋体" w:hAnsi="宋体" w:eastAsia="宋体"/>
                <w:color w:val="auto"/>
                <w:szCs w:val="21"/>
              </w:rPr>
            </w:pPr>
            <w:r>
              <w:rPr>
                <w:rFonts w:hint="eastAsia" w:ascii="宋体" w:hAnsi="宋体" w:eastAsia="宋体"/>
                <w:color w:val="auto"/>
                <w:szCs w:val="21"/>
              </w:rPr>
              <w:t>2006年</w:t>
            </w:r>
          </w:p>
        </w:tc>
        <w:tc>
          <w:tcPr>
            <w:tcW w:w="5954" w:type="dxa"/>
          </w:tcPr>
          <w:p>
            <w:pPr>
              <w:rPr>
                <w:rFonts w:ascii="宋体" w:hAnsi="宋体" w:eastAsia="宋体"/>
                <w:color w:val="auto"/>
                <w:szCs w:val="21"/>
              </w:rPr>
            </w:pPr>
            <w:r>
              <w:rPr>
                <w:rFonts w:hint="eastAsia" w:ascii="宋体" w:hAnsi="宋体" w:eastAsia="宋体"/>
                <w:color w:val="auto"/>
                <w:szCs w:val="21"/>
              </w:rPr>
              <w:t>深圳图书馆新馆开馆</w:t>
            </w:r>
          </w:p>
        </w:tc>
        <w:tc>
          <w:tcPr>
            <w:tcW w:w="4110" w:type="dxa"/>
          </w:tcPr>
          <w:p>
            <w:pPr>
              <w:rPr>
                <w:rFonts w:ascii="宋体" w:hAnsi="宋体" w:eastAsia="宋体"/>
                <w:color w:val="auto"/>
                <w:szCs w:val="21"/>
              </w:rPr>
            </w:pPr>
            <w:r>
              <w:rPr>
                <w:rFonts w:hint="eastAsia" w:ascii="宋体" w:hAnsi="宋体" w:eastAsia="宋体"/>
                <w:color w:val="auto"/>
                <w:szCs w:val="21"/>
              </w:rPr>
              <w:t>深圳图书馆</w:t>
            </w:r>
          </w:p>
        </w:tc>
        <w:tc>
          <w:tcPr>
            <w:tcW w:w="9019" w:type="dxa"/>
          </w:tcPr>
          <w:p>
            <w:pPr>
              <w:rPr>
                <w:rFonts w:ascii="宋体" w:hAnsi="宋体" w:eastAsia="宋体"/>
                <w:color w:val="auto"/>
                <w:szCs w:val="21"/>
              </w:rPr>
            </w:pPr>
            <w:r>
              <w:rPr>
                <w:rFonts w:hint="eastAsia" w:ascii="宋体" w:hAnsi="宋体" w:eastAsia="宋体"/>
                <w:color w:val="auto"/>
                <w:szCs w:val="21"/>
              </w:rPr>
              <w:t>成为中国内地投资最大、设施服务达世界先进水平的现代化图书馆。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104</w:t>
            </w:r>
          </w:p>
        </w:tc>
        <w:tc>
          <w:tcPr>
            <w:tcW w:w="1134" w:type="dxa"/>
          </w:tcPr>
          <w:p>
            <w:pPr>
              <w:rPr>
                <w:rFonts w:ascii="宋体" w:hAnsi="宋体" w:eastAsia="宋体"/>
                <w:color w:val="auto"/>
                <w:szCs w:val="21"/>
              </w:rPr>
            </w:pPr>
            <w:r>
              <w:rPr>
                <w:rFonts w:hint="eastAsia" w:ascii="宋体" w:hAnsi="宋体" w:eastAsia="宋体"/>
                <w:color w:val="auto"/>
                <w:szCs w:val="21"/>
              </w:rPr>
              <w:t>2007年</w:t>
            </w:r>
          </w:p>
        </w:tc>
        <w:tc>
          <w:tcPr>
            <w:tcW w:w="5954" w:type="dxa"/>
          </w:tcPr>
          <w:p>
            <w:pPr>
              <w:rPr>
                <w:rFonts w:ascii="宋体" w:hAnsi="宋体" w:eastAsia="宋体"/>
                <w:color w:val="auto"/>
                <w:szCs w:val="21"/>
              </w:rPr>
            </w:pPr>
            <w:r>
              <w:rPr>
                <w:rFonts w:hint="eastAsia" w:ascii="宋体" w:hAnsi="宋体" w:eastAsia="宋体"/>
                <w:color w:val="auto"/>
                <w:szCs w:val="21"/>
              </w:rPr>
              <w:t>深圳福田口岸开通</w:t>
            </w:r>
          </w:p>
        </w:tc>
        <w:tc>
          <w:tcPr>
            <w:tcW w:w="4110" w:type="dxa"/>
          </w:tcPr>
          <w:p>
            <w:pPr>
              <w:rPr>
                <w:rFonts w:ascii="宋体" w:hAnsi="宋体" w:eastAsia="宋体"/>
                <w:color w:val="auto"/>
                <w:szCs w:val="21"/>
              </w:rPr>
            </w:pPr>
            <w:r>
              <w:rPr>
                <w:rFonts w:hint="eastAsia" w:ascii="宋体" w:hAnsi="宋体" w:eastAsia="宋体"/>
                <w:color w:val="auto"/>
                <w:szCs w:val="21"/>
              </w:rPr>
              <w:t>深圳福田口岸</w:t>
            </w:r>
          </w:p>
        </w:tc>
        <w:tc>
          <w:tcPr>
            <w:tcW w:w="9019" w:type="dxa"/>
          </w:tcPr>
          <w:p>
            <w:pPr>
              <w:rPr>
                <w:rFonts w:ascii="宋体" w:hAnsi="宋体" w:eastAsia="宋体"/>
                <w:color w:val="auto"/>
                <w:szCs w:val="21"/>
              </w:rPr>
            </w:pPr>
            <w:r>
              <w:rPr>
                <w:rFonts w:hint="eastAsia" w:ascii="宋体" w:hAnsi="宋体" w:eastAsia="宋体"/>
                <w:color w:val="auto"/>
                <w:szCs w:val="21"/>
              </w:rPr>
              <w:t>首批通过世界卫生组织口岸核心能力考核达标口岸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105</w:t>
            </w:r>
          </w:p>
        </w:tc>
        <w:tc>
          <w:tcPr>
            <w:tcW w:w="1134" w:type="dxa"/>
          </w:tcPr>
          <w:p>
            <w:pPr>
              <w:rPr>
                <w:rFonts w:ascii="宋体" w:hAnsi="宋体" w:eastAsia="宋体"/>
                <w:color w:val="auto"/>
                <w:szCs w:val="21"/>
              </w:rPr>
            </w:pPr>
            <w:r>
              <w:rPr>
                <w:rFonts w:hint="eastAsia" w:ascii="宋体" w:hAnsi="宋体" w:eastAsia="宋体"/>
                <w:color w:val="auto"/>
                <w:szCs w:val="21"/>
              </w:rPr>
              <w:t>2008年</w:t>
            </w:r>
          </w:p>
        </w:tc>
        <w:tc>
          <w:tcPr>
            <w:tcW w:w="5954" w:type="dxa"/>
          </w:tcPr>
          <w:p>
            <w:pPr>
              <w:rPr>
                <w:rFonts w:ascii="宋体" w:hAnsi="宋体" w:eastAsia="宋体"/>
                <w:color w:val="auto"/>
                <w:szCs w:val="21"/>
              </w:rPr>
            </w:pPr>
            <w:r>
              <w:rPr>
                <w:rFonts w:hint="eastAsia" w:ascii="宋体" w:hAnsi="宋体" w:eastAsia="宋体"/>
                <w:color w:val="auto"/>
                <w:szCs w:val="21"/>
              </w:rPr>
              <w:t>联合国教科文组织授予深圳“设计之都”称号</w:t>
            </w:r>
          </w:p>
        </w:tc>
        <w:tc>
          <w:tcPr>
            <w:tcW w:w="4110" w:type="dxa"/>
          </w:tcPr>
          <w:p>
            <w:pPr>
              <w:rPr>
                <w:rFonts w:ascii="宋体" w:hAnsi="宋体" w:eastAsia="宋体"/>
                <w:color w:val="auto"/>
                <w:szCs w:val="21"/>
              </w:rPr>
            </w:pPr>
          </w:p>
        </w:tc>
        <w:tc>
          <w:tcPr>
            <w:tcW w:w="9019" w:type="dxa"/>
          </w:tcPr>
          <w:p>
            <w:pPr>
              <w:rPr>
                <w:rFonts w:ascii="宋体" w:hAnsi="宋体" w:eastAsia="宋体"/>
                <w:color w:val="auto"/>
                <w:szCs w:val="21"/>
              </w:rPr>
            </w:pPr>
            <w:r>
              <w:rPr>
                <w:rFonts w:hint="eastAsia" w:ascii="宋体" w:hAnsi="宋体" w:eastAsia="宋体"/>
                <w:color w:val="auto"/>
                <w:szCs w:val="21"/>
              </w:rPr>
              <w:t>深圳成为全球第6个、中国首个获此殊荣的城市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704" w:type="dxa"/>
          </w:tcPr>
          <w:p>
            <w:pPr>
              <w:rPr>
                <w:rFonts w:ascii="宋体" w:hAnsi="宋体" w:eastAsia="宋体"/>
                <w:color w:val="auto"/>
                <w:szCs w:val="21"/>
              </w:rPr>
            </w:pPr>
            <w:r>
              <w:rPr>
                <w:rFonts w:hint="eastAsia" w:ascii="宋体" w:hAnsi="宋体" w:eastAsia="宋体"/>
                <w:color w:val="auto"/>
                <w:szCs w:val="21"/>
              </w:rPr>
              <w:t>106</w:t>
            </w:r>
          </w:p>
        </w:tc>
        <w:tc>
          <w:tcPr>
            <w:tcW w:w="1134" w:type="dxa"/>
          </w:tcPr>
          <w:p>
            <w:pPr>
              <w:rPr>
                <w:rFonts w:ascii="宋体" w:hAnsi="宋体" w:eastAsia="宋体"/>
                <w:color w:val="auto"/>
                <w:szCs w:val="21"/>
              </w:rPr>
            </w:pPr>
            <w:r>
              <w:rPr>
                <w:rFonts w:hint="eastAsia" w:ascii="宋体" w:hAnsi="宋体" w:eastAsia="宋体"/>
                <w:color w:val="auto"/>
                <w:szCs w:val="21"/>
              </w:rPr>
              <w:t>2010年</w:t>
            </w:r>
          </w:p>
        </w:tc>
        <w:tc>
          <w:tcPr>
            <w:tcW w:w="5954" w:type="dxa"/>
          </w:tcPr>
          <w:p>
            <w:pPr>
              <w:rPr>
                <w:rFonts w:ascii="宋体" w:hAnsi="宋体" w:eastAsia="宋体"/>
                <w:color w:val="auto"/>
                <w:szCs w:val="21"/>
              </w:rPr>
            </w:pPr>
            <w:r>
              <w:rPr>
                <w:rFonts w:hint="eastAsia" w:ascii="宋体" w:hAnsi="宋体" w:eastAsia="宋体"/>
                <w:color w:val="auto"/>
                <w:szCs w:val="21"/>
              </w:rPr>
              <w:t>建成投入使用</w:t>
            </w:r>
          </w:p>
        </w:tc>
        <w:tc>
          <w:tcPr>
            <w:tcW w:w="4110" w:type="dxa"/>
          </w:tcPr>
          <w:p>
            <w:pPr>
              <w:rPr>
                <w:rFonts w:ascii="宋体" w:hAnsi="宋体" w:eastAsia="宋体"/>
                <w:color w:val="auto"/>
                <w:szCs w:val="21"/>
              </w:rPr>
            </w:pPr>
            <w:r>
              <w:rPr>
                <w:rFonts w:hint="eastAsia" w:ascii="宋体" w:hAnsi="宋体" w:eastAsia="宋体"/>
                <w:color w:val="auto"/>
                <w:szCs w:val="21"/>
              </w:rPr>
              <w:t>广州南站</w:t>
            </w:r>
          </w:p>
        </w:tc>
        <w:tc>
          <w:tcPr>
            <w:tcW w:w="9019" w:type="dxa"/>
          </w:tcPr>
          <w:p>
            <w:pPr>
              <w:rPr>
                <w:rFonts w:ascii="宋体" w:hAnsi="宋体" w:eastAsia="宋体"/>
                <w:color w:val="auto"/>
                <w:szCs w:val="21"/>
              </w:rPr>
            </w:pPr>
            <w:r>
              <w:rPr>
                <w:rFonts w:hint="eastAsia" w:ascii="宋体" w:hAnsi="宋体" w:eastAsia="宋体"/>
                <w:color w:val="auto"/>
                <w:szCs w:val="21"/>
              </w:rPr>
              <w:t>是华南地区最大、最繁忙的高铁站，是粤港澳大湾区、泛珠江三角洲地区的铁路核心车站，是连接京广高速铁路、广深港高速铁路、广珠城轨、贵广高速铁路、南广铁路及北京、上海、广州、深圳和香港等特大城市的超级综合交通枢纽，是广东对外开放的重要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704" w:type="dxa"/>
          </w:tcPr>
          <w:p>
            <w:pPr>
              <w:rPr>
                <w:rFonts w:ascii="宋体" w:hAnsi="宋体" w:eastAsia="宋体"/>
                <w:color w:val="auto"/>
                <w:szCs w:val="21"/>
              </w:rPr>
            </w:pPr>
            <w:r>
              <w:rPr>
                <w:rFonts w:hint="eastAsia" w:ascii="宋体" w:hAnsi="宋体" w:eastAsia="宋体"/>
                <w:color w:val="auto"/>
                <w:szCs w:val="21"/>
              </w:rPr>
              <w:t>107</w:t>
            </w:r>
          </w:p>
        </w:tc>
        <w:tc>
          <w:tcPr>
            <w:tcW w:w="1134" w:type="dxa"/>
          </w:tcPr>
          <w:p>
            <w:pPr>
              <w:rPr>
                <w:rFonts w:ascii="宋体" w:hAnsi="宋体" w:eastAsia="宋体"/>
                <w:color w:val="auto"/>
                <w:szCs w:val="21"/>
              </w:rPr>
            </w:pPr>
            <w:r>
              <w:rPr>
                <w:rFonts w:hint="eastAsia" w:ascii="宋体" w:hAnsi="宋体" w:eastAsia="宋体"/>
                <w:color w:val="auto"/>
                <w:szCs w:val="21"/>
              </w:rPr>
              <w:t>2011年</w:t>
            </w:r>
          </w:p>
        </w:tc>
        <w:tc>
          <w:tcPr>
            <w:tcW w:w="5954" w:type="dxa"/>
          </w:tcPr>
          <w:p>
            <w:pPr>
              <w:rPr>
                <w:rFonts w:ascii="宋体" w:hAnsi="宋体" w:eastAsia="宋体"/>
                <w:color w:val="auto"/>
                <w:szCs w:val="21"/>
              </w:rPr>
            </w:pPr>
            <w:r>
              <w:rPr>
                <w:rFonts w:hint="eastAsia" w:ascii="宋体" w:hAnsi="宋体" w:eastAsia="宋体"/>
                <w:color w:val="auto"/>
                <w:szCs w:val="21"/>
              </w:rPr>
              <w:t>总投资约23亿元，主要建设项目包括一台直线加速器、一台快循环同步加速器、一个靶站以及一期三台供中子散射实验用的中子谱仪，是各种高、精、尖设备组成的整体。2018年3月25日正式建成。</w:t>
            </w:r>
          </w:p>
        </w:tc>
        <w:tc>
          <w:tcPr>
            <w:tcW w:w="4110" w:type="dxa"/>
          </w:tcPr>
          <w:p>
            <w:pPr>
              <w:rPr>
                <w:rFonts w:ascii="宋体" w:hAnsi="宋体" w:eastAsia="宋体"/>
                <w:color w:val="auto"/>
                <w:szCs w:val="21"/>
              </w:rPr>
            </w:pPr>
            <w:r>
              <w:rPr>
                <w:rFonts w:hint="eastAsia" w:ascii="宋体" w:hAnsi="宋体" w:eastAsia="宋体"/>
                <w:color w:val="auto"/>
                <w:szCs w:val="21"/>
              </w:rPr>
              <w:t>中国散裂中子源大科学装置</w:t>
            </w:r>
          </w:p>
        </w:tc>
        <w:tc>
          <w:tcPr>
            <w:tcW w:w="9019" w:type="dxa"/>
          </w:tcPr>
          <w:p>
            <w:pPr>
              <w:rPr>
                <w:rFonts w:ascii="宋体" w:hAnsi="宋体" w:eastAsia="宋体"/>
                <w:color w:val="auto"/>
                <w:szCs w:val="21"/>
              </w:rPr>
            </w:pPr>
            <w:r>
              <w:rPr>
                <w:rFonts w:hint="eastAsia" w:ascii="宋体" w:hAnsi="宋体" w:eastAsia="宋体"/>
                <w:color w:val="auto"/>
                <w:szCs w:val="21"/>
              </w:rPr>
              <w:t>成为中国首台、世界第四台脉冲型散裂中子源，填补了国内脉冲中子应用领域的空白，为我国材料科学技术、生命科学、资源环境、新能源等方面的基础研究和高新技术开发提供强有力的研究手段，对落实国家重大战略部署、解决前沿科学问题具有重大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704" w:type="dxa"/>
          </w:tcPr>
          <w:p>
            <w:pPr>
              <w:rPr>
                <w:rFonts w:ascii="宋体" w:hAnsi="宋体" w:eastAsia="宋体"/>
                <w:color w:val="auto"/>
                <w:szCs w:val="21"/>
              </w:rPr>
            </w:pPr>
            <w:r>
              <w:rPr>
                <w:rFonts w:hint="eastAsia" w:ascii="宋体" w:hAnsi="宋体" w:eastAsia="宋体"/>
                <w:color w:val="auto"/>
                <w:szCs w:val="21"/>
              </w:rPr>
              <w:t>108</w:t>
            </w:r>
          </w:p>
        </w:tc>
        <w:tc>
          <w:tcPr>
            <w:tcW w:w="1134" w:type="dxa"/>
          </w:tcPr>
          <w:p>
            <w:pPr>
              <w:rPr>
                <w:rFonts w:ascii="宋体" w:hAnsi="宋体" w:eastAsia="宋体"/>
                <w:color w:val="auto"/>
                <w:szCs w:val="21"/>
              </w:rPr>
            </w:pPr>
            <w:r>
              <w:rPr>
                <w:rFonts w:hint="eastAsia" w:ascii="宋体" w:hAnsi="宋体" w:eastAsia="宋体"/>
                <w:color w:val="auto"/>
                <w:szCs w:val="21"/>
              </w:rPr>
              <w:t>2011年</w:t>
            </w:r>
          </w:p>
        </w:tc>
        <w:tc>
          <w:tcPr>
            <w:tcW w:w="5954" w:type="dxa"/>
          </w:tcPr>
          <w:p>
            <w:pPr>
              <w:rPr>
                <w:rFonts w:ascii="宋体" w:hAnsi="宋体" w:eastAsia="宋体"/>
                <w:color w:val="auto"/>
                <w:szCs w:val="21"/>
              </w:rPr>
            </w:pPr>
            <w:r>
              <w:rPr>
                <w:rFonts w:hint="eastAsia" w:ascii="宋体" w:hAnsi="宋体" w:eastAsia="宋体"/>
                <w:color w:val="auto"/>
                <w:szCs w:val="21"/>
              </w:rPr>
              <w:t>广东省委省政府批复《深汕（尾）特别合作区基本框架方案》，正式设立深汕特别合作区</w:t>
            </w:r>
          </w:p>
        </w:tc>
        <w:tc>
          <w:tcPr>
            <w:tcW w:w="4110" w:type="dxa"/>
          </w:tcPr>
          <w:p>
            <w:pPr>
              <w:rPr>
                <w:rFonts w:ascii="宋体" w:hAnsi="宋体" w:eastAsia="宋体"/>
                <w:color w:val="auto"/>
                <w:szCs w:val="21"/>
              </w:rPr>
            </w:pPr>
            <w:r>
              <w:rPr>
                <w:rFonts w:hint="eastAsia" w:ascii="宋体" w:hAnsi="宋体" w:eastAsia="宋体"/>
                <w:color w:val="auto"/>
                <w:szCs w:val="21"/>
              </w:rPr>
              <w:t>深汕特别合作区</w:t>
            </w:r>
          </w:p>
        </w:tc>
        <w:tc>
          <w:tcPr>
            <w:tcW w:w="9019" w:type="dxa"/>
          </w:tcPr>
          <w:p>
            <w:pPr>
              <w:rPr>
                <w:rFonts w:ascii="宋体" w:hAnsi="宋体" w:eastAsia="宋体"/>
                <w:color w:val="auto"/>
                <w:szCs w:val="21"/>
              </w:rPr>
            </w:pPr>
            <w:r>
              <w:rPr>
                <w:rFonts w:hint="eastAsia" w:ascii="宋体" w:hAnsi="宋体" w:eastAsia="宋体"/>
                <w:color w:val="auto"/>
                <w:szCs w:val="21"/>
              </w:rPr>
              <w:t>深汕特别合作区以腾讯云计算数据中心、华润新一代数据中心等龙头企业作为带动，着力发展战略性新兴产业，建设现代化的滨海新区、产业新城，打造先富帮后富、区域协调发展的生动范例、创新典范。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704" w:type="dxa"/>
          </w:tcPr>
          <w:p>
            <w:pPr>
              <w:rPr>
                <w:rFonts w:ascii="宋体" w:hAnsi="宋体" w:eastAsia="宋体"/>
                <w:color w:val="auto"/>
                <w:szCs w:val="21"/>
              </w:rPr>
            </w:pPr>
            <w:r>
              <w:rPr>
                <w:rFonts w:hint="eastAsia" w:ascii="宋体" w:hAnsi="宋体" w:eastAsia="宋体"/>
                <w:color w:val="auto"/>
                <w:szCs w:val="21"/>
              </w:rPr>
              <w:t>109</w:t>
            </w:r>
          </w:p>
        </w:tc>
        <w:tc>
          <w:tcPr>
            <w:tcW w:w="1134" w:type="dxa"/>
          </w:tcPr>
          <w:p>
            <w:pPr>
              <w:rPr>
                <w:rFonts w:ascii="宋体" w:hAnsi="宋体" w:eastAsia="宋体"/>
                <w:color w:val="auto"/>
                <w:szCs w:val="21"/>
              </w:rPr>
            </w:pPr>
            <w:r>
              <w:rPr>
                <w:rFonts w:hint="eastAsia" w:ascii="宋体" w:hAnsi="宋体" w:eastAsia="宋体"/>
                <w:color w:val="auto"/>
                <w:szCs w:val="21"/>
              </w:rPr>
              <w:t>2011年</w:t>
            </w:r>
          </w:p>
        </w:tc>
        <w:tc>
          <w:tcPr>
            <w:tcW w:w="5954" w:type="dxa"/>
          </w:tcPr>
          <w:p>
            <w:pPr>
              <w:rPr>
                <w:rFonts w:ascii="宋体" w:hAnsi="宋体" w:eastAsia="宋体"/>
                <w:color w:val="auto"/>
                <w:szCs w:val="21"/>
              </w:rPr>
            </w:pPr>
            <w:r>
              <w:rPr>
                <w:rFonts w:hint="eastAsia" w:ascii="宋体" w:hAnsi="宋体" w:eastAsia="宋体"/>
                <w:color w:val="auto"/>
                <w:szCs w:val="21"/>
              </w:rPr>
              <w:t>第26届大运会(世界大学生运动会)在深圳开幕。中国国家主席胡锦涛在深圳湾体育中心体育场宣布：第26届世界大学生夏季运动会开幕。</w:t>
            </w:r>
          </w:p>
        </w:tc>
        <w:tc>
          <w:tcPr>
            <w:tcW w:w="4110" w:type="dxa"/>
          </w:tcPr>
          <w:p>
            <w:pPr>
              <w:rPr>
                <w:rFonts w:ascii="宋体" w:hAnsi="宋体" w:eastAsia="宋体"/>
                <w:color w:val="auto"/>
                <w:szCs w:val="21"/>
              </w:rPr>
            </w:pPr>
            <w:r>
              <w:rPr>
                <w:rFonts w:hint="eastAsia" w:ascii="宋体" w:hAnsi="宋体" w:eastAsia="宋体"/>
                <w:color w:val="auto"/>
                <w:szCs w:val="21"/>
              </w:rPr>
              <w:t>深圳湾体育中心体育场</w:t>
            </w:r>
          </w:p>
        </w:tc>
        <w:tc>
          <w:tcPr>
            <w:tcW w:w="9019" w:type="dxa"/>
          </w:tcPr>
          <w:p>
            <w:pPr>
              <w:rPr>
                <w:rFonts w:ascii="宋体" w:hAnsi="宋体" w:eastAsia="宋体"/>
                <w:color w:val="auto"/>
                <w:szCs w:val="21"/>
              </w:rPr>
            </w:pPr>
            <w:r>
              <w:rPr>
                <w:rFonts w:hint="eastAsia" w:ascii="宋体" w:hAnsi="宋体" w:eastAsia="宋体"/>
                <w:color w:val="auto"/>
                <w:szCs w:val="21"/>
              </w:rPr>
              <w:t>继2001年北京成功举办第21届世界大运会和哈尔滨赢得2009年第25届世界大学生冬运会举办权之后，蓬勃发展的中国大学生体育运动走向世界的又一件大事，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tcPr>
          <w:p>
            <w:pPr>
              <w:rPr>
                <w:rFonts w:ascii="宋体" w:hAnsi="宋体" w:eastAsia="宋体"/>
                <w:color w:val="auto"/>
                <w:szCs w:val="21"/>
              </w:rPr>
            </w:pPr>
            <w:r>
              <w:rPr>
                <w:rFonts w:hint="eastAsia" w:ascii="宋体" w:hAnsi="宋体" w:eastAsia="宋体"/>
                <w:color w:val="auto"/>
                <w:szCs w:val="21"/>
              </w:rPr>
              <w:t>110</w:t>
            </w:r>
          </w:p>
        </w:tc>
        <w:tc>
          <w:tcPr>
            <w:tcW w:w="1134" w:type="dxa"/>
          </w:tcPr>
          <w:p>
            <w:pPr>
              <w:rPr>
                <w:rFonts w:ascii="宋体" w:hAnsi="宋体" w:eastAsia="宋体"/>
                <w:color w:val="auto"/>
                <w:szCs w:val="21"/>
              </w:rPr>
            </w:pPr>
            <w:r>
              <w:rPr>
                <w:rFonts w:hint="eastAsia" w:ascii="宋体" w:hAnsi="宋体" w:eastAsia="宋体"/>
                <w:color w:val="auto"/>
                <w:szCs w:val="21"/>
              </w:rPr>
              <w:t>2012年</w:t>
            </w:r>
          </w:p>
        </w:tc>
        <w:tc>
          <w:tcPr>
            <w:tcW w:w="5954" w:type="dxa"/>
          </w:tcPr>
          <w:p>
            <w:pPr>
              <w:rPr>
                <w:rFonts w:ascii="宋体" w:hAnsi="宋体" w:eastAsia="宋体"/>
                <w:color w:val="auto"/>
                <w:szCs w:val="21"/>
              </w:rPr>
            </w:pPr>
            <w:r>
              <w:rPr>
                <w:rFonts w:hint="eastAsia" w:ascii="宋体" w:hAnsi="宋体" w:eastAsia="宋体"/>
                <w:color w:val="auto"/>
                <w:szCs w:val="21"/>
              </w:rPr>
              <w:t>习近平总书记视察地方的第一站来到深圳</w:t>
            </w:r>
          </w:p>
        </w:tc>
        <w:tc>
          <w:tcPr>
            <w:tcW w:w="4110" w:type="dxa"/>
          </w:tcPr>
          <w:p>
            <w:pPr>
              <w:rPr>
                <w:rFonts w:ascii="宋体" w:hAnsi="宋体" w:eastAsia="宋体"/>
                <w:color w:val="auto"/>
                <w:szCs w:val="21"/>
              </w:rPr>
            </w:pPr>
            <w:r>
              <w:rPr>
                <w:rFonts w:hint="eastAsia" w:ascii="宋体" w:hAnsi="宋体" w:eastAsia="宋体"/>
                <w:color w:val="auto"/>
                <w:szCs w:val="21"/>
              </w:rPr>
              <w:t>前海深港现代服务业合作区</w:t>
            </w:r>
          </w:p>
        </w:tc>
        <w:tc>
          <w:tcPr>
            <w:tcW w:w="9019" w:type="dxa"/>
          </w:tcPr>
          <w:p>
            <w:pPr>
              <w:rPr>
                <w:rFonts w:ascii="宋体" w:hAnsi="宋体" w:eastAsia="宋体"/>
                <w:color w:val="auto"/>
                <w:szCs w:val="21"/>
              </w:rPr>
            </w:pPr>
            <w:r>
              <w:rPr>
                <w:rFonts w:hint="eastAsia" w:ascii="宋体" w:hAnsi="宋体" w:eastAsia="宋体"/>
                <w:color w:val="auto"/>
                <w:szCs w:val="21"/>
              </w:rPr>
              <w:t>向全党全国宣示了“改革不停顿、开放不止步”的坚定决心。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111</w:t>
            </w:r>
          </w:p>
        </w:tc>
        <w:tc>
          <w:tcPr>
            <w:tcW w:w="1134" w:type="dxa"/>
          </w:tcPr>
          <w:p>
            <w:pPr>
              <w:rPr>
                <w:rFonts w:ascii="宋体" w:hAnsi="宋体" w:eastAsia="宋体"/>
                <w:color w:val="auto"/>
                <w:szCs w:val="21"/>
              </w:rPr>
            </w:pPr>
            <w:r>
              <w:rPr>
                <w:rFonts w:hint="eastAsia" w:ascii="宋体" w:hAnsi="宋体" w:eastAsia="宋体"/>
                <w:color w:val="auto"/>
                <w:szCs w:val="21"/>
              </w:rPr>
              <w:t>2014年</w:t>
            </w:r>
          </w:p>
        </w:tc>
        <w:tc>
          <w:tcPr>
            <w:tcW w:w="5954" w:type="dxa"/>
          </w:tcPr>
          <w:p>
            <w:pPr>
              <w:rPr>
                <w:rFonts w:ascii="宋体" w:hAnsi="宋体" w:eastAsia="宋体"/>
                <w:color w:val="auto"/>
                <w:szCs w:val="21"/>
              </w:rPr>
            </w:pPr>
            <w:r>
              <w:rPr>
                <w:rFonts w:hint="eastAsia" w:ascii="宋体" w:hAnsi="宋体" w:eastAsia="宋体"/>
                <w:color w:val="auto"/>
                <w:szCs w:val="21"/>
              </w:rPr>
              <w:t>国内首家互联网银行——微众银行开业。</w:t>
            </w:r>
          </w:p>
        </w:tc>
        <w:tc>
          <w:tcPr>
            <w:tcW w:w="4110" w:type="dxa"/>
          </w:tcPr>
          <w:p>
            <w:pPr>
              <w:rPr>
                <w:rFonts w:ascii="宋体" w:hAnsi="宋体" w:eastAsia="宋体"/>
                <w:color w:val="auto"/>
                <w:szCs w:val="21"/>
              </w:rPr>
            </w:pPr>
            <w:r>
              <w:rPr>
                <w:rFonts w:hint="eastAsia" w:ascii="宋体" w:hAnsi="宋体" w:eastAsia="宋体"/>
                <w:color w:val="auto"/>
                <w:szCs w:val="21"/>
              </w:rPr>
              <w:t>待定</w:t>
            </w:r>
          </w:p>
        </w:tc>
        <w:tc>
          <w:tcPr>
            <w:tcW w:w="9019" w:type="dxa"/>
          </w:tcPr>
          <w:p>
            <w:pPr>
              <w:rPr>
                <w:rFonts w:ascii="宋体" w:hAnsi="宋体" w:eastAsia="宋体"/>
                <w:color w:val="auto"/>
                <w:szCs w:val="21"/>
              </w:rPr>
            </w:pPr>
            <w:r>
              <w:rPr>
                <w:rFonts w:hint="eastAsia" w:ascii="宋体" w:hAnsi="宋体" w:eastAsia="宋体"/>
                <w:color w:val="auto"/>
                <w:szCs w:val="21"/>
              </w:rPr>
              <w:t>国内首家互联网银行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704" w:type="dxa"/>
          </w:tcPr>
          <w:p>
            <w:pPr>
              <w:rPr>
                <w:rFonts w:ascii="宋体" w:hAnsi="宋体" w:eastAsia="宋体"/>
                <w:color w:val="auto"/>
                <w:szCs w:val="21"/>
              </w:rPr>
            </w:pPr>
            <w:r>
              <w:rPr>
                <w:rFonts w:hint="eastAsia" w:ascii="宋体" w:hAnsi="宋体" w:eastAsia="宋体"/>
                <w:color w:val="auto"/>
                <w:szCs w:val="21"/>
              </w:rPr>
              <w:t>112</w:t>
            </w:r>
          </w:p>
        </w:tc>
        <w:tc>
          <w:tcPr>
            <w:tcW w:w="1134" w:type="dxa"/>
          </w:tcPr>
          <w:p>
            <w:pPr>
              <w:rPr>
                <w:rFonts w:ascii="宋体" w:hAnsi="宋体" w:eastAsia="宋体"/>
                <w:color w:val="auto"/>
                <w:szCs w:val="21"/>
              </w:rPr>
            </w:pPr>
            <w:r>
              <w:rPr>
                <w:rFonts w:hint="eastAsia" w:ascii="宋体" w:hAnsi="宋体" w:eastAsia="宋体"/>
                <w:color w:val="auto"/>
                <w:szCs w:val="21"/>
              </w:rPr>
              <w:t>2015年</w:t>
            </w:r>
          </w:p>
        </w:tc>
        <w:tc>
          <w:tcPr>
            <w:tcW w:w="5954" w:type="dxa"/>
          </w:tcPr>
          <w:p>
            <w:pPr>
              <w:rPr>
                <w:rFonts w:ascii="宋体" w:hAnsi="宋体" w:eastAsia="宋体"/>
                <w:color w:val="auto"/>
                <w:szCs w:val="21"/>
              </w:rPr>
            </w:pPr>
            <w:r>
              <w:rPr>
                <w:rFonts w:hint="eastAsia" w:ascii="宋体" w:hAnsi="宋体" w:eastAsia="宋体"/>
                <w:color w:val="auto"/>
                <w:szCs w:val="21"/>
              </w:rPr>
              <w:t>深圳市启动建设全国首个国际生态安全示范港</w:t>
            </w:r>
          </w:p>
        </w:tc>
        <w:tc>
          <w:tcPr>
            <w:tcW w:w="4110" w:type="dxa"/>
          </w:tcPr>
          <w:p>
            <w:pPr>
              <w:rPr>
                <w:rFonts w:ascii="宋体" w:hAnsi="宋体" w:eastAsia="宋体"/>
                <w:color w:val="auto"/>
                <w:szCs w:val="21"/>
              </w:rPr>
            </w:pPr>
            <w:r>
              <w:rPr>
                <w:rFonts w:hint="eastAsia" w:ascii="宋体" w:hAnsi="宋体" w:eastAsia="宋体"/>
                <w:color w:val="auto"/>
                <w:szCs w:val="21"/>
              </w:rPr>
              <w:t>盐田港</w:t>
            </w:r>
          </w:p>
        </w:tc>
        <w:tc>
          <w:tcPr>
            <w:tcW w:w="9019" w:type="dxa"/>
          </w:tcPr>
          <w:p>
            <w:pPr>
              <w:rPr>
                <w:rFonts w:ascii="宋体" w:hAnsi="宋体" w:eastAsia="宋体"/>
                <w:color w:val="auto"/>
                <w:szCs w:val="21"/>
              </w:rPr>
            </w:pPr>
            <w:r>
              <w:rPr>
                <w:rFonts w:hint="eastAsia" w:ascii="宋体" w:hAnsi="宋体" w:eastAsia="宋体"/>
                <w:color w:val="auto"/>
                <w:szCs w:val="21"/>
              </w:rPr>
              <w:t>盐田港打造亚洲国际集装箱航运中心标杆港、国际生态安全示范港、国际检验检疫标准领航港。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113</w:t>
            </w:r>
          </w:p>
        </w:tc>
        <w:tc>
          <w:tcPr>
            <w:tcW w:w="1134" w:type="dxa"/>
          </w:tcPr>
          <w:p>
            <w:pPr>
              <w:rPr>
                <w:rFonts w:ascii="宋体" w:hAnsi="宋体" w:eastAsia="宋体"/>
                <w:color w:val="auto"/>
                <w:szCs w:val="21"/>
              </w:rPr>
            </w:pPr>
            <w:r>
              <w:rPr>
                <w:rFonts w:hint="eastAsia" w:ascii="宋体" w:hAnsi="宋体" w:eastAsia="宋体"/>
                <w:color w:val="auto"/>
                <w:szCs w:val="21"/>
              </w:rPr>
              <w:t>2015年</w:t>
            </w:r>
          </w:p>
        </w:tc>
        <w:tc>
          <w:tcPr>
            <w:tcW w:w="5954" w:type="dxa"/>
          </w:tcPr>
          <w:p>
            <w:pPr>
              <w:rPr>
                <w:rFonts w:ascii="宋体" w:hAnsi="宋体" w:eastAsia="宋体"/>
                <w:color w:val="auto"/>
                <w:szCs w:val="21"/>
              </w:rPr>
            </w:pPr>
            <w:r>
              <w:rPr>
                <w:rFonts w:hint="eastAsia" w:ascii="宋体" w:hAnsi="宋体" w:eastAsia="宋体"/>
                <w:color w:val="auto"/>
                <w:szCs w:val="21"/>
              </w:rPr>
              <w:t>光启高等理工研究院超材料电磁调制技术国家重点实验室成功通过验收</w:t>
            </w:r>
          </w:p>
        </w:tc>
        <w:tc>
          <w:tcPr>
            <w:tcW w:w="4110" w:type="dxa"/>
          </w:tcPr>
          <w:p>
            <w:pPr>
              <w:rPr>
                <w:rFonts w:ascii="宋体" w:hAnsi="宋体" w:eastAsia="宋体"/>
                <w:color w:val="auto"/>
                <w:szCs w:val="21"/>
              </w:rPr>
            </w:pPr>
            <w:r>
              <w:rPr>
                <w:rFonts w:hint="eastAsia" w:ascii="宋体" w:hAnsi="宋体" w:eastAsia="宋体"/>
                <w:color w:val="auto"/>
                <w:szCs w:val="21"/>
              </w:rPr>
              <w:t>光启高等理工研究院</w:t>
            </w:r>
          </w:p>
        </w:tc>
        <w:tc>
          <w:tcPr>
            <w:tcW w:w="9019" w:type="dxa"/>
          </w:tcPr>
          <w:p>
            <w:pPr>
              <w:rPr>
                <w:rFonts w:ascii="宋体" w:hAnsi="宋体" w:eastAsia="宋体"/>
                <w:color w:val="auto"/>
                <w:szCs w:val="21"/>
              </w:rPr>
            </w:pPr>
            <w:r>
              <w:rPr>
                <w:rFonts w:hint="eastAsia" w:ascii="宋体" w:hAnsi="宋体" w:eastAsia="宋体"/>
                <w:color w:val="auto"/>
                <w:szCs w:val="21"/>
              </w:rPr>
              <w:t>中国第一个超材料技术国家重点实验室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114</w:t>
            </w:r>
          </w:p>
        </w:tc>
        <w:tc>
          <w:tcPr>
            <w:tcW w:w="1134" w:type="dxa"/>
          </w:tcPr>
          <w:p>
            <w:pPr>
              <w:rPr>
                <w:rFonts w:ascii="宋体" w:hAnsi="宋体" w:eastAsia="宋体"/>
                <w:color w:val="auto"/>
                <w:szCs w:val="21"/>
              </w:rPr>
            </w:pPr>
            <w:r>
              <w:rPr>
                <w:rFonts w:hint="eastAsia" w:ascii="宋体" w:hAnsi="宋体" w:eastAsia="宋体"/>
                <w:color w:val="auto"/>
                <w:szCs w:val="21"/>
              </w:rPr>
              <w:t>2016年</w:t>
            </w:r>
          </w:p>
        </w:tc>
        <w:tc>
          <w:tcPr>
            <w:tcW w:w="5954" w:type="dxa"/>
          </w:tcPr>
          <w:p>
            <w:pPr>
              <w:rPr>
                <w:rFonts w:ascii="宋体" w:hAnsi="宋体" w:eastAsia="宋体"/>
                <w:color w:val="auto"/>
                <w:szCs w:val="21"/>
              </w:rPr>
            </w:pPr>
            <w:r>
              <w:rPr>
                <w:rFonts w:hint="eastAsia" w:ascii="宋体" w:hAnsi="宋体" w:eastAsia="宋体"/>
                <w:color w:val="auto"/>
                <w:szCs w:val="21"/>
              </w:rPr>
              <w:t>深港通在深圳证券交易所、香港交易所同步开通</w:t>
            </w:r>
          </w:p>
        </w:tc>
        <w:tc>
          <w:tcPr>
            <w:tcW w:w="4110" w:type="dxa"/>
          </w:tcPr>
          <w:p>
            <w:pPr>
              <w:rPr>
                <w:rFonts w:ascii="宋体" w:hAnsi="宋体" w:eastAsia="宋体"/>
                <w:color w:val="auto"/>
                <w:szCs w:val="21"/>
              </w:rPr>
            </w:pPr>
            <w:r>
              <w:rPr>
                <w:rFonts w:hint="eastAsia" w:ascii="宋体" w:hAnsi="宋体" w:eastAsia="宋体"/>
                <w:color w:val="auto"/>
                <w:szCs w:val="21"/>
              </w:rPr>
              <w:t>深圳证券交易所、香港交易所</w:t>
            </w:r>
          </w:p>
        </w:tc>
        <w:tc>
          <w:tcPr>
            <w:tcW w:w="9019" w:type="dxa"/>
          </w:tcPr>
          <w:p>
            <w:pPr>
              <w:rPr>
                <w:rFonts w:ascii="宋体" w:hAnsi="宋体" w:eastAsia="宋体"/>
                <w:color w:val="auto"/>
                <w:szCs w:val="21"/>
              </w:rPr>
            </w:pPr>
            <w:r>
              <w:rPr>
                <w:rFonts w:hint="eastAsia" w:ascii="宋体" w:hAnsi="宋体" w:eastAsia="宋体"/>
                <w:color w:val="auto"/>
                <w:szCs w:val="21"/>
              </w:rPr>
              <w:t>深圳和香港两地证券市场成功实现互联互通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115</w:t>
            </w:r>
          </w:p>
        </w:tc>
        <w:tc>
          <w:tcPr>
            <w:tcW w:w="1134" w:type="dxa"/>
          </w:tcPr>
          <w:p>
            <w:pPr>
              <w:rPr>
                <w:rFonts w:ascii="宋体" w:hAnsi="宋体" w:eastAsia="宋体"/>
                <w:color w:val="auto"/>
                <w:szCs w:val="21"/>
              </w:rPr>
            </w:pPr>
            <w:r>
              <w:rPr>
                <w:rFonts w:hint="eastAsia" w:ascii="宋体" w:hAnsi="宋体" w:eastAsia="宋体"/>
                <w:color w:val="auto"/>
                <w:szCs w:val="21"/>
              </w:rPr>
              <w:t>2017年</w:t>
            </w:r>
          </w:p>
        </w:tc>
        <w:tc>
          <w:tcPr>
            <w:tcW w:w="5954" w:type="dxa"/>
          </w:tcPr>
          <w:p>
            <w:pPr>
              <w:rPr>
                <w:rFonts w:ascii="宋体" w:hAnsi="宋体" w:eastAsia="宋体"/>
                <w:color w:val="auto"/>
                <w:szCs w:val="21"/>
              </w:rPr>
            </w:pPr>
            <w:r>
              <w:rPr>
                <w:rFonts w:hint="eastAsia" w:ascii="宋体" w:hAnsi="宋体" w:eastAsia="宋体"/>
                <w:color w:val="auto"/>
                <w:szCs w:val="21"/>
              </w:rPr>
              <w:t>深圳首个法定人才日，全国首个以“人才”命名的主题公园——深圳人才公园正式开园迎客。</w:t>
            </w:r>
          </w:p>
        </w:tc>
        <w:tc>
          <w:tcPr>
            <w:tcW w:w="4110" w:type="dxa"/>
          </w:tcPr>
          <w:p>
            <w:pPr>
              <w:rPr>
                <w:rFonts w:ascii="宋体" w:hAnsi="宋体" w:eastAsia="宋体"/>
                <w:color w:val="auto"/>
                <w:szCs w:val="21"/>
              </w:rPr>
            </w:pPr>
            <w:r>
              <w:rPr>
                <w:rFonts w:hint="eastAsia" w:ascii="宋体" w:hAnsi="宋体" w:eastAsia="宋体"/>
                <w:color w:val="auto"/>
                <w:szCs w:val="21"/>
              </w:rPr>
              <w:t>深圳人才公园</w:t>
            </w:r>
          </w:p>
        </w:tc>
        <w:tc>
          <w:tcPr>
            <w:tcW w:w="9019" w:type="dxa"/>
          </w:tcPr>
          <w:p>
            <w:pPr>
              <w:rPr>
                <w:rFonts w:ascii="宋体" w:hAnsi="宋体" w:eastAsia="宋体"/>
                <w:color w:val="auto"/>
                <w:szCs w:val="21"/>
              </w:rPr>
            </w:pPr>
            <w:r>
              <w:rPr>
                <w:rFonts w:hint="eastAsia" w:ascii="宋体" w:hAnsi="宋体" w:eastAsia="宋体"/>
                <w:color w:val="auto"/>
                <w:szCs w:val="21"/>
              </w:rPr>
              <w:t>全国首个以“人才”命名的主题公园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116</w:t>
            </w:r>
          </w:p>
        </w:tc>
        <w:tc>
          <w:tcPr>
            <w:tcW w:w="1134" w:type="dxa"/>
          </w:tcPr>
          <w:p>
            <w:pPr>
              <w:rPr>
                <w:rFonts w:ascii="宋体" w:hAnsi="宋体" w:eastAsia="宋体"/>
                <w:color w:val="auto"/>
                <w:szCs w:val="21"/>
              </w:rPr>
            </w:pPr>
            <w:r>
              <w:rPr>
                <w:rFonts w:hint="eastAsia" w:ascii="宋体" w:hAnsi="宋体" w:eastAsia="宋体"/>
                <w:color w:val="auto"/>
                <w:szCs w:val="21"/>
              </w:rPr>
              <w:t>2018年</w:t>
            </w:r>
          </w:p>
        </w:tc>
        <w:tc>
          <w:tcPr>
            <w:tcW w:w="5954" w:type="dxa"/>
          </w:tcPr>
          <w:p>
            <w:pPr>
              <w:rPr>
                <w:rFonts w:ascii="宋体" w:hAnsi="宋体" w:eastAsia="宋体"/>
                <w:color w:val="auto"/>
                <w:szCs w:val="21"/>
              </w:rPr>
            </w:pPr>
            <w:r>
              <w:rPr>
                <w:rFonts w:hint="eastAsia" w:ascii="宋体" w:hAnsi="宋体" w:eastAsia="宋体"/>
                <w:color w:val="auto"/>
                <w:szCs w:val="21"/>
              </w:rPr>
              <w:t>广深港高铁全线正式开通运营</w:t>
            </w:r>
          </w:p>
        </w:tc>
        <w:tc>
          <w:tcPr>
            <w:tcW w:w="4110" w:type="dxa"/>
          </w:tcPr>
          <w:p>
            <w:pPr>
              <w:rPr>
                <w:rFonts w:ascii="宋体" w:hAnsi="宋体" w:eastAsia="宋体"/>
                <w:color w:val="auto"/>
                <w:szCs w:val="21"/>
              </w:rPr>
            </w:pPr>
            <w:r>
              <w:rPr>
                <w:rFonts w:hint="eastAsia" w:ascii="宋体" w:hAnsi="宋体" w:eastAsia="宋体"/>
                <w:color w:val="auto"/>
                <w:szCs w:val="21"/>
              </w:rPr>
              <w:t>广深港高铁</w:t>
            </w:r>
          </w:p>
        </w:tc>
        <w:tc>
          <w:tcPr>
            <w:tcW w:w="9019" w:type="dxa"/>
          </w:tcPr>
          <w:p>
            <w:pPr>
              <w:rPr>
                <w:rFonts w:ascii="宋体" w:hAnsi="宋体" w:eastAsia="宋体"/>
                <w:color w:val="auto"/>
                <w:szCs w:val="21"/>
              </w:rPr>
            </w:pPr>
            <w:r>
              <w:rPr>
                <w:rFonts w:hint="eastAsia" w:ascii="宋体" w:hAnsi="宋体" w:eastAsia="宋体"/>
                <w:color w:val="auto"/>
                <w:szCs w:val="21"/>
              </w:rPr>
              <w:t>广深港高铁运营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117</w:t>
            </w:r>
          </w:p>
        </w:tc>
        <w:tc>
          <w:tcPr>
            <w:tcW w:w="1134" w:type="dxa"/>
          </w:tcPr>
          <w:p>
            <w:pPr>
              <w:rPr>
                <w:rFonts w:ascii="宋体" w:hAnsi="宋体" w:eastAsia="宋体"/>
                <w:color w:val="auto"/>
                <w:szCs w:val="21"/>
              </w:rPr>
            </w:pPr>
            <w:r>
              <w:rPr>
                <w:rFonts w:hint="eastAsia" w:ascii="宋体" w:hAnsi="宋体" w:eastAsia="宋体"/>
                <w:color w:val="auto"/>
                <w:szCs w:val="21"/>
              </w:rPr>
              <w:t>2019年</w:t>
            </w:r>
          </w:p>
        </w:tc>
        <w:tc>
          <w:tcPr>
            <w:tcW w:w="5954" w:type="dxa"/>
          </w:tcPr>
          <w:p>
            <w:pPr>
              <w:rPr>
                <w:rFonts w:ascii="宋体" w:hAnsi="宋体" w:eastAsia="宋体"/>
                <w:color w:val="auto"/>
                <w:szCs w:val="21"/>
              </w:rPr>
            </w:pPr>
            <w:r>
              <w:rPr>
                <w:rFonts w:hint="eastAsia" w:ascii="宋体" w:hAnsi="宋体" w:eastAsia="宋体"/>
                <w:color w:val="auto"/>
                <w:szCs w:val="21"/>
              </w:rPr>
              <w:t>空中客车（中国）创新中心在深圳落成</w:t>
            </w:r>
          </w:p>
        </w:tc>
        <w:tc>
          <w:tcPr>
            <w:tcW w:w="4110" w:type="dxa"/>
          </w:tcPr>
          <w:p>
            <w:pPr>
              <w:rPr>
                <w:rFonts w:ascii="宋体" w:hAnsi="宋体" w:eastAsia="宋体"/>
                <w:color w:val="auto"/>
                <w:szCs w:val="21"/>
              </w:rPr>
            </w:pPr>
            <w:r>
              <w:rPr>
                <w:rFonts w:hint="eastAsia" w:ascii="宋体" w:hAnsi="宋体" w:eastAsia="宋体"/>
                <w:color w:val="auto"/>
                <w:szCs w:val="21"/>
              </w:rPr>
              <w:t>空中客车（中国）创新中心</w:t>
            </w:r>
          </w:p>
        </w:tc>
        <w:tc>
          <w:tcPr>
            <w:tcW w:w="9019" w:type="dxa"/>
          </w:tcPr>
          <w:p>
            <w:pPr>
              <w:rPr>
                <w:rFonts w:ascii="宋体" w:hAnsi="宋体" w:eastAsia="宋体"/>
                <w:color w:val="auto"/>
                <w:szCs w:val="21"/>
              </w:rPr>
            </w:pPr>
            <w:r>
              <w:rPr>
                <w:rFonts w:hint="eastAsia" w:ascii="宋体" w:hAnsi="宋体" w:eastAsia="宋体"/>
                <w:color w:val="auto"/>
                <w:szCs w:val="21"/>
              </w:rPr>
              <w:t>空客公司在亚洲唯一的创新中心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118</w:t>
            </w:r>
          </w:p>
        </w:tc>
        <w:tc>
          <w:tcPr>
            <w:tcW w:w="1134" w:type="dxa"/>
          </w:tcPr>
          <w:p>
            <w:pPr>
              <w:rPr>
                <w:rFonts w:ascii="宋体" w:hAnsi="宋体" w:eastAsia="宋体"/>
                <w:color w:val="auto"/>
                <w:szCs w:val="21"/>
              </w:rPr>
            </w:pPr>
            <w:r>
              <w:rPr>
                <w:rFonts w:hint="eastAsia" w:ascii="宋体" w:hAnsi="宋体" w:eastAsia="宋体"/>
                <w:color w:val="auto"/>
                <w:szCs w:val="21"/>
              </w:rPr>
              <w:t>2019年</w:t>
            </w:r>
          </w:p>
        </w:tc>
        <w:tc>
          <w:tcPr>
            <w:tcW w:w="5954" w:type="dxa"/>
          </w:tcPr>
          <w:p>
            <w:pPr>
              <w:rPr>
                <w:rFonts w:ascii="宋体" w:hAnsi="宋体" w:eastAsia="宋体"/>
                <w:color w:val="auto"/>
                <w:szCs w:val="21"/>
              </w:rPr>
            </w:pPr>
            <w:r>
              <w:rPr>
                <w:rFonts w:hint="eastAsia" w:ascii="宋体" w:hAnsi="宋体" w:eastAsia="宋体"/>
                <w:color w:val="auto"/>
                <w:szCs w:val="21"/>
              </w:rPr>
              <w:t>中英街界碑入选第八批全国重点文物保护单位</w:t>
            </w:r>
          </w:p>
        </w:tc>
        <w:tc>
          <w:tcPr>
            <w:tcW w:w="4110" w:type="dxa"/>
          </w:tcPr>
          <w:p>
            <w:pPr>
              <w:rPr>
                <w:rFonts w:ascii="宋体" w:hAnsi="宋体" w:eastAsia="宋体"/>
                <w:color w:val="auto"/>
                <w:szCs w:val="21"/>
              </w:rPr>
            </w:pPr>
            <w:r>
              <w:rPr>
                <w:rFonts w:hint="eastAsia" w:ascii="宋体" w:hAnsi="宋体" w:eastAsia="宋体"/>
                <w:color w:val="auto"/>
                <w:szCs w:val="21"/>
              </w:rPr>
              <w:t>中英街</w:t>
            </w:r>
          </w:p>
        </w:tc>
        <w:tc>
          <w:tcPr>
            <w:tcW w:w="9019" w:type="dxa"/>
          </w:tcPr>
          <w:p>
            <w:pPr>
              <w:rPr>
                <w:rFonts w:ascii="宋体" w:hAnsi="宋体" w:eastAsia="宋体"/>
                <w:color w:val="auto"/>
                <w:szCs w:val="21"/>
              </w:rPr>
            </w:pPr>
            <w:r>
              <w:rPr>
                <w:rFonts w:hint="eastAsia" w:ascii="宋体" w:hAnsi="宋体" w:eastAsia="宋体"/>
                <w:color w:val="auto"/>
                <w:szCs w:val="21"/>
              </w:rPr>
              <w:t>中英街界碑入选第八批全国重点文物保护单位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tcPr>
          <w:p>
            <w:pPr>
              <w:rPr>
                <w:rFonts w:ascii="宋体" w:hAnsi="宋体" w:eastAsia="宋体"/>
                <w:color w:val="auto"/>
                <w:szCs w:val="21"/>
              </w:rPr>
            </w:pPr>
            <w:r>
              <w:rPr>
                <w:rFonts w:hint="eastAsia" w:ascii="宋体" w:hAnsi="宋体" w:eastAsia="宋体"/>
                <w:color w:val="auto"/>
                <w:szCs w:val="21"/>
              </w:rPr>
              <w:t>119</w:t>
            </w:r>
          </w:p>
        </w:tc>
        <w:tc>
          <w:tcPr>
            <w:tcW w:w="1134" w:type="dxa"/>
          </w:tcPr>
          <w:p>
            <w:pPr>
              <w:rPr>
                <w:rFonts w:ascii="宋体" w:hAnsi="宋体" w:eastAsia="宋体"/>
                <w:color w:val="auto"/>
                <w:szCs w:val="21"/>
              </w:rPr>
            </w:pPr>
            <w:r>
              <w:rPr>
                <w:rFonts w:hint="eastAsia" w:ascii="宋体" w:hAnsi="宋体" w:eastAsia="宋体"/>
                <w:color w:val="auto"/>
                <w:szCs w:val="21"/>
              </w:rPr>
              <w:t>2019年</w:t>
            </w:r>
          </w:p>
        </w:tc>
        <w:tc>
          <w:tcPr>
            <w:tcW w:w="5954" w:type="dxa"/>
          </w:tcPr>
          <w:p>
            <w:pPr>
              <w:rPr>
                <w:rFonts w:ascii="宋体" w:hAnsi="宋体" w:eastAsia="宋体"/>
                <w:color w:val="auto"/>
                <w:szCs w:val="21"/>
              </w:rPr>
            </w:pPr>
            <w:r>
              <w:rPr>
                <w:rFonts w:hint="eastAsia" w:ascii="宋体" w:hAnsi="宋体" w:eastAsia="宋体"/>
                <w:color w:val="auto"/>
                <w:szCs w:val="21"/>
              </w:rPr>
              <w:t>东江纵队司令部旧址入选第八批全国重点文物保护单位</w:t>
            </w:r>
          </w:p>
        </w:tc>
        <w:tc>
          <w:tcPr>
            <w:tcW w:w="4110" w:type="dxa"/>
          </w:tcPr>
          <w:p>
            <w:pPr>
              <w:rPr>
                <w:rFonts w:ascii="宋体" w:hAnsi="宋体" w:eastAsia="宋体"/>
                <w:color w:val="auto"/>
                <w:szCs w:val="21"/>
              </w:rPr>
            </w:pPr>
            <w:r>
              <w:rPr>
                <w:rFonts w:hint="eastAsia" w:ascii="宋体" w:hAnsi="宋体" w:eastAsia="宋体"/>
                <w:color w:val="auto"/>
                <w:szCs w:val="21"/>
              </w:rPr>
              <w:t>东江纵队司令部旧址</w:t>
            </w:r>
          </w:p>
        </w:tc>
        <w:tc>
          <w:tcPr>
            <w:tcW w:w="9019" w:type="dxa"/>
          </w:tcPr>
          <w:p>
            <w:pPr>
              <w:rPr>
                <w:rFonts w:ascii="宋体" w:hAnsi="宋体" w:eastAsia="宋体"/>
                <w:color w:val="auto"/>
                <w:szCs w:val="21"/>
              </w:rPr>
            </w:pPr>
            <w:r>
              <w:rPr>
                <w:rFonts w:hint="eastAsia" w:ascii="宋体" w:hAnsi="宋体" w:eastAsia="宋体"/>
                <w:color w:val="auto"/>
                <w:szCs w:val="21"/>
              </w:rPr>
              <w:t>东江纵队司令部旧址入选第八批全国重点文物保护单位</w:t>
            </w:r>
          </w:p>
        </w:tc>
      </w:tr>
    </w:tbl>
    <w:p>
      <w:pPr>
        <w:rPr>
          <w:rFonts w:ascii="宋体" w:hAnsi="宋体" w:eastAsia="宋体"/>
          <w:color w:val="auto"/>
          <w:szCs w:val="21"/>
        </w:rPr>
      </w:pPr>
    </w:p>
    <w:p>
      <w:pPr>
        <w:rPr>
          <w:color w:val="auto"/>
        </w:rPr>
        <w:sectPr>
          <w:pgSz w:w="23811" w:h="16838" w:orient="landscape"/>
          <w:pgMar w:top="1800" w:right="1440" w:bottom="1800" w:left="1440" w:header="851" w:footer="992" w:gutter="0"/>
          <w:cols w:space="1051" w:num="1"/>
          <w:docGrid w:type="lines" w:linePitch="312" w:charSpace="0"/>
        </w:sectPr>
      </w:pPr>
    </w:p>
    <w:p>
      <w:pPr>
        <w:pStyle w:val="2"/>
        <w:rPr>
          <w:color w:val="auto"/>
        </w:rPr>
      </w:pPr>
      <w:bookmarkStart w:id="347" w:name="_Toc114072217"/>
      <w:bookmarkStart w:id="348" w:name="_Toc929810925"/>
      <w:bookmarkStart w:id="349" w:name="_Toc18498"/>
      <w:bookmarkStart w:id="350" w:name="_Toc26883"/>
      <w:bookmarkStart w:id="351" w:name="_Toc15798"/>
      <w:bookmarkStart w:id="352" w:name="_Toc29289"/>
      <w:bookmarkStart w:id="353" w:name="_Toc25009"/>
      <w:bookmarkStart w:id="354" w:name="_Toc19835"/>
      <w:r>
        <w:rPr>
          <w:rFonts w:hint="eastAsia"/>
          <w:color w:val="auto"/>
        </w:rPr>
        <w:t>附录二：深圳市改革开放重要史迹一览表</w:t>
      </w:r>
      <w:bookmarkEnd w:id="347"/>
      <w:bookmarkEnd w:id="348"/>
      <w:bookmarkEnd w:id="349"/>
      <w:bookmarkEnd w:id="350"/>
      <w:bookmarkEnd w:id="351"/>
      <w:bookmarkEnd w:id="352"/>
      <w:bookmarkEnd w:id="353"/>
      <w:bookmarkEnd w:id="354"/>
    </w:p>
    <w:tbl>
      <w:tblPr>
        <w:tblStyle w:val="18"/>
        <w:tblW w:w="20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3"/>
        <w:gridCol w:w="2977"/>
        <w:gridCol w:w="3118"/>
        <w:gridCol w:w="4678"/>
        <w:gridCol w:w="5228"/>
        <w:gridCol w:w="3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260" w:lineRule="exact"/>
              <w:jc w:val="center"/>
              <w:rPr>
                <w:rFonts w:ascii="宋体" w:hAnsi="宋体" w:eastAsia="宋体" w:cs="仿宋_GB2312"/>
                <w:b/>
                <w:bCs/>
                <w:color w:val="auto"/>
                <w:kern w:val="0"/>
                <w:sz w:val="18"/>
                <w:szCs w:val="18"/>
              </w:rPr>
            </w:pPr>
            <w:r>
              <w:rPr>
                <w:rFonts w:hint="eastAsia" w:ascii="宋体" w:hAnsi="宋体" w:eastAsia="宋体" w:cs="仿宋_GB2312"/>
                <w:b/>
                <w:bCs/>
                <w:color w:val="auto"/>
                <w:kern w:val="0"/>
                <w:sz w:val="18"/>
                <w:szCs w:val="18"/>
              </w:rPr>
              <w:t>序号</w:t>
            </w:r>
          </w:p>
        </w:tc>
        <w:tc>
          <w:tcPr>
            <w:tcW w:w="297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260" w:lineRule="exact"/>
              <w:jc w:val="center"/>
              <w:rPr>
                <w:rFonts w:ascii="宋体" w:hAnsi="宋体" w:eastAsia="宋体" w:cs="仿宋_GB2312"/>
                <w:b/>
                <w:bCs/>
                <w:color w:val="auto"/>
                <w:kern w:val="0"/>
                <w:sz w:val="18"/>
                <w:szCs w:val="18"/>
              </w:rPr>
            </w:pPr>
            <w:r>
              <w:rPr>
                <w:rFonts w:hint="eastAsia" w:ascii="宋体" w:hAnsi="宋体" w:eastAsia="宋体" w:cs="仿宋_GB2312"/>
                <w:b/>
                <w:bCs/>
                <w:color w:val="auto"/>
                <w:kern w:val="0"/>
                <w:sz w:val="18"/>
                <w:szCs w:val="18"/>
              </w:rPr>
              <w:t>重要史迹名称</w:t>
            </w:r>
          </w:p>
        </w:tc>
        <w:tc>
          <w:tcPr>
            <w:tcW w:w="311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260" w:lineRule="exact"/>
              <w:jc w:val="center"/>
              <w:rPr>
                <w:rFonts w:ascii="宋体" w:hAnsi="宋体" w:eastAsia="宋体" w:cs="仿宋_GB2312"/>
                <w:b/>
                <w:bCs/>
                <w:color w:val="auto"/>
                <w:kern w:val="0"/>
                <w:sz w:val="18"/>
                <w:szCs w:val="18"/>
              </w:rPr>
            </w:pPr>
            <w:r>
              <w:rPr>
                <w:rFonts w:hint="eastAsia" w:ascii="宋体" w:hAnsi="宋体" w:eastAsia="宋体" w:cs="仿宋_GB2312"/>
                <w:b/>
                <w:bCs/>
                <w:color w:val="auto"/>
                <w:kern w:val="0"/>
                <w:sz w:val="18"/>
                <w:szCs w:val="18"/>
              </w:rPr>
              <w:t>所属市区</w:t>
            </w:r>
          </w:p>
        </w:tc>
        <w:tc>
          <w:tcPr>
            <w:tcW w:w="46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260" w:lineRule="exact"/>
              <w:jc w:val="center"/>
              <w:rPr>
                <w:rFonts w:ascii="宋体" w:hAnsi="宋体" w:eastAsia="宋体" w:cs="仿宋_GB2312"/>
                <w:b/>
                <w:bCs/>
                <w:color w:val="auto"/>
                <w:kern w:val="0"/>
                <w:sz w:val="18"/>
                <w:szCs w:val="18"/>
              </w:rPr>
            </w:pPr>
            <w:r>
              <w:rPr>
                <w:rFonts w:hint="eastAsia" w:ascii="宋体" w:hAnsi="宋体" w:eastAsia="宋体" w:cs="仿宋_GB2312"/>
                <w:b/>
                <w:bCs/>
                <w:color w:val="auto"/>
                <w:kern w:val="0"/>
                <w:sz w:val="18"/>
                <w:szCs w:val="18"/>
              </w:rPr>
              <w:t>地址</w:t>
            </w:r>
          </w:p>
        </w:tc>
        <w:tc>
          <w:tcPr>
            <w:tcW w:w="522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260" w:lineRule="exact"/>
              <w:jc w:val="center"/>
              <w:rPr>
                <w:rFonts w:ascii="宋体" w:hAnsi="宋体" w:eastAsia="宋体" w:cs="仿宋_GB2312"/>
                <w:b/>
                <w:bCs/>
                <w:color w:val="auto"/>
                <w:kern w:val="0"/>
                <w:sz w:val="18"/>
                <w:szCs w:val="18"/>
              </w:rPr>
            </w:pPr>
            <w:r>
              <w:rPr>
                <w:rFonts w:hint="eastAsia" w:ascii="宋体" w:hAnsi="宋体" w:eastAsia="宋体" w:cs="仿宋_GB2312"/>
                <w:b/>
                <w:bCs/>
                <w:color w:val="auto"/>
                <w:kern w:val="0"/>
                <w:sz w:val="18"/>
                <w:szCs w:val="18"/>
              </w:rPr>
              <w:t>保护级别及批次</w:t>
            </w:r>
          </w:p>
        </w:tc>
        <w:tc>
          <w:tcPr>
            <w:tcW w:w="348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260" w:lineRule="exact"/>
              <w:jc w:val="center"/>
              <w:rPr>
                <w:rFonts w:ascii="宋体" w:hAnsi="宋体" w:eastAsia="宋体" w:cs="仿宋_GB2312"/>
                <w:b/>
                <w:bCs/>
                <w:color w:val="auto"/>
                <w:kern w:val="0"/>
                <w:sz w:val="18"/>
                <w:szCs w:val="18"/>
              </w:rPr>
            </w:pPr>
            <w:r>
              <w:rPr>
                <w:rFonts w:hint="eastAsia" w:ascii="宋体" w:hAnsi="宋体" w:eastAsia="宋体" w:cs="仿宋_GB2312"/>
                <w:b/>
                <w:bCs/>
                <w:color w:val="auto"/>
                <w:kern w:val="0"/>
                <w:sz w:val="18"/>
                <w:szCs w:val="18"/>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1</w:t>
            </w:r>
          </w:p>
        </w:tc>
        <w:tc>
          <w:tcPr>
            <w:tcW w:w="297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hint="default" w:ascii="宋体" w:hAnsi="宋体" w:eastAsia="宋体" w:cs="仿宋_GB2312"/>
                <w:bCs/>
                <w:color w:val="auto"/>
                <w:kern w:val="0"/>
                <w:sz w:val="18"/>
                <w:szCs w:val="18"/>
                <w:lang w:val="en"/>
              </w:rPr>
            </w:pPr>
            <w:r>
              <w:rPr>
                <w:rStyle w:val="52"/>
                <w:rFonts w:hint="eastAsia" w:ascii="宋体" w:hAnsi="宋体" w:eastAsia="宋体"/>
                <w:color w:val="auto"/>
                <w:sz w:val="18"/>
                <w:szCs w:val="18"/>
              </w:rPr>
              <w:t>莲花山广场</w:t>
            </w:r>
            <w:r>
              <w:rPr>
                <w:rStyle w:val="52"/>
                <w:rFonts w:hint="default" w:ascii="宋体" w:hAnsi="宋体" w:eastAsia="宋体"/>
                <w:color w:val="auto"/>
                <w:sz w:val="18"/>
                <w:szCs w:val="18"/>
                <w:lang w:val="en"/>
              </w:rPr>
              <w:t>邓小平铜像</w:t>
            </w:r>
          </w:p>
        </w:tc>
        <w:tc>
          <w:tcPr>
            <w:tcW w:w="311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olor w:val="auto"/>
                <w:sz w:val="18"/>
                <w:szCs w:val="18"/>
              </w:rPr>
              <w:t>福田区</w:t>
            </w:r>
          </w:p>
        </w:tc>
        <w:tc>
          <w:tcPr>
            <w:tcW w:w="46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olor w:val="auto"/>
                <w:sz w:val="18"/>
                <w:szCs w:val="18"/>
                <w:shd w:val="clear" w:color="auto" w:fill="F9F9F9"/>
              </w:rPr>
              <w:t>福田区莲花山公园山顶广场</w:t>
            </w:r>
          </w:p>
        </w:tc>
        <w:tc>
          <w:tcPr>
            <w:tcW w:w="522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bCs/>
                <w:color w:val="auto"/>
                <w:kern w:val="0"/>
                <w:sz w:val="18"/>
                <w:szCs w:val="18"/>
              </w:rPr>
              <w:t>第</w:t>
            </w:r>
            <w:r>
              <w:rPr>
                <w:rFonts w:hint="eastAsia" w:ascii="宋体" w:hAnsi="宋体" w:eastAsia="宋体" w:cs="仿宋_GB2312"/>
                <w:bCs/>
                <w:color w:val="auto"/>
                <w:kern w:val="0"/>
                <w:sz w:val="18"/>
                <w:szCs w:val="18"/>
                <w:lang w:eastAsia="zh-CN"/>
              </w:rPr>
              <w:t>十</w:t>
            </w:r>
            <w:r>
              <w:rPr>
                <w:rFonts w:hint="eastAsia" w:ascii="宋体" w:hAnsi="宋体" w:eastAsia="宋体" w:cs="仿宋_GB2312"/>
                <w:bCs/>
                <w:color w:val="auto"/>
                <w:kern w:val="0"/>
                <w:sz w:val="18"/>
                <w:szCs w:val="18"/>
              </w:rPr>
              <w:t>批</w:t>
            </w:r>
            <w:r>
              <w:rPr>
                <w:rFonts w:hint="eastAsia" w:ascii="宋体" w:hAnsi="宋体" w:eastAsia="宋体" w:cs="仿宋_GB2312"/>
                <w:bCs/>
                <w:color w:val="auto"/>
                <w:kern w:val="0"/>
                <w:sz w:val="18"/>
                <w:szCs w:val="18"/>
                <w:lang w:eastAsia="zh-CN"/>
              </w:rPr>
              <w:t>广东省省</w:t>
            </w:r>
            <w:r>
              <w:rPr>
                <w:rFonts w:hint="eastAsia" w:ascii="宋体" w:hAnsi="宋体" w:eastAsia="宋体" w:cs="仿宋_GB2312"/>
                <w:bCs/>
                <w:color w:val="auto"/>
                <w:kern w:val="0"/>
                <w:sz w:val="18"/>
                <w:szCs w:val="18"/>
              </w:rPr>
              <w:t>级文物保护单位</w:t>
            </w:r>
          </w:p>
        </w:tc>
        <w:tc>
          <w:tcPr>
            <w:tcW w:w="348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2</w:t>
            </w:r>
          </w:p>
        </w:tc>
        <w:tc>
          <w:tcPr>
            <w:tcW w:w="297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Style w:val="52"/>
                <w:rFonts w:hint="eastAsia" w:ascii="宋体" w:hAnsi="宋体" w:eastAsia="宋体"/>
                <w:color w:val="auto"/>
                <w:sz w:val="18"/>
                <w:szCs w:val="18"/>
              </w:rPr>
              <w:t>孺子牛雕塑</w:t>
            </w:r>
          </w:p>
        </w:tc>
        <w:tc>
          <w:tcPr>
            <w:tcW w:w="311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olor w:val="auto"/>
                <w:sz w:val="18"/>
                <w:szCs w:val="18"/>
              </w:rPr>
              <w:t>福田区</w:t>
            </w:r>
          </w:p>
        </w:tc>
        <w:tc>
          <w:tcPr>
            <w:tcW w:w="46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olor w:val="auto"/>
                <w:sz w:val="18"/>
                <w:szCs w:val="18"/>
                <w:shd w:val="clear" w:color="auto" w:fill="F9F9F9"/>
              </w:rPr>
              <w:t>福田区深南大道市委大院门前</w:t>
            </w:r>
          </w:p>
        </w:tc>
        <w:tc>
          <w:tcPr>
            <w:tcW w:w="522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bCs/>
                <w:color w:val="auto"/>
                <w:kern w:val="0"/>
                <w:sz w:val="18"/>
                <w:szCs w:val="18"/>
              </w:rPr>
              <w:t>第</w:t>
            </w:r>
            <w:r>
              <w:rPr>
                <w:rFonts w:hint="eastAsia" w:ascii="宋体" w:hAnsi="宋体" w:eastAsia="宋体" w:cs="仿宋_GB2312"/>
                <w:bCs/>
                <w:color w:val="auto"/>
                <w:kern w:val="0"/>
                <w:sz w:val="18"/>
                <w:szCs w:val="18"/>
                <w:lang w:eastAsia="zh-CN"/>
              </w:rPr>
              <w:t>十</w:t>
            </w:r>
            <w:r>
              <w:rPr>
                <w:rFonts w:hint="eastAsia" w:ascii="宋体" w:hAnsi="宋体" w:eastAsia="宋体" w:cs="仿宋_GB2312"/>
                <w:bCs/>
                <w:color w:val="auto"/>
                <w:kern w:val="0"/>
                <w:sz w:val="18"/>
                <w:szCs w:val="18"/>
              </w:rPr>
              <w:t>批</w:t>
            </w:r>
            <w:r>
              <w:rPr>
                <w:rFonts w:hint="eastAsia" w:ascii="宋体" w:hAnsi="宋体" w:eastAsia="宋体" w:cs="仿宋_GB2312"/>
                <w:bCs/>
                <w:color w:val="auto"/>
                <w:kern w:val="0"/>
                <w:sz w:val="18"/>
                <w:szCs w:val="18"/>
                <w:lang w:eastAsia="zh-CN"/>
              </w:rPr>
              <w:t>广东省省</w:t>
            </w:r>
            <w:r>
              <w:rPr>
                <w:rFonts w:hint="eastAsia" w:ascii="宋体" w:hAnsi="宋体" w:eastAsia="宋体" w:cs="仿宋_GB2312"/>
                <w:bCs/>
                <w:color w:val="auto"/>
                <w:kern w:val="0"/>
                <w:sz w:val="18"/>
                <w:szCs w:val="18"/>
              </w:rPr>
              <w:t>级文物保护单位</w:t>
            </w:r>
          </w:p>
        </w:tc>
        <w:tc>
          <w:tcPr>
            <w:tcW w:w="348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3</w:t>
            </w:r>
          </w:p>
        </w:tc>
        <w:tc>
          <w:tcPr>
            <w:tcW w:w="297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Style w:val="52"/>
                <w:rFonts w:hint="eastAsia" w:ascii="宋体" w:hAnsi="宋体" w:eastAsia="宋体"/>
                <w:color w:val="auto"/>
                <w:sz w:val="18"/>
                <w:szCs w:val="18"/>
              </w:rPr>
              <w:t>前海石公园（前海石）</w:t>
            </w:r>
          </w:p>
        </w:tc>
        <w:tc>
          <w:tcPr>
            <w:tcW w:w="311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olor w:val="auto"/>
                <w:sz w:val="18"/>
                <w:szCs w:val="18"/>
              </w:rPr>
              <w:t>南山区</w:t>
            </w:r>
          </w:p>
        </w:tc>
        <w:tc>
          <w:tcPr>
            <w:tcW w:w="46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olor w:val="auto"/>
                <w:sz w:val="18"/>
                <w:szCs w:val="18"/>
                <w:shd w:val="clear" w:color="auto" w:fill="F9F9F9"/>
              </w:rPr>
              <w:t>南山街道前湾一路前海石公园内</w:t>
            </w:r>
          </w:p>
        </w:tc>
        <w:tc>
          <w:tcPr>
            <w:tcW w:w="522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bCs/>
                <w:color w:val="auto"/>
                <w:kern w:val="0"/>
                <w:sz w:val="18"/>
                <w:szCs w:val="18"/>
              </w:rPr>
              <w:t>第五批深圳市市级文物保护单位</w:t>
            </w:r>
          </w:p>
        </w:tc>
        <w:tc>
          <w:tcPr>
            <w:tcW w:w="348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4</w:t>
            </w:r>
          </w:p>
        </w:tc>
        <w:tc>
          <w:tcPr>
            <w:tcW w:w="297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Style w:val="52"/>
                <w:rFonts w:hint="eastAsia" w:ascii="宋体" w:hAnsi="宋体" w:eastAsia="宋体"/>
                <w:color w:val="auto"/>
                <w:sz w:val="18"/>
                <w:szCs w:val="18"/>
              </w:rPr>
              <w:t>微波山时间广场（内标语牌）</w:t>
            </w:r>
          </w:p>
        </w:tc>
        <w:tc>
          <w:tcPr>
            <w:tcW w:w="311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olor w:val="auto"/>
                <w:sz w:val="18"/>
                <w:szCs w:val="18"/>
              </w:rPr>
              <w:t>南山区</w:t>
            </w:r>
          </w:p>
        </w:tc>
        <w:tc>
          <w:tcPr>
            <w:tcW w:w="46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olor w:val="auto"/>
                <w:sz w:val="18"/>
                <w:szCs w:val="18"/>
                <w:shd w:val="clear" w:color="auto" w:fill="F9F9F9"/>
              </w:rPr>
              <w:t>工业一路与南海大道交汇处</w:t>
            </w:r>
          </w:p>
        </w:tc>
        <w:tc>
          <w:tcPr>
            <w:tcW w:w="522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bCs/>
                <w:color w:val="auto"/>
                <w:kern w:val="0"/>
                <w:sz w:val="18"/>
                <w:szCs w:val="18"/>
              </w:rPr>
              <w:t>第七批深圳市市级文物保护单位</w:t>
            </w:r>
          </w:p>
        </w:tc>
        <w:tc>
          <w:tcPr>
            <w:tcW w:w="348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5</w:t>
            </w:r>
          </w:p>
        </w:tc>
        <w:tc>
          <w:tcPr>
            <w:tcW w:w="297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Style w:val="52"/>
                <w:rFonts w:hint="eastAsia" w:ascii="宋体" w:hAnsi="宋体" w:eastAsia="宋体"/>
                <w:color w:val="auto"/>
                <w:sz w:val="18"/>
                <w:szCs w:val="18"/>
              </w:rPr>
              <w:t>袁庚祖居</w:t>
            </w:r>
          </w:p>
        </w:tc>
        <w:tc>
          <w:tcPr>
            <w:tcW w:w="311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olor w:val="auto"/>
                <w:sz w:val="18"/>
                <w:szCs w:val="18"/>
              </w:rPr>
              <w:t>大鹏新区</w:t>
            </w:r>
          </w:p>
        </w:tc>
        <w:tc>
          <w:tcPr>
            <w:tcW w:w="46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olor w:val="auto"/>
                <w:sz w:val="18"/>
                <w:szCs w:val="18"/>
                <w:shd w:val="clear" w:color="auto" w:fill="F9F9F9"/>
              </w:rPr>
              <w:t>大鹏新区水贝村</w:t>
            </w:r>
          </w:p>
        </w:tc>
        <w:tc>
          <w:tcPr>
            <w:tcW w:w="522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bCs/>
                <w:color w:val="auto"/>
                <w:kern w:val="0"/>
                <w:sz w:val="18"/>
                <w:szCs w:val="18"/>
              </w:rPr>
              <w:t>深圳市不可移动文物</w:t>
            </w:r>
          </w:p>
        </w:tc>
        <w:tc>
          <w:tcPr>
            <w:tcW w:w="348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6</w:t>
            </w:r>
          </w:p>
        </w:tc>
        <w:tc>
          <w:tcPr>
            <w:tcW w:w="297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color w:val="auto"/>
                <w:sz w:val="18"/>
                <w:szCs w:val="18"/>
              </w:rPr>
              <w:t>电子大厦</w:t>
            </w:r>
          </w:p>
        </w:tc>
        <w:tc>
          <w:tcPr>
            <w:tcW w:w="311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color w:val="auto"/>
                <w:sz w:val="18"/>
                <w:szCs w:val="18"/>
              </w:rPr>
              <w:t>福田区</w:t>
            </w:r>
          </w:p>
        </w:tc>
        <w:tc>
          <w:tcPr>
            <w:tcW w:w="46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color w:val="auto"/>
                <w:sz w:val="18"/>
                <w:szCs w:val="18"/>
              </w:rPr>
              <w:t>华强北街道福强社区深南中路</w:t>
            </w:r>
            <w:r>
              <w:rPr>
                <w:rFonts w:ascii="宋体" w:hAnsi="宋体" w:eastAsia="宋体" w:cs="仿宋_GB2312"/>
                <w:color w:val="auto"/>
                <w:sz w:val="18"/>
                <w:szCs w:val="18"/>
              </w:rPr>
              <w:t>2070号</w:t>
            </w:r>
          </w:p>
        </w:tc>
        <w:tc>
          <w:tcPr>
            <w:tcW w:w="522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bCs/>
                <w:color w:val="auto"/>
                <w:kern w:val="0"/>
                <w:sz w:val="18"/>
                <w:szCs w:val="18"/>
              </w:rPr>
              <w:t>深圳市第一批历史建筑</w:t>
            </w:r>
          </w:p>
        </w:tc>
        <w:tc>
          <w:tcPr>
            <w:tcW w:w="348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color w:val="auto"/>
                <w:sz w:val="18"/>
                <w:szCs w:val="18"/>
              </w:rPr>
              <w:t>SZ-J-01003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7</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上海宾馆</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福田区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华强北街道华航社区深南中路</w:t>
            </w:r>
            <w:r>
              <w:rPr>
                <w:rFonts w:ascii="宋体" w:hAnsi="宋体" w:eastAsia="宋体" w:cs="仿宋_GB2312"/>
                <w:color w:val="auto"/>
                <w:sz w:val="18"/>
                <w:szCs w:val="18"/>
              </w:rPr>
              <w:t>3032号</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bCs/>
                <w:color w:val="auto"/>
                <w:kern w:val="0"/>
                <w:sz w:val="18"/>
                <w:szCs w:val="18"/>
              </w:rPr>
              <w:t>深圳市第一批历史建筑</w:t>
            </w: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ascii="宋体" w:hAnsi="宋体" w:eastAsia="宋体" w:cs="仿宋_GB2312"/>
                <w:color w:val="auto"/>
                <w:sz w:val="18"/>
                <w:szCs w:val="18"/>
              </w:rPr>
              <w:t>SZ-J-01004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8</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深圳博物馆旧馆</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福田区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华强北街道通新岭社区同心路</w:t>
            </w:r>
            <w:r>
              <w:rPr>
                <w:rFonts w:ascii="宋体" w:hAnsi="宋体" w:eastAsia="宋体" w:cs="仿宋_GB2312"/>
                <w:color w:val="auto"/>
                <w:sz w:val="18"/>
                <w:szCs w:val="18"/>
              </w:rPr>
              <w:t>6号</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bCs/>
                <w:color w:val="auto"/>
                <w:kern w:val="0"/>
                <w:sz w:val="18"/>
                <w:szCs w:val="18"/>
              </w:rPr>
              <w:t>深圳市第一批历史建筑</w:t>
            </w: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ascii="宋体" w:hAnsi="宋体" w:eastAsia="宋体" w:cs="仿宋_GB2312"/>
                <w:color w:val="auto"/>
                <w:sz w:val="18"/>
                <w:szCs w:val="18"/>
              </w:rPr>
              <w:t>SZ-J-01005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9</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罗湖口岸联检大楼</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罗湖区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南湖街道罗湖社区深圳河北岸罗湖口岸</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bCs/>
                <w:color w:val="auto"/>
                <w:kern w:val="0"/>
                <w:sz w:val="18"/>
                <w:szCs w:val="18"/>
              </w:rPr>
              <w:t>深圳市第一批历史建筑</w:t>
            </w: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ascii="宋体" w:hAnsi="宋体" w:eastAsia="宋体" w:cs="仿宋_GB2312"/>
                <w:color w:val="auto"/>
                <w:sz w:val="18"/>
                <w:szCs w:val="18"/>
              </w:rPr>
              <w:t>SZ-J-01007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10</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国贸大厦</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罗湖区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南湖街道嘉北社区人民南路</w:t>
            </w:r>
            <w:r>
              <w:rPr>
                <w:rFonts w:ascii="宋体" w:hAnsi="宋体" w:eastAsia="宋体" w:cs="仿宋_GB2312"/>
                <w:color w:val="auto"/>
                <w:sz w:val="18"/>
                <w:szCs w:val="18"/>
              </w:rPr>
              <w:t>3002号</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bCs/>
                <w:color w:val="auto"/>
                <w:kern w:val="0"/>
                <w:sz w:val="18"/>
                <w:szCs w:val="18"/>
              </w:rPr>
              <w:t>深圳市第一批历史建筑</w:t>
            </w: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ascii="宋体" w:hAnsi="宋体" w:eastAsia="宋体" w:cs="仿宋_GB2312"/>
                <w:color w:val="auto"/>
                <w:sz w:val="18"/>
                <w:szCs w:val="18"/>
              </w:rPr>
              <w:t>SZ-J-01008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11</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地王大厦</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罗湖区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桂园街道红村社区深南东路</w:t>
            </w:r>
            <w:r>
              <w:rPr>
                <w:rFonts w:ascii="宋体" w:hAnsi="宋体" w:eastAsia="宋体" w:cs="仿宋_GB2312"/>
                <w:color w:val="auto"/>
                <w:sz w:val="18"/>
                <w:szCs w:val="18"/>
              </w:rPr>
              <w:t>5002号</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bCs/>
                <w:color w:val="auto"/>
                <w:kern w:val="0"/>
                <w:sz w:val="18"/>
                <w:szCs w:val="18"/>
              </w:rPr>
              <w:t>深圳市第一批历史建筑</w:t>
            </w: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ascii="宋体" w:hAnsi="宋体" w:eastAsia="宋体" w:cs="仿宋_GB2312"/>
                <w:color w:val="auto"/>
                <w:sz w:val="18"/>
                <w:szCs w:val="18"/>
              </w:rPr>
              <w:t>SZ-J-01009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12</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中英街历史博物馆</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盐田区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沙头角街道中英街社区环城路</w:t>
            </w:r>
            <w:r>
              <w:rPr>
                <w:rFonts w:ascii="宋体" w:hAnsi="宋体" w:eastAsia="宋体" w:cs="仿宋_GB2312"/>
                <w:color w:val="auto"/>
                <w:sz w:val="18"/>
                <w:szCs w:val="18"/>
              </w:rPr>
              <w:t>9号</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bCs/>
                <w:color w:val="auto"/>
                <w:kern w:val="0"/>
                <w:sz w:val="18"/>
                <w:szCs w:val="18"/>
              </w:rPr>
              <w:t>深圳市第一批历史建筑</w:t>
            </w: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ascii="宋体" w:hAnsi="宋体" w:eastAsia="宋体" w:cs="仿宋_GB2312"/>
                <w:color w:val="auto"/>
                <w:sz w:val="18"/>
                <w:szCs w:val="18"/>
              </w:rPr>
              <w:t>SZ-J-01016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13</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光明糖厂</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光明区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光明街道翠湖社区光明农场集团有限公司内</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bCs/>
                <w:color w:val="auto"/>
                <w:kern w:val="0"/>
                <w:sz w:val="18"/>
                <w:szCs w:val="18"/>
              </w:rPr>
              <w:t>深圳市第一批历史建筑</w:t>
            </w: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ascii="宋体" w:hAnsi="宋体" w:eastAsia="宋体" w:cs="仿宋_GB2312"/>
                <w:color w:val="auto"/>
                <w:sz w:val="18"/>
                <w:szCs w:val="18"/>
              </w:rPr>
              <w:t>SZ-J-01038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14</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鹤薮小学</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大鹏新区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南澳街道西涌社区鹤薮老村北侧</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bCs/>
                <w:color w:val="auto"/>
                <w:kern w:val="0"/>
                <w:sz w:val="18"/>
                <w:szCs w:val="18"/>
              </w:rPr>
              <w:t>深圳市第一批历史建筑</w:t>
            </w: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ascii="宋体" w:hAnsi="宋体" w:eastAsia="宋体" w:cs="仿宋_GB2312"/>
                <w:color w:val="auto"/>
                <w:sz w:val="18"/>
                <w:szCs w:val="18"/>
              </w:rPr>
              <w:t>SZ-J-01042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15</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深圳少儿图书馆（原深圳图书馆）</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福田区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华强北街道通新岭社区红荔路</w:t>
            </w:r>
            <w:r>
              <w:rPr>
                <w:rFonts w:ascii="宋体" w:hAnsi="宋体" w:eastAsia="宋体" w:cs="仿宋_GB2312"/>
                <w:color w:val="auto"/>
                <w:sz w:val="18"/>
                <w:szCs w:val="18"/>
              </w:rPr>
              <w:t>1011号</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bCs/>
                <w:color w:val="auto"/>
                <w:kern w:val="0"/>
                <w:sz w:val="18"/>
                <w:szCs w:val="18"/>
              </w:rPr>
              <w:t>深圳市第二批历史建筑</w:t>
            </w: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ascii="宋体" w:hAnsi="宋体" w:eastAsia="宋体" w:cs="仿宋_GB2312"/>
                <w:color w:val="auto"/>
                <w:sz w:val="18"/>
                <w:szCs w:val="18"/>
              </w:rPr>
              <w:t>SZ-J-02001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16</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深圳科学馆</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福田区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华强北街道福强社区上步中路</w:t>
            </w:r>
            <w:r>
              <w:rPr>
                <w:rFonts w:ascii="宋体" w:hAnsi="宋体" w:eastAsia="宋体" w:cs="仿宋_GB2312"/>
                <w:color w:val="auto"/>
                <w:sz w:val="18"/>
                <w:szCs w:val="18"/>
              </w:rPr>
              <w:t>1003号</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bCs/>
                <w:color w:val="auto"/>
                <w:kern w:val="0"/>
                <w:sz w:val="18"/>
                <w:szCs w:val="18"/>
              </w:rPr>
              <w:t>深圳市第二批历史建筑</w:t>
            </w: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ascii="宋体" w:hAnsi="宋体" w:eastAsia="宋体" w:cs="仿宋_GB2312"/>
                <w:color w:val="auto"/>
                <w:sz w:val="18"/>
                <w:szCs w:val="18"/>
              </w:rPr>
              <w:t>SZ-J-02002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17</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新闻大厦</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福田区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华强北街道通新岭社区深南中路</w:t>
            </w:r>
            <w:r>
              <w:rPr>
                <w:rFonts w:ascii="宋体" w:hAnsi="宋体" w:eastAsia="宋体" w:cs="仿宋_GB2312"/>
                <w:color w:val="auto"/>
                <w:sz w:val="18"/>
                <w:szCs w:val="18"/>
              </w:rPr>
              <w:t>1002号</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bCs/>
                <w:color w:val="auto"/>
                <w:kern w:val="0"/>
                <w:sz w:val="18"/>
                <w:szCs w:val="18"/>
              </w:rPr>
              <w:t>深圳市第二批历史建筑</w:t>
            </w: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ascii="宋体" w:hAnsi="宋体" w:eastAsia="宋体" w:cs="仿宋_GB2312"/>
                <w:color w:val="auto"/>
                <w:sz w:val="18"/>
                <w:szCs w:val="18"/>
              </w:rPr>
              <w:t>SZ-J-02003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18</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竹园宾馆</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罗湖区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翠竹街道翠竹社区东门北路</w:t>
            </w:r>
            <w:r>
              <w:rPr>
                <w:rFonts w:ascii="宋体" w:hAnsi="宋体" w:eastAsia="宋体" w:cs="仿宋_GB2312"/>
                <w:color w:val="auto"/>
                <w:sz w:val="18"/>
                <w:szCs w:val="18"/>
              </w:rPr>
              <w:t>2079号</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bCs/>
                <w:color w:val="auto"/>
                <w:kern w:val="0"/>
                <w:sz w:val="18"/>
                <w:szCs w:val="18"/>
              </w:rPr>
              <w:t>深圳市第二批历史建筑</w:t>
            </w: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ascii="宋体" w:hAnsi="宋体" w:eastAsia="宋体" w:cs="仿宋_GB2312"/>
                <w:color w:val="auto"/>
                <w:sz w:val="18"/>
                <w:szCs w:val="18"/>
              </w:rPr>
              <w:t>SZ-J-02004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19</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深圳迎宾馆</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罗湖区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东门街道新园路</w:t>
            </w:r>
            <w:r>
              <w:rPr>
                <w:rFonts w:ascii="宋体" w:hAnsi="宋体" w:eastAsia="宋体" w:cs="仿宋_GB2312"/>
                <w:color w:val="auto"/>
                <w:sz w:val="18"/>
                <w:szCs w:val="18"/>
              </w:rPr>
              <w:t>13号</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bCs/>
                <w:color w:val="auto"/>
                <w:kern w:val="0"/>
                <w:sz w:val="18"/>
                <w:szCs w:val="18"/>
              </w:rPr>
              <w:t>深圳市第二批历史建筑</w:t>
            </w: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ascii="宋体" w:hAnsi="宋体" w:eastAsia="宋体" w:cs="仿宋_GB2312"/>
                <w:color w:val="auto"/>
                <w:sz w:val="18"/>
                <w:szCs w:val="18"/>
              </w:rPr>
              <w:t>SZ-J-02005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20</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深圳证券交易所</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罗湖区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桂园街道新围社区深南东路</w:t>
            </w:r>
            <w:r>
              <w:rPr>
                <w:rFonts w:ascii="宋体" w:hAnsi="宋体" w:eastAsia="宋体" w:cs="仿宋_GB2312"/>
                <w:color w:val="auto"/>
                <w:sz w:val="18"/>
                <w:szCs w:val="18"/>
              </w:rPr>
              <w:t>5045号</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bCs/>
                <w:color w:val="auto"/>
                <w:kern w:val="0"/>
                <w:sz w:val="18"/>
                <w:szCs w:val="18"/>
              </w:rPr>
              <w:t>深圳市第二批历史建筑</w:t>
            </w: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ascii="宋体" w:hAnsi="宋体" w:eastAsia="宋体" w:cs="仿宋_GB2312"/>
                <w:color w:val="auto"/>
                <w:sz w:val="18"/>
                <w:szCs w:val="18"/>
              </w:rPr>
              <w:t>SZ-J-02006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21</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蛇口大成面粉厂</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南山区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招商街道港湾大道</w:t>
            </w:r>
            <w:r>
              <w:rPr>
                <w:rFonts w:ascii="宋体" w:hAnsi="宋体" w:eastAsia="宋体" w:cs="仿宋_GB2312"/>
                <w:color w:val="auto"/>
                <w:sz w:val="18"/>
                <w:szCs w:val="18"/>
              </w:rPr>
              <w:t>3号</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bCs/>
                <w:color w:val="auto"/>
                <w:kern w:val="0"/>
                <w:sz w:val="18"/>
                <w:szCs w:val="18"/>
              </w:rPr>
              <w:t>深圳市第二批历史建筑</w:t>
            </w: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ascii="宋体" w:hAnsi="宋体" w:eastAsia="宋体" w:cs="仿宋_GB2312"/>
                <w:color w:val="auto"/>
                <w:sz w:val="18"/>
                <w:szCs w:val="18"/>
              </w:rPr>
              <w:t>SZ-J-02010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22</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浮法玻璃厂</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南山区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招商街道海湾路</w:t>
            </w:r>
            <w:r>
              <w:rPr>
                <w:rFonts w:ascii="宋体" w:hAnsi="宋体" w:eastAsia="宋体" w:cs="仿宋_GB2312"/>
                <w:color w:val="auto"/>
                <w:sz w:val="18"/>
                <w:szCs w:val="18"/>
              </w:rPr>
              <w:t>8号</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bCs/>
                <w:color w:val="auto"/>
                <w:kern w:val="0"/>
                <w:sz w:val="18"/>
                <w:szCs w:val="18"/>
              </w:rPr>
              <w:t>深圳市第二批历史建筑</w:t>
            </w: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ascii="宋体" w:hAnsi="宋体" w:eastAsia="宋体" w:cs="仿宋_GB2312"/>
                <w:color w:val="auto"/>
                <w:sz w:val="18"/>
                <w:szCs w:val="18"/>
              </w:rPr>
              <w:t>SZ-J-02011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23</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深圳经济特区同乐检查站</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南山区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西丽街道京港澳高速与中山园路交界处</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hint="eastAsia" w:ascii="宋体" w:hAnsi="宋体" w:eastAsia="宋体" w:cs="仿宋_GB2312"/>
                <w:bCs/>
                <w:color w:val="auto"/>
                <w:kern w:val="0"/>
                <w:sz w:val="18"/>
                <w:szCs w:val="18"/>
              </w:rPr>
              <w:t>深圳市第二批历史建筑</w:t>
            </w: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ascii="宋体" w:hAnsi="宋体" w:eastAsia="宋体" w:cs="仿宋_GB2312"/>
                <w:color w:val="auto"/>
                <w:sz w:val="18"/>
                <w:szCs w:val="18"/>
              </w:rPr>
              <w:t>SZ-J-02012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24</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南岭村</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龙岗区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深圳市龙岗区南湾街道</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both"/>
              <w:rPr>
                <w:rFonts w:ascii="宋体" w:hAnsi="宋体" w:eastAsia="宋体" w:cs="仿宋_GB2312"/>
                <w:bCs/>
                <w:color w:val="auto"/>
                <w:kern w:val="0"/>
                <w:sz w:val="18"/>
                <w:szCs w:val="18"/>
              </w:rPr>
            </w:pP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25</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沙头角保税区</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盐田区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r>
              <w:rPr>
                <w:rFonts w:hint="eastAsia" w:ascii="宋体" w:hAnsi="宋体" w:eastAsia="宋体" w:cs="仿宋_GB2312"/>
                <w:color w:val="auto"/>
                <w:sz w:val="18"/>
                <w:szCs w:val="18"/>
              </w:rPr>
              <w:t>深圳东部的盐田，东距华南最大国际集装箱港盐田港</w:t>
            </w:r>
            <w:r>
              <w:rPr>
                <w:rFonts w:ascii="宋体" w:hAnsi="宋体" w:eastAsia="宋体" w:cs="仿宋_GB2312"/>
                <w:color w:val="auto"/>
                <w:sz w:val="18"/>
                <w:szCs w:val="18"/>
              </w:rPr>
              <w:t>1公里</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26</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Style w:val="52"/>
                <w:rFonts w:hint="eastAsia" w:ascii="宋体" w:hAnsi="宋体" w:eastAsia="宋体"/>
                <w:color w:val="auto"/>
                <w:sz w:val="18"/>
                <w:szCs w:val="18"/>
              </w:rPr>
              <w:t>南海酒店</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Fonts w:hint="eastAsia" w:ascii="宋体" w:hAnsi="宋体" w:eastAsia="宋体"/>
                <w:color w:val="auto"/>
                <w:sz w:val="18"/>
                <w:szCs w:val="18"/>
              </w:rPr>
              <w:t>南山区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shd w:val="clear" w:color="auto" w:fill="F9F9F9"/>
              </w:rPr>
            </w:pPr>
            <w:r>
              <w:rPr>
                <w:rFonts w:hint="eastAsia" w:ascii="宋体" w:hAnsi="宋体" w:eastAsia="宋体"/>
                <w:color w:val="auto"/>
                <w:sz w:val="18"/>
                <w:szCs w:val="18"/>
                <w:shd w:val="clear" w:color="auto" w:fill="F9F9F9"/>
              </w:rPr>
              <w:t>深圳市南山区蛇口工业区工业一路</w:t>
            </w:r>
            <w:r>
              <w:rPr>
                <w:rFonts w:ascii="宋体" w:hAnsi="宋体" w:eastAsia="宋体"/>
                <w:color w:val="auto"/>
                <w:sz w:val="18"/>
                <w:szCs w:val="18"/>
                <w:shd w:val="clear" w:color="auto" w:fill="F9F9F9"/>
              </w:rPr>
              <w:t>1</w:t>
            </w:r>
            <w:r>
              <w:rPr>
                <w:rFonts w:hint="eastAsia" w:ascii="宋体" w:hAnsi="宋体" w:eastAsia="宋体"/>
                <w:color w:val="auto"/>
                <w:sz w:val="18"/>
                <w:szCs w:val="18"/>
                <w:shd w:val="clear" w:color="auto" w:fill="F9F9F9"/>
              </w:rPr>
              <w:t>号</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27</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Style w:val="52"/>
                <w:rFonts w:hint="eastAsia" w:ascii="宋体" w:hAnsi="宋体" w:eastAsia="宋体"/>
                <w:color w:val="auto"/>
                <w:sz w:val="18"/>
                <w:szCs w:val="18"/>
              </w:rPr>
              <w:t>渔民村</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Fonts w:hint="eastAsia" w:ascii="宋体" w:hAnsi="宋体" w:eastAsia="宋体"/>
                <w:color w:val="auto"/>
                <w:sz w:val="18"/>
                <w:szCs w:val="18"/>
              </w:rPr>
              <w:t>罗湖区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shd w:val="clear" w:color="auto" w:fill="F9F9F9"/>
              </w:rPr>
            </w:pPr>
            <w:r>
              <w:rPr>
                <w:rFonts w:hint="eastAsia" w:ascii="宋体" w:hAnsi="宋体" w:eastAsia="宋体"/>
                <w:color w:val="auto"/>
                <w:sz w:val="18"/>
                <w:szCs w:val="18"/>
                <w:shd w:val="clear" w:color="auto" w:fill="F9F9F9"/>
              </w:rPr>
              <w:t>深圳市罗湖区和平路</w:t>
            </w:r>
            <w:r>
              <w:rPr>
                <w:rFonts w:ascii="宋体" w:hAnsi="宋体" w:eastAsia="宋体"/>
                <w:color w:val="auto"/>
                <w:sz w:val="18"/>
                <w:szCs w:val="18"/>
                <w:shd w:val="clear" w:color="auto" w:fill="F9F9F9"/>
              </w:rPr>
              <w:t>1036</w:t>
            </w:r>
            <w:r>
              <w:rPr>
                <w:rFonts w:hint="eastAsia" w:ascii="宋体" w:hAnsi="宋体" w:eastAsia="宋体"/>
                <w:color w:val="auto"/>
                <w:sz w:val="18"/>
                <w:szCs w:val="18"/>
                <w:shd w:val="clear" w:color="auto" w:fill="F9F9F9"/>
              </w:rPr>
              <w:t>号</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28</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Style w:val="52"/>
                <w:rFonts w:hint="eastAsia" w:ascii="宋体" w:hAnsi="宋体" w:eastAsia="宋体"/>
                <w:color w:val="auto"/>
                <w:sz w:val="18"/>
                <w:szCs w:val="18"/>
              </w:rPr>
              <w:t>“空谈误国，实干兴邦”标语牌</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Fonts w:hint="eastAsia" w:ascii="宋体" w:hAnsi="宋体" w:eastAsia="宋体"/>
                <w:color w:val="auto"/>
                <w:sz w:val="18"/>
                <w:szCs w:val="18"/>
              </w:rPr>
              <w:t>南山区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shd w:val="clear" w:color="auto" w:fill="F9F9F9"/>
              </w:rPr>
            </w:pPr>
            <w:r>
              <w:rPr>
                <w:rFonts w:hint="eastAsia" w:ascii="宋体" w:hAnsi="宋体" w:eastAsia="宋体"/>
                <w:color w:val="auto"/>
                <w:sz w:val="18"/>
                <w:szCs w:val="18"/>
                <w:shd w:val="clear" w:color="auto" w:fill="F9F9F9"/>
              </w:rPr>
              <w:t>深圳蛇口工业大道</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29</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Style w:val="52"/>
                <w:rFonts w:hint="eastAsia" w:ascii="宋体" w:hAnsi="宋体" w:eastAsia="宋体"/>
                <w:color w:val="auto"/>
                <w:sz w:val="18"/>
                <w:szCs w:val="18"/>
              </w:rPr>
              <w:t>袁庚像</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Fonts w:hint="eastAsia" w:ascii="宋体" w:hAnsi="宋体" w:eastAsia="宋体"/>
                <w:color w:val="auto"/>
                <w:sz w:val="18"/>
                <w:szCs w:val="18"/>
              </w:rPr>
              <w:t>南山区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shd w:val="clear" w:color="auto" w:fill="F9F9F9"/>
              </w:rPr>
            </w:pPr>
            <w:r>
              <w:rPr>
                <w:rFonts w:hint="eastAsia" w:ascii="宋体" w:hAnsi="宋体" w:eastAsia="宋体"/>
                <w:color w:val="auto"/>
                <w:sz w:val="18"/>
                <w:szCs w:val="18"/>
                <w:shd w:val="clear" w:color="auto" w:fill="F9F9F9"/>
              </w:rPr>
              <w:t>南山区</w:t>
            </w:r>
            <w:r>
              <w:rPr>
                <w:rFonts w:ascii="宋体" w:hAnsi="宋体" w:eastAsia="宋体"/>
                <w:color w:val="auto"/>
                <w:sz w:val="18"/>
                <w:szCs w:val="18"/>
                <w:shd w:val="clear" w:color="auto" w:fill="F9F9F9"/>
              </w:rPr>
              <w:t xml:space="preserve"> </w:t>
            </w:r>
            <w:r>
              <w:rPr>
                <w:rFonts w:hint="eastAsia" w:ascii="宋体" w:hAnsi="宋体" w:eastAsia="宋体"/>
                <w:color w:val="auto"/>
                <w:sz w:val="18"/>
                <w:szCs w:val="18"/>
                <w:shd w:val="clear" w:color="auto" w:fill="F9F9F9"/>
              </w:rPr>
              <w:t>蛇口</w:t>
            </w:r>
            <w:r>
              <w:rPr>
                <w:rFonts w:ascii="宋体" w:hAnsi="宋体" w:eastAsia="宋体"/>
                <w:color w:val="auto"/>
                <w:sz w:val="18"/>
                <w:szCs w:val="18"/>
                <w:shd w:val="clear" w:color="auto" w:fill="F9F9F9"/>
              </w:rPr>
              <w:t xml:space="preserve"> </w:t>
            </w:r>
            <w:r>
              <w:rPr>
                <w:rFonts w:hint="eastAsia" w:ascii="宋体" w:hAnsi="宋体" w:eastAsia="宋体"/>
                <w:color w:val="auto"/>
                <w:sz w:val="18"/>
                <w:szCs w:val="18"/>
                <w:shd w:val="clear" w:color="auto" w:fill="F9F9F9"/>
              </w:rPr>
              <w:t>工业二路海上世界文化艺术中心南广场</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30</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Style w:val="52"/>
                <w:rFonts w:hint="eastAsia" w:ascii="宋体" w:hAnsi="宋体" w:eastAsia="宋体"/>
                <w:color w:val="auto"/>
                <w:sz w:val="18"/>
                <w:szCs w:val="18"/>
              </w:rPr>
              <w:t>三洋厂房</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Fonts w:hint="eastAsia" w:ascii="宋体" w:hAnsi="宋体" w:eastAsia="宋体"/>
                <w:color w:val="auto"/>
                <w:sz w:val="18"/>
                <w:szCs w:val="18"/>
              </w:rPr>
              <w:t>南山区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shd w:val="clear" w:color="auto" w:fill="F9F9F9"/>
              </w:rPr>
            </w:pPr>
            <w:r>
              <w:rPr>
                <w:rFonts w:hint="eastAsia" w:ascii="宋体" w:hAnsi="宋体" w:eastAsia="宋体"/>
                <w:color w:val="auto"/>
                <w:sz w:val="18"/>
                <w:szCs w:val="18"/>
                <w:shd w:val="clear" w:color="auto" w:fill="F9F9F9"/>
              </w:rPr>
              <w:t>南山区蛇口太子路</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31</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Style w:val="52"/>
                <w:rFonts w:hint="eastAsia" w:ascii="宋体" w:hAnsi="宋体" w:eastAsia="宋体"/>
                <w:color w:val="auto"/>
                <w:sz w:val="18"/>
                <w:szCs w:val="18"/>
              </w:rPr>
              <w:t>明华轮</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Fonts w:hint="eastAsia" w:ascii="宋体" w:hAnsi="宋体" w:eastAsia="宋体"/>
                <w:color w:val="auto"/>
                <w:sz w:val="18"/>
                <w:szCs w:val="18"/>
              </w:rPr>
              <w:t>南山区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shd w:val="clear" w:color="auto" w:fill="F9F9F9"/>
              </w:rPr>
            </w:pPr>
            <w:r>
              <w:rPr>
                <w:rFonts w:hint="eastAsia" w:ascii="宋体" w:hAnsi="宋体" w:eastAsia="宋体"/>
                <w:color w:val="auto"/>
                <w:sz w:val="18"/>
                <w:szCs w:val="18"/>
                <w:shd w:val="clear" w:color="auto" w:fill="F9F9F9"/>
              </w:rPr>
              <w:t>南山区太子路海上世界广场</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32</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Style w:val="52"/>
                <w:rFonts w:hint="eastAsia" w:ascii="宋体" w:hAnsi="宋体" w:eastAsia="宋体"/>
                <w:color w:val="auto"/>
                <w:sz w:val="18"/>
                <w:szCs w:val="18"/>
              </w:rPr>
              <w:t>深圳大学（汇典楼、汇元楼、汇紫楼）</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Fonts w:hint="eastAsia" w:ascii="宋体" w:hAnsi="宋体" w:eastAsia="宋体"/>
                <w:color w:val="auto"/>
                <w:sz w:val="18"/>
                <w:szCs w:val="18"/>
              </w:rPr>
              <w:t>南山区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shd w:val="clear" w:color="auto" w:fill="F9F9F9"/>
              </w:rPr>
            </w:pPr>
            <w:r>
              <w:rPr>
                <w:rFonts w:hint="eastAsia" w:ascii="宋体" w:hAnsi="宋体" w:eastAsia="宋体"/>
                <w:color w:val="auto"/>
                <w:sz w:val="18"/>
                <w:szCs w:val="18"/>
                <w:shd w:val="clear" w:color="auto" w:fill="F9F9F9"/>
              </w:rPr>
              <w:t>南山区南海大道</w:t>
            </w:r>
            <w:r>
              <w:rPr>
                <w:rFonts w:ascii="宋体" w:hAnsi="宋体" w:eastAsia="宋体"/>
                <w:color w:val="auto"/>
                <w:sz w:val="18"/>
                <w:szCs w:val="18"/>
                <w:shd w:val="clear" w:color="auto" w:fill="F9F9F9"/>
              </w:rPr>
              <w:t>3688</w:t>
            </w:r>
            <w:r>
              <w:rPr>
                <w:rFonts w:hint="eastAsia" w:ascii="宋体" w:hAnsi="宋体" w:eastAsia="宋体"/>
                <w:color w:val="auto"/>
                <w:sz w:val="18"/>
                <w:szCs w:val="18"/>
                <w:shd w:val="clear" w:color="auto" w:fill="F9F9F9"/>
              </w:rPr>
              <w:t>号</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33</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Style w:val="52"/>
                <w:rFonts w:hint="eastAsia" w:ascii="宋体" w:hAnsi="宋体" w:eastAsia="宋体"/>
                <w:color w:val="auto"/>
                <w:sz w:val="18"/>
                <w:szCs w:val="18"/>
              </w:rPr>
              <w:t>锦绣中华民俗村</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Fonts w:hint="eastAsia" w:ascii="宋体" w:hAnsi="宋体" w:eastAsia="宋体"/>
                <w:color w:val="auto"/>
                <w:sz w:val="18"/>
                <w:szCs w:val="18"/>
              </w:rPr>
              <w:t>南山区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shd w:val="clear" w:color="auto" w:fill="F9F9F9"/>
              </w:rPr>
            </w:pPr>
            <w:r>
              <w:rPr>
                <w:rFonts w:hint="eastAsia" w:ascii="宋体" w:hAnsi="宋体" w:eastAsia="宋体"/>
                <w:color w:val="auto"/>
                <w:sz w:val="18"/>
                <w:szCs w:val="18"/>
                <w:shd w:val="clear" w:color="auto" w:fill="F9F9F9"/>
              </w:rPr>
              <w:t>南山区深南大道中段西端华侨城</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34</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Style w:val="52"/>
                <w:rFonts w:hint="eastAsia" w:ascii="宋体" w:hAnsi="宋体" w:eastAsia="宋体"/>
                <w:color w:val="auto"/>
                <w:sz w:val="18"/>
                <w:szCs w:val="18"/>
              </w:rPr>
              <w:t>世界之窗</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Fonts w:hint="eastAsia" w:ascii="宋体" w:hAnsi="宋体" w:eastAsia="宋体"/>
                <w:color w:val="auto"/>
                <w:sz w:val="18"/>
                <w:szCs w:val="18"/>
              </w:rPr>
              <w:t>南山区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shd w:val="clear" w:color="auto" w:fill="F9F9F9"/>
              </w:rPr>
            </w:pPr>
            <w:r>
              <w:rPr>
                <w:rFonts w:hint="eastAsia" w:ascii="宋体" w:hAnsi="宋体" w:eastAsia="宋体"/>
                <w:color w:val="auto"/>
                <w:sz w:val="18"/>
                <w:szCs w:val="18"/>
                <w:shd w:val="clear" w:color="auto" w:fill="F9F9F9"/>
              </w:rPr>
              <w:t>深圳南山大道</w:t>
            </w:r>
            <w:r>
              <w:rPr>
                <w:rFonts w:ascii="宋体" w:hAnsi="宋体" w:eastAsia="宋体"/>
                <w:color w:val="auto"/>
                <w:sz w:val="18"/>
                <w:szCs w:val="18"/>
                <w:shd w:val="clear" w:color="auto" w:fill="F9F9F9"/>
              </w:rPr>
              <w:t>9037</w:t>
            </w:r>
            <w:r>
              <w:rPr>
                <w:rFonts w:hint="eastAsia" w:ascii="宋体" w:hAnsi="宋体" w:eastAsia="宋体"/>
                <w:color w:val="auto"/>
                <w:sz w:val="18"/>
                <w:szCs w:val="18"/>
                <w:shd w:val="clear" w:color="auto" w:fill="F9F9F9"/>
              </w:rPr>
              <w:t>号</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35</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Style w:val="52"/>
                <w:rFonts w:hint="eastAsia" w:ascii="宋体" w:hAnsi="宋体" w:eastAsia="宋体"/>
                <w:color w:val="auto"/>
                <w:sz w:val="18"/>
                <w:szCs w:val="18"/>
              </w:rPr>
              <w:t>深圳市南头中学</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Fonts w:hint="eastAsia" w:ascii="宋体" w:hAnsi="宋体" w:eastAsia="宋体"/>
                <w:color w:val="auto"/>
                <w:sz w:val="18"/>
                <w:szCs w:val="18"/>
              </w:rPr>
              <w:t>南山区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shd w:val="clear" w:color="auto" w:fill="F9F9F9"/>
              </w:rPr>
            </w:pPr>
            <w:r>
              <w:rPr>
                <w:rFonts w:hint="eastAsia" w:ascii="宋体" w:hAnsi="宋体" w:eastAsia="宋体"/>
                <w:color w:val="auto"/>
                <w:sz w:val="18"/>
                <w:szCs w:val="18"/>
                <w:shd w:val="clear" w:color="auto" w:fill="F9F9F9"/>
              </w:rPr>
              <w:t>南山区深南大道</w:t>
            </w:r>
            <w:r>
              <w:rPr>
                <w:rFonts w:ascii="宋体" w:hAnsi="宋体" w:eastAsia="宋体"/>
                <w:color w:val="auto"/>
                <w:sz w:val="18"/>
                <w:szCs w:val="18"/>
                <w:shd w:val="clear" w:color="auto" w:fill="F9F9F9"/>
              </w:rPr>
              <w:t>12034</w:t>
            </w:r>
            <w:r>
              <w:rPr>
                <w:rFonts w:hint="eastAsia" w:ascii="宋体" w:hAnsi="宋体" w:eastAsia="宋体"/>
                <w:color w:val="auto"/>
                <w:sz w:val="18"/>
                <w:szCs w:val="18"/>
                <w:shd w:val="clear" w:color="auto" w:fill="F9F9F9"/>
              </w:rPr>
              <w:t>号</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36</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Style w:val="52"/>
                <w:rFonts w:hint="eastAsia" w:ascii="宋体" w:hAnsi="宋体" w:eastAsia="宋体"/>
                <w:color w:val="auto"/>
                <w:sz w:val="18"/>
                <w:szCs w:val="18"/>
              </w:rPr>
              <w:t>深圳大学城</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Fonts w:hint="eastAsia" w:ascii="宋体" w:hAnsi="宋体" w:eastAsia="宋体"/>
                <w:color w:val="auto"/>
                <w:sz w:val="18"/>
                <w:szCs w:val="18"/>
              </w:rPr>
              <w:t>南山区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shd w:val="clear" w:color="auto" w:fill="F9F9F9"/>
              </w:rPr>
            </w:pPr>
            <w:r>
              <w:rPr>
                <w:rFonts w:hint="eastAsia" w:ascii="宋体" w:hAnsi="宋体" w:eastAsia="宋体"/>
                <w:color w:val="auto"/>
                <w:sz w:val="18"/>
                <w:szCs w:val="18"/>
                <w:shd w:val="clear" w:color="auto" w:fill="F9F9F9"/>
              </w:rPr>
              <w:t>南山区北部</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37</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Style w:val="52"/>
                <w:rFonts w:hint="eastAsia" w:ascii="宋体" w:hAnsi="宋体" w:eastAsia="宋体"/>
                <w:color w:val="auto"/>
                <w:sz w:val="18"/>
                <w:szCs w:val="18"/>
              </w:rPr>
              <w:t>深圳火车站</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Fonts w:hint="eastAsia" w:ascii="宋体" w:hAnsi="宋体" w:eastAsia="宋体"/>
                <w:color w:val="auto"/>
                <w:sz w:val="18"/>
                <w:szCs w:val="18"/>
              </w:rPr>
              <w:t>罗湖区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shd w:val="clear" w:color="auto" w:fill="F9F9F9"/>
              </w:rPr>
            </w:pPr>
            <w:r>
              <w:rPr>
                <w:rFonts w:hint="eastAsia" w:ascii="宋体" w:hAnsi="宋体" w:eastAsia="宋体"/>
                <w:color w:val="auto"/>
                <w:sz w:val="18"/>
                <w:szCs w:val="18"/>
                <w:shd w:val="clear" w:color="auto" w:fill="F9F9F9"/>
              </w:rPr>
              <w:t>罗湖区建设路</w:t>
            </w:r>
            <w:r>
              <w:rPr>
                <w:rFonts w:ascii="宋体" w:hAnsi="宋体" w:eastAsia="宋体"/>
                <w:color w:val="auto"/>
                <w:sz w:val="18"/>
                <w:szCs w:val="18"/>
                <w:shd w:val="clear" w:color="auto" w:fill="F9F9F9"/>
              </w:rPr>
              <w:t>1003</w:t>
            </w:r>
            <w:r>
              <w:rPr>
                <w:rFonts w:hint="eastAsia" w:ascii="宋体" w:hAnsi="宋体" w:eastAsia="宋体"/>
                <w:color w:val="auto"/>
                <w:sz w:val="18"/>
                <w:szCs w:val="18"/>
                <w:shd w:val="clear" w:color="auto" w:fill="F9F9F9"/>
              </w:rPr>
              <w:t>号</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38</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Style w:val="52"/>
                <w:rFonts w:hint="eastAsia" w:ascii="宋体" w:hAnsi="宋体" w:eastAsia="宋体"/>
                <w:color w:val="auto"/>
                <w:sz w:val="18"/>
                <w:szCs w:val="18"/>
              </w:rPr>
              <w:t>艺象</w:t>
            </w:r>
            <w:r>
              <w:rPr>
                <w:rStyle w:val="52"/>
                <w:rFonts w:ascii="宋体" w:hAnsi="宋体" w:eastAsia="宋体"/>
                <w:color w:val="auto"/>
                <w:sz w:val="18"/>
                <w:szCs w:val="18"/>
              </w:rPr>
              <w:t xml:space="preserve">ID TOWN </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Fonts w:hint="eastAsia" w:ascii="宋体" w:hAnsi="宋体" w:eastAsia="宋体"/>
                <w:color w:val="auto"/>
                <w:sz w:val="18"/>
                <w:szCs w:val="18"/>
              </w:rPr>
              <w:t>大鹏新区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shd w:val="clear" w:color="auto" w:fill="F9F9F9"/>
              </w:rPr>
            </w:pPr>
            <w:r>
              <w:rPr>
                <w:rFonts w:hint="eastAsia" w:ascii="宋体" w:hAnsi="宋体" w:eastAsia="宋体"/>
                <w:color w:val="auto"/>
                <w:sz w:val="18"/>
                <w:szCs w:val="18"/>
                <w:shd w:val="clear" w:color="auto" w:fill="F9F9F9"/>
              </w:rPr>
              <w:t>大鹏新区葵涌街道葵鹏公路</w:t>
            </w:r>
            <w:r>
              <w:rPr>
                <w:rFonts w:ascii="宋体" w:hAnsi="宋体" w:eastAsia="宋体"/>
                <w:color w:val="auto"/>
                <w:sz w:val="18"/>
                <w:szCs w:val="18"/>
                <w:shd w:val="clear" w:color="auto" w:fill="F9F9F9"/>
              </w:rPr>
              <w:t>106</w:t>
            </w:r>
            <w:r>
              <w:rPr>
                <w:rFonts w:hint="eastAsia" w:ascii="宋体" w:hAnsi="宋体" w:eastAsia="宋体"/>
                <w:color w:val="auto"/>
                <w:sz w:val="18"/>
                <w:szCs w:val="18"/>
                <w:shd w:val="clear" w:color="auto" w:fill="F9F9F9"/>
              </w:rPr>
              <w:t>号</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39</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Style w:val="52"/>
                <w:rFonts w:hint="eastAsia" w:ascii="宋体" w:hAnsi="宋体" w:eastAsia="宋体"/>
                <w:color w:val="auto"/>
                <w:sz w:val="18"/>
                <w:szCs w:val="18"/>
              </w:rPr>
              <w:t>大亚湾核电站</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Fonts w:hint="eastAsia" w:ascii="宋体" w:hAnsi="宋体" w:eastAsia="宋体"/>
                <w:color w:val="auto"/>
                <w:sz w:val="18"/>
                <w:szCs w:val="18"/>
              </w:rPr>
              <w:t>大鹏新区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shd w:val="clear" w:color="auto" w:fill="F9F9F9"/>
              </w:rPr>
            </w:pPr>
            <w:r>
              <w:rPr>
                <w:rFonts w:hint="eastAsia" w:ascii="宋体" w:hAnsi="宋体" w:eastAsia="宋体"/>
                <w:color w:val="auto"/>
                <w:sz w:val="18"/>
                <w:szCs w:val="18"/>
                <w:shd w:val="clear" w:color="auto" w:fill="F9F9F9"/>
              </w:rPr>
              <w:t>大鹏新区大鹏镇大棚街道鹏城社区</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40</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Style w:val="52"/>
                <w:rFonts w:hint="eastAsia" w:ascii="宋体" w:hAnsi="宋体" w:eastAsia="宋体"/>
                <w:color w:val="auto"/>
                <w:sz w:val="18"/>
                <w:szCs w:val="18"/>
              </w:rPr>
              <w:t>盐田国际集装箱码头</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Fonts w:hint="eastAsia" w:ascii="宋体" w:hAnsi="宋体" w:eastAsia="宋体"/>
                <w:color w:val="auto"/>
                <w:sz w:val="18"/>
                <w:szCs w:val="18"/>
              </w:rPr>
              <w:t>盐田</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shd w:val="clear" w:color="auto" w:fill="F9F9F9"/>
              </w:rPr>
            </w:pPr>
            <w:r>
              <w:rPr>
                <w:rFonts w:hint="eastAsia" w:ascii="宋体" w:hAnsi="宋体" w:eastAsia="宋体"/>
                <w:color w:val="auto"/>
                <w:sz w:val="18"/>
                <w:szCs w:val="18"/>
                <w:shd w:val="clear" w:color="auto" w:fill="F9F9F9"/>
              </w:rPr>
              <w:t>深圳市盐田区盐田港</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41</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Style w:val="52"/>
                <w:rFonts w:hint="eastAsia" w:ascii="宋体" w:hAnsi="宋体" w:eastAsia="宋体"/>
                <w:color w:val="auto"/>
                <w:sz w:val="18"/>
                <w:szCs w:val="18"/>
              </w:rPr>
              <w:t>大芬油画村</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Fonts w:hint="eastAsia" w:ascii="宋体" w:hAnsi="宋体" w:eastAsia="宋体"/>
                <w:color w:val="auto"/>
                <w:sz w:val="18"/>
                <w:szCs w:val="18"/>
              </w:rPr>
              <w:t>龙岗区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shd w:val="clear" w:color="auto" w:fill="F9F9F9"/>
              </w:rPr>
            </w:pPr>
            <w:r>
              <w:rPr>
                <w:rFonts w:hint="eastAsia" w:ascii="宋体" w:hAnsi="宋体" w:eastAsia="宋体"/>
                <w:color w:val="auto"/>
                <w:sz w:val="18"/>
                <w:szCs w:val="18"/>
                <w:shd w:val="clear" w:color="auto" w:fill="F9F9F9"/>
              </w:rPr>
              <w:t>深圳市布吉街道</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r>
              <w:rPr>
                <w:rFonts w:ascii="宋体" w:hAnsi="宋体" w:eastAsia="宋体" w:cs="仿宋_GB2312"/>
                <w:bCs/>
                <w:color w:val="auto"/>
                <w:kern w:val="0"/>
                <w:sz w:val="18"/>
                <w:szCs w:val="18"/>
              </w:rPr>
              <w:t>42</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Style w:val="52"/>
                <w:rFonts w:hint="eastAsia" w:ascii="宋体" w:hAnsi="宋体" w:eastAsia="宋体"/>
                <w:color w:val="auto"/>
                <w:sz w:val="18"/>
                <w:szCs w:val="18"/>
              </w:rPr>
              <w:t>深圳劳务工博物馆</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rPr>
            </w:pPr>
            <w:r>
              <w:rPr>
                <w:rFonts w:hint="eastAsia" w:ascii="宋体" w:hAnsi="宋体" w:eastAsia="宋体"/>
                <w:color w:val="auto"/>
                <w:sz w:val="18"/>
                <w:szCs w:val="18"/>
              </w:rPr>
              <w:t>宝安区</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olor w:val="auto"/>
                <w:sz w:val="18"/>
                <w:szCs w:val="18"/>
                <w:shd w:val="clear" w:color="auto" w:fill="F9F9F9"/>
              </w:rPr>
            </w:pPr>
            <w:r>
              <w:rPr>
                <w:rFonts w:hint="eastAsia" w:ascii="宋体" w:hAnsi="宋体" w:eastAsia="宋体"/>
                <w:color w:val="auto"/>
                <w:sz w:val="18"/>
                <w:szCs w:val="18"/>
                <w:shd w:val="clear" w:color="auto" w:fill="F9F9F9"/>
              </w:rPr>
              <w:t>宝安区石岩街道上屋社区永和路</w:t>
            </w:r>
            <w:r>
              <w:rPr>
                <w:rFonts w:ascii="宋体" w:hAnsi="宋体" w:eastAsia="宋体"/>
                <w:color w:val="auto"/>
                <w:sz w:val="18"/>
                <w:szCs w:val="18"/>
                <w:shd w:val="clear" w:color="auto" w:fill="F9F9F9"/>
              </w:rPr>
              <w:t>6</w:t>
            </w:r>
            <w:r>
              <w:rPr>
                <w:rFonts w:hint="eastAsia" w:ascii="宋体" w:hAnsi="宋体" w:eastAsia="宋体"/>
                <w:color w:val="auto"/>
                <w:sz w:val="18"/>
                <w:szCs w:val="18"/>
                <w:shd w:val="clear" w:color="auto" w:fill="F9F9F9"/>
              </w:rPr>
              <w:t>号</w:t>
            </w:r>
          </w:p>
        </w:tc>
        <w:tc>
          <w:tcPr>
            <w:tcW w:w="52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bCs/>
                <w:color w:val="auto"/>
                <w:kern w:val="0"/>
                <w:sz w:val="18"/>
                <w:szCs w:val="18"/>
              </w:rPr>
            </w:pPr>
          </w:p>
        </w:tc>
        <w:tc>
          <w:tcPr>
            <w:tcW w:w="348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eastAsia="宋体" w:cs="仿宋_GB2312"/>
                <w:color w:val="auto"/>
                <w:sz w:val="18"/>
                <w:szCs w:val="18"/>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sectPr>
          <w:pgSz w:w="23811" w:h="16838" w:orient="landscape"/>
          <w:pgMar w:top="1800" w:right="1440" w:bottom="1800" w:left="1440" w:header="851" w:footer="992" w:gutter="0"/>
          <w:cols w:space="1051" w:num="1"/>
          <w:docGrid w:type="lines" w:linePitch="312" w:charSpace="0"/>
        </w:sectPr>
      </w:pPr>
    </w:p>
    <w:p>
      <w:pPr>
        <w:pStyle w:val="2"/>
        <w:rPr>
          <w:color w:val="auto"/>
        </w:rPr>
      </w:pPr>
      <w:bookmarkStart w:id="355" w:name="_Toc22492"/>
      <w:bookmarkStart w:id="356" w:name="_Toc363"/>
      <w:bookmarkStart w:id="357" w:name="_Toc6162"/>
      <w:bookmarkStart w:id="358" w:name="_Toc19494"/>
      <w:bookmarkStart w:id="359" w:name="_Toc18047"/>
      <w:bookmarkStart w:id="360" w:name="_Toc114072218"/>
      <w:bookmarkStart w:id="361" w:name="_Toc93717256"/>
      <w:bookmarkStart w:id="362" w:name="_Toc7573"/>
      <w:r>
        <w:rPr>
          <w:rFonts w:hint="eastAsia"/>
          <w:color w:val="auto"/>
        </w:rPr>
        <w:t>附录三：重要史迹现状综合评估标准</w:t>
      </w:r>
      <w:bookmarkEnd w:id="355"/>
      <w:bookmarkEnd w:id="356"/>
      <w:bookmarkEnd w:id="357"/>
      <w:bookmarkEnd w:id="358"/>
      <w:bookmarkEnd w:id="359"/>
      <w:bookmarkEnd w:id="360"/>
      <w:bookmarkEnd w:id="361"/>
      <w:bookmarkEnd w:id="362"/>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701"/>
        <w:gridCol w:w="457"/>
        <w:gridCol w:w="4735"/>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gridSpan w:val="2"/>
            <w:shd w:val="clear" w:color="auto" w:fill="E7E6E6" w:themeFill="background2"/>
            <w:vAlign w:val="center"/>
          </w:tcPr>
          <w:p>
            <w:pPr>
              <w:pStyle w:val="8"/>
              <w:spacing w:line="240" w:lineRule="auto"/>
              <w:ind w:firstLine="0" w:firstLineChars="0"/>
              <w:rPr>
                <w:b/>
                <w:color w:val="auto"/>
              </w:rPr>
            </w:pPr>
            <w:r>
              <w:rPr>
                <w:rFonts w:hint="eastAsia"/>
                <w:b/>
                <w:color w:val="auto"/>
              </w:rPr>
              <w:t>评估指标</w:t>
            </w:r>
          </w:p>
        </w:tc>
        <w:tc>
          <w:tcPr>
            <w:tcW w:w="457" w:type="dxa"/>
            <w:shd w:val="clear" w:color="auto" w:fill="E7E6E6" w:themeFill="background2"/>
            <w:vAlign w:val="center"/>
          </w:tcPr>
          <w:p>
            <w:pPr>
              <w:pStyle w:val="8"/>
              <w:spacing w:line="240" w:lineRule="auto"/>
              <w:ind w:firstLine="0" w:firstLineChars="0"/>
              <w:rPr>
                <w:b/>
                <w:color w:val="auto"/>
              </w:rPr>
            </w:pPr>
            <w:r>
              <w:rPr>
                <w:rFonts w:hint="eastAsia"/>
                <w:b/>
                <w:color w:val="auto"/>
              </w:rPr>
              <w:t>权重</w:t>
            </w:r>
          </w:p>
        </w:tc>
        <w:tc>
          <w:tcPr>
            <w:tcW w:w="4735" w:type="dxa"/>
            <w:shd w:val="clear" w:color="auto" w:fill="E7E6E6" w:themeFill="background2"/>
            <w:vAlign w:val="center"/>
          </w:tcPr>
          <w:p>
            <w:pPr>
              <w:pStyle w:val="8"/>
              <w:spacing w:line="240" w:lineRule="auto"/>
              <w:ind w:firstLine="0" w:firstLineChars="0"/>
              <w:rPr>
                <w:b/>
                <w:color w:val="auto"/>
              </w:rPr>
            </w:pPr>
            <w:r>
              <w:rPr>
                <w:rFonts w:hint="eastAsia"/>
                <w:b/>
                <w:color w:val="auto"/>
              </w:rPr>
              <w:t>评估标准</w:t>
            </w:r>
          </w:p>
        </w:tc>
        <w:tc>
          <w:tcPr>
            <w:tcW w:w="817" w:type="dxa"/>
            <w:shd w:val="clear" w:color="auto" w:fill="E7E6E6" w:themeFill="background2"/>
            <w:vAlign w:val="center"/>
          </w:tcPr>
          <w:p>
            <w:pPr>
              <w:pStyle w:val="8"/>
              <w:spacing w:line="240" w:lineRule="auto"/>
              <w:ind w:firstLine="0" w:firstLineChars="0"/>
              <w:rPr>
                <w:b/>
                <w:color w:val="auto"/>
              </w:rPr>
            </w:pPr>
            <w:r>
              <w:rPr>
                <w:rFonts w:hint="eastAsia"/>
                <w:b/>
                <w:color w:val="auto"/>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pPr>
              <w:pStyle w:val="8"/>
              <w:spacing w:line="240" w:lineRule="auto"/>
              <w:ind w:firstLine="0" w:firstLineChars="0"/>
              <w:rPr>
                <w:color w:val="auto"/>
              </w:rPr>
            </w:pPr>
            <w:r>
              <w:rPr>
                <w:rFonts w:hint="eastAsia"/>
                <w:color w:val="auto"/>
              </w:rPr>
              <w:t>价值（</w:t>
            </w:r>
            <w:r>
              <w:rPr>
                <w:color w:val="auto"/>
              </w:rPr>
              <w:t>40</w:t>
            </w:r>
            <w:r>
              <w:rPr>
                <w:rFonts w:hint="eastAsia"/>
                <w:color w:val="auto"/>
              </w:rPr>
              <w:t>分）</w:t>
            </w:r>
          </w:p>
        </w:tc>
        <w:tc>
          <w:tcPr>
            <w:tcW w:w="1701" w:type="dxa"/>
            <w:vAlign w:val="center"/>
          </w:tcPr>
          <w:p>
            <w:pPr>
              <w:pStyle w:val="8"/>
              <w:spacing w:line="240" w:lineRule="auto"/>
              <w:ind w:firstLine="0" w:firstLineChars="0"/>
              <w:rPr>
                <w:color w:val="auto"/>
              </w:rPr>
            </w:pPr>
            <w:r>
              <w:rPr>
                <w:color w:val="auto"/>
              </w:rPr>
              <w:t>1</w:t>
            </w:r>
            <w:r>
              <w:rPr>
                <w:rFonts w:hint="eastAsia"/>
                <w:color w:val="auto"/>
              </w:rPr>
              <w:t>、历史价值</w:t>
            </w:r>
          </w:p>
        </w:tc>
        <w:tc>
          <w:tcPr>
            <w:tcW w:w="457" w:type="dxa"/>
            <w:vAlign w:val="center"/>
          </w:tcPr>
          <w:p>
            <w:pPr>
              <w:pStyle w:val="8"/>
              <w:spacing w:line="240" w:lineRule="auto"/>
              <w:ind w:firstLine="0" w:firstLineChars="0"/>
              <w:rPr>
                <w:color w:val="auto"/>
              </w:rPr>
            </w:pPr>
            <w:r>
              <w:rPr>
                <w:rFonts w:hint="eastAsia"/>
                <w:color w:val="auto"/>
              </w:rPr>
              <w:t>1</w:t>
            </w:r>
            <w:r>
              <w:rPr>
                <w:color w:val="auto"/>
              </w:rPr>
              <w:t>0</w:t>
            </w:r>
          </w:p>
        </w:tc>
        <w:tc>
          <w:tcPr>
            <w:tcW w:w="4735" w:type="dxa"/>
            <w:vAlign w:val="center"/>
          </w:tcPr>
          <w:p>
            <w:pPr>
              <w:pStyle w:val="8"/>
              <w:spacing w:line="240" w:lineRule="auto"/>
              <w:ind w:firstLine="0" w:firstLineChars="0"/>
              <w:rPr>
                <w:color w:val="auto"/>
              </w:rPr>
            </w:pPr>
            <w:r>
              <w:rPr>
                <w:rFonts w:hint="eastAsia"/>
                <w:color w:val="auto"/>
              </w:rPr>
              <w:t>一级：历史意义显著（</w:t>
            </w:r>
            <w:r>
              <w:rPr>
                <w:color w:val="auto"/>
              </w:rPr>
              <w:t>8</w:t>
            </w:r>
            <w:r>
              <w:rPr>
                <w:rFonts w:hint="eastAsia"/>
                <w:color w:val="auto"/>
              </w:rPr>
              <w:t>—</w:t>
            </w:r>
            <w:r>
              <w:rPr>
                <w:color w:val="auto"/>
              </w:rPr>
              <w:t>10</w:t>
            </w:r>
            <w:r>
              <w:rPr>
                <w:rFonts w:hint="eastAsia"/>
                <w:color w:val="auto"/>
              </w:rPr>
              <w:t>分）</w:t>
            </w:r>
          </w:p>
          <w:p>
            <w:pPr>
              <w:pStyle w:val="8"/>
              <w:spacing w:line="240" w:lineRule="auto"/>
              <w:ind w:firstLine="0" w:firstLineChars="0"/>
              <w:rPr>
                <w:color w:val="auto"/>
              </w:rPr>
            </w:pPr>
            <w:r>
              <w:rPr>
                <w:rFonts w:hint="eastAsia"/>
                <w:color w:val="auto"/>
              </w:rPr>
              <w:t>二级：历史意义较为显著（</w:t>
            </w:r>
            <w:r>
              <w:rPr>
                <w:color w:val="auto"/>
              </w:rPr>
              <w:t>6</w:t>
            </w:r>
            <w:r>
              <w:rPr>
                <w:rFonts w:hint="eastAsia"/>
                <w:color w:val="auto"/>
              </w:rPr>
              <w:t>—</w:t>
            </w:r>
            <w:r>
              <w:rPr>
                <w:color w:val="auto"/>
              </w:rPr>
              <w:t>7</w:t>
            </w:r>
            <w:r>
              <w:rPr>
                <w:rFonts w:hint="eastAsia"/>
                <w:color w:val="auto"/>
              </w:rPr>
              <w:t>分）</w:t>
            </w:r>
          </w:p>
          <w:p>
            <w:pPr>
              <w:pStyle w:val="8"/>
              <w:spacing w:line="240" w:lineRule="auto"/>
              <w:ind w:firstLine="0" w:firstLineChars="0"/>
              <w:rPr>
                <w:color w:val="auto"/>
              </w:rPr>
            </w:pPr>
            <w:r>
              <w:rPr>
                <w:rFonts w:hint="eastAsia"/>
                <w:color w:val="auto"/>
              </w:rPr>
              <w:t>三级：历史意义一般（</w:t>
            </w:r>
            <w:r>
              <w:rPr>
                <w:color w:val="auto"/>
              </w:rPr>
              <w:t>6</w:t>
            </w:r>
            <w:r>
              <w:rPr>
                <w:rFonts w:hint="eastAsia"/>
                <w:color w:val="auto"/>
              </w:rPr>
              <w:t>分以下）</w:t>
            </w:r>
          </w:p>
        </w:tc>
        <w:tc>
          <w:tcPr>
            <w:tcW w:w="817" w:type="dxa"/>
            <w:vAlign w:val="center"/>
          </w:tcPr>
          <w:p>
            <w:pPr>
              <w:pStyle w:val="8"/>
              <w:spacing w:line="240" w:lineRule="auto"/>
              <w:ind w:firstLine="0" w:firstLineChars="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pStyle w:val="8"/>
              <w:spacing w:line="240" w:lineRule="auto"/>
              <w:ind w:firstLine="0" w:firstLineChars="0"/>
              <w:rPr>
                <w:color w:val="auto"/>
              </w:rPr>
            </w:pPr>
          </w:p>
        </w:tc>
        <w:tc>
          <w:tcPr>
            <w:tcW w:w="1701" w:type="dxa"/>
            <w:vAlign w:val="center"/>
          </w:tcPr>
          <w:p>
            <w:pPr>
              <w:pStyle w:val="8"/>
              <w:spacing w:line="240" w:lineRule="auto"/>
              <w:ind w:firstLine="0" w:firstLineChars="0"/>
              <w:rPr>
                <w:color w:val="auto"/>
              </w:rPr>
            </w:pPr>
            <w:r>
              <w:rPr>
                <w:color w:val="auto"/>
              </w:rPr>
              <w:t>2</w:t>
            </w:r>
            <w:r>
              <w:rPr>
                <w:rFonts w:hint="eastAsia"/>
                <w:color w:val="auto"/>
              </w:rPr>
              <w:t>、科学价值</w:t>
            </w:r>
          </w:p>
        </w:tc>
        <w:tc>
          <w:tcPr>
            <w:tcW w:w="457" w:type="dxa"/>
            <w:vAlign w:val="center"/>
          </w:tcPr>
          <w:p>
            <w:pPr>
              <w:pStyle w:val="8"/>
              <w:spacing w:line="240" w:lineRule="auto"/>
              <w:ind w:firstLine="0" w:firstLineChars="0"/>
              <w:rPr>
                <w:color w:val="auto"/>
              </w:rPr>
            </w:pPr>
            <w:r>
              <w:rPr>
                <w:rFonts w:hint="eastAsia"/>
                <w:color w:val="auto"/>
              </w:rPr>
              <w:t>5</w:t>
            </w:r>
          </w:p>
        </w:tc>
        <w:tc>
          <w:tcPr>
            <w:tcW w:w="4735" w:type="dxa"/>
            <w:vAlign w:val="center"/>
          </w:tcPr>
          <w:p>
            <w:pPr>
              <w:pStyle w:val="8"/>
              <w:spacing w:line="240" w:lineRule="auto"/>
              <w:ind w:firstLine="0" w:firstLineChars="0"/>
              <w:rPr>
                <w:color w:val="auto"/>
              </w:rPr>
            </w:pPr>
            <w:r>
              <w:rPr>
                <w:rFonts w:hint="eastAsia"/>
                <w:color w:val="auto"/>
              </w:rPr>
              <w:t>一级：重要史迹主体结构体现当时先进的科学技术、先进设备等情况（4—5分）</w:t>
            </w:r>
          </w:p>
          <w:p>
            <w:pPr>
              <w:pStyle w:val="8"/>
              <w:spacing w:line="240" w:lineRule="auto"/>
              <w:ind w:firstLine="0" w:firstLineChars="0"/>
              <w:rPr>
                <w:color w:val="auto"/>
              </w:rPr>
            </w:pPr>
            <w:r>
              <w:rPr>
                <w:rFonts w:hint="eastAsia"/>
                <w:color w:val="auto"/>
              </w:rPr>
              <w:t>二级：重要史迹较能体现当时先进的科学技术、先进设备情况（3—4分）</w:t>
            </w:r>
          </w:p>
          <w:p>
            <w:pPr>
              <w:pStyle w:val="8"/>
              <w:spacing w:line="240" w:lineRule="auto"/>
              <w:ind w:firstLine="0" w:firstLineChars="0"/>
              <w:rPr>
                <w:color w:val="auto"/>
              </w:rPr>
            </w:pPr>
            <w:r>
              <w:rPr>
                <w:rFonts w:hint="eastAsia"/>
                <w:color w:val="auto"/>
              </w:rPr>
              <w:t>三级：重要史迹体现一定的科学技术、先进设备情况（3分以下）</w:t>
            </w:r>
          </w:p>
        </w:tc>
        <w:tc>
          <w:tcPr>
            <w:tcW w:w="817" w:type="dxa"/>
            <w:vAlign w:val="center"/>
          </w:tcPr>
          <w:p>
            <w:pPr>
              <w:pStyle w:val="8"/>
              <w:spacing w:line="240" w:lineRule="auto"/>
              <w:ind w:firstLine="0" w:firstLineChars="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pStyle w:val="8"/>
              <w:spacing w:line="240" w:lineRule="auto"/>
              <w:ind w:firstLine="0" w:firstLineChars="0"/>
              <w:rPr>
                <w:color w:val="auto"/>
              </w:rPr>
            </w:pPr>
          </w:p>
        </w:tc>
        <w:tc>
          <w:tcPr>
            <w:tcW w:w="1701" w:type="dxa"/>
            <w:vAlign w:val="center"/>
          </w:tcPr>
          <w:p>
            <w:pPr>
              <w:pStyle w:val="8"/>
              <w:spacing w:line="240" w:lineRule="auto"/>
              <w:ind w:firstLine="0" w:firstLineChars="0"/>
              <w:rPr>
                <w:color w:val="auto"/>
              </w:rPr>
            </w:pPr>
            <w:r>
              <w:rPr>
                <w:color w:val="auto"/>
              </w:rPr>
              <w:t>3</w:t>
            </w:r>
            <w:r>
              <w:rPr>
                <w:rFonts w:hint="eastAsia"/>
                <w:color w:val="auto"/>
              </w:rPr>
              <w:t>、社会价值</w:t>
            </w:r>
          </w:p>
        </w:tc>
        <w:tc>
          <w:tcPr>
            <w:tcW w:w="457" w:type="dxa"/>
            <w:vAlign w:val="center"/>
          </w:tcPr>
          <w:p>
            <w:pPr>
              <w:pStyle w:val="8"/>
              <w:spacing w:line="240" w:lineRule="auto"/>
              <w:ind w:firstLine="0" w:firstLineChars="0"/>
              <w:rPr>
                <w:color w:val="auto"/>
              </w:rPr>
            </w:pPr>
            <w:r>
              <w:rPr>
                <w:color w:val="auto"/>
              </w:rPr>
              <w:t>10</w:t>
            </w:r>
          </w:p>
        </w:tc>
        <w:tc>
          <w:tcPr>
            <w:tcW w:w="4735" w:type="dxa"/>
            <w:vAlign w:val="center"/>
          </w:tcPr>
          <w:p>
            <w:pPr>
              <w:pStyle w:val="8"/>
              <w:spacing w:line="240" w:lineRule="auto"/>
              <w:ind w:firstLine="0" w:firstLineChars="0"/>
              <w:rPr>
                <w:color w:val="auto"/>
              </w:rPr>
            </w:pPr>
            <w:r>
              <w:rPr>
                <w:rFonts w:hint="eastAsia"/>
                <w:color w:val="auto"/>
              </w:rPr>
              <w:t>一级：重要史迹知名度高（4—5分）</w:t>
            </w:r>
          </w:p>
          <w:p>
            <w:pPr>
              <w:pStyle w:val="8"/>
              <w:spacing w:line="240" w:lineRule="auto"/>
              <w:ind w:firstLine="0" w:firstLineChars="0"/>
              <w:rPr>
                <w:color w:val="auto"/>
              </w:rPr>
            </w:pPr>
            <w:r>
              <w:rPr>
                <w:rFonts w:hint="eastAsia"/>
                <w:color w:val="auto"/>
              </w:rPr>
              <w:t>二级：重要史迹改革开放信息提供程度较好（3—4分）</w:t>
            </w:r>
          </w:p>
          <w:p>
            <w:pPr>
              <w:pStyle w:val="8"/>
              <w:spacing w:line="240" w:lineRule="auto"/>
              <w:ind w:firstLine="0" w:firstLineChars="0"/>
              <w:rPr>
                <w:color w:val="auto"/>
              </w:rPr>
            </w:pPr>
            <w:r>
              <w:rPr>
                <w:rFonts w:hint="eastAsia"/>
                <w:color w:val="auto"/>
              </w:rPr>
              <w:t>三级：重要史迹改革开放信息提供程度一般甚至较差（3分以下）</w:t>
            </w:r>
          </w:p>
        </w:tc>
        <w:tc>
          <w:tcPr>
            <w:tcW w:w="817" w:type="dxa"/>
            <w:vAlign w:val="center"/>
          </w:tcPr>
          <w:p>
            <w:pPr>
              <w:pStyle w:val="8"/>
              <w:spacing w:line="240" w:lineRule="auto"/>
              <w:ind w:firstLine="0" w:firstLineChars="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pStyle w:val="8"/>
              <w:spacing w:line="240" w:lineRule="auto"/>
              <w:ind w:firstLine="0" w:firstLineChars="0"/>
              <w:rPr>
                <w:color w:val="auto"/>
              </w:rPr>
            </w:pPr>
          </w:p>
        </w:tc>
        <w:tc>
          <w:tcPr>
            <w:tcW w:w="1701" w:type="dxa"/>
            <w:vAlign w:val="center"/>
          </w:tcPr>
          <w:p>
            <w:pPr>
              <w:pStyle w:val="8"/>
              <w:spacing w:line="240" w:lineRule="auto"/>
              <w:ind w:firstLine="0" w:firstLineChars="0"/>
              <w:rPr>
                <w:color w:val="auto"/>
              </w:rPr>
            </w:pPr>
            <w:r>
              <w:rPr>
                <w:color w:val="auto"/>
              </w:rPr>
              <w:t>4</w:t>
            </w:r>
            <w:r>
              <w:rPr>
                <w:rFonts w:hint="eastAsia"/>
                <w:color w:val="auto"/>
              </w:rPr>
              <w:t>、文化价值</w:t>
            </w:r>
          </w:p>
        </w:tc>
        <w:tc>
          <w:tcPr>
            <w:tcW w:w="457" w:type="dxa"/>
            <w:vAlign w:val="center"/>
          </w:tcPr>
          <w:p>
            <w:pPr>
              <w:pStyle w:val="8"/>
              <w:spacing w:line="240" w:lineRule="auto"/>
              <w:ind w:firstLine="0" w:firstLineChars="0"/>
              <w:rPr>
                <w:color w:val="auto"/>
              </w:rPr>
            </w:pPr>
            <w:r>
              <w:rPr>
                <w:color w:val="auto"/>
              </w:rPr>
              <w:t>10</w:t>
            </w:r>
          </w:p>
        </w:tc>
        <w:tc>
          <w:tcPr>
            <w:tcW w:w="4735" w:type="dxa"/>
            <w:vAlign w:val="center"/>
          </w:tcPr>
          <w:p>
            <w:pPr>
              <w:pStyle w:val="8"/>
              <w:spacing w:line="240" w:lineRule="auto"/>
              <w:ind w:firstLine="0" w:firstLineChars="0"/>
              <w:rPr>
                <w:color w:val="auto"/>
              </w:rPr>
            </w:pPr>
            <w:r>
              <w:rPr>
                <w:rFonts w:hint="eastAsia"/>
                <w:color w:val="auto"/>
              </w:rPr>
              <w:t>一级：重要史迹文化情感价值极高（</w:t>
            </w:r>
            <w:r>
              <w:rPr>
                <w:color w:val="auto"/>
              </w:rPr>
              <w:t>8</w:t>
            </w:r>
            <w:r>
              <w:rPr>
                <w:rFonts w:hint="eastAsia"/>
                <w:color w:val="auto"/>
              </w:rPr>
              <w:t>—</w:t>
            </w:r>
            <w:r>
              <w:rPr>
                <w:color w:val="auto"/>
              </w:rPr>
              <w:t>10</w:t>
            </w:r>
            <w:r>
              <w:rPr>
                <w:rFonts w:hint="eastAsia"/>
                <w:color w:val="auto"/>
              </w:rPr>
              <w:t>分）</w:t>
            </w:r>
          </w:p>
          <w:p>
            <w:pPr>
              <w:pStyle w:val="8"/>
              <w:spacing w:line="240" w:lineRule="auto"/>
              <w:ind w:firstLine="0" w:firstLineChars="0"/>
              <w:rPr>
                <w:color w:val="auto"/>
              </w:rPr>
            </w:pPr>
            <w:r>
              <w:rPr>
                <w:rFonts w:hint="eastAsia"/>
                <w:color w:val="auto"/>
              </w:rPr>
              <w:t>二级：重要史迹文化情感价值较高（</w:t>
            </w:r>
            <w:r>
              <w:rPr>
                <w:color w:val="auto"/>
              </w:rPr>
              <w:t>6</w:t>
            </w:r>
            <w:r>
              <w:rPr>
                <w:rFonts w:hint="eastAsia"/>
                <w:color w:val="auto"/>
              </w:rPr>
              <w:t>—</w:t>
            </w:r>
            <w:r>
              <w:rPr>
                <w:color w:val="auto"/>
              </w:rPr>
              <w:t>8</w:t>
            </w:r>
            <w:r>
              <w:rPr>
                <w:rFonts w:hint="eastAsia"/>
                <w:color w:val="auto"/>
              </w:rPr>
              <w:t>分）</w:t>
            </w:r>
          </w:p>
          <w:p>
            <w:pPr>
              <w:pStyle w:val="8"/>
              <w:spacing w:line="240" w:lineRule="auto"/>
              <w:ind w:firstLine="0" w:firstLineChars="0"/>
              <w:rPr>
                <w:color w:val="auto"/>
              </w:rPr>
            </w:pPr>
            <w:r>
              <w:rPr>
                <w:rFonts w:hint="eastAsia"/>
                <w:color w:val="auto"/>
              </w:rPr>
              <w:t>三级：重要史迹文化情感价值一般</w:t>
            </w:r>
            <w:r>
              <w:rPr>
                <w:color w:val="auto"/>
              </w:rPr>
              <w:t>6</w:t>
            </w:r>
            <w:r>
              <w:rPr>
                <w:rFonts w:hint="eastAsia"/>
                <w:color w:val="auto"/>
              </w:rPr>
              <w:t>分以下）</w:t>
            </w:r>
          </w:p>
        </w:tc>
        <w:tc>
          <w:tcPr>
            <w:tcW w:w="817" w:type="dxa"/>
            <w:vAlign w:val="center"/>
          </w:tcPr>
          <w:p>
            <w:pPr>
              <w:pStyle w:val="8"/>
              <w:spacing w:line="240" w:lineRule="auto"/>
              <w:ind w:firstLine="0" w:firstLineChars="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pStyle w:val="8"/>
              <w:spacing w:line="240" w:lineRule="auto"/>
              <w:ind w:firstLine="0" w:firstLineChars="0"/>
              <w:rPr>
                <w:color w:val="auto"/>
              </w:rPr>
            </w:pPr>
          </w:p>
        </w:tc>
        <w:tc>
          <w:tcPr>
            <w:tcW w:w="1701" w:type="dxa"/>
            <w:vAlign w:val="center"/>
          </w:tcPr>
          <w:p>
            <w:pPr>
              <w:pStyle w:val="8"/>
              <w:spacing w:line="240" w:lineRule="auto"/>
              <w:ind w:firstLine="0" w:firstLineChars="0"/>
              <w:rPr>
                <w:color w:val="auto"/>
              </w:rPr>
            </w:pPr>
            <w:r>
              <w:rPr>
                <w:color w:val="auto"/>
              </w:rPr>
              <w:t>5</w:t>
            </w:r>
            <w:r>
              <w:rPr>
                <w:rFonts w:hint="eastAsia"/>
                <w:color w:val="auto"/>
              </w:rPr>
              <w:t>、艺术价值</w:t>
            </w:r>
          </w:p>
        </w:tc>
        <w:tc>
          <w:tcPr>
            <w:tcW w:w="457" w:type="dxa"/>
            <w:vAlign w:val="center"/>
          </w:tcPr>
          <w:p>
            <w:pPr>
              <w:pStyle w:val="8"/>
              <w:spacing w:line="240" w:lineRule="auto"/>
              <w:ind w:firstLine="0" w:firstLineChars="0"/>
              <w:rPr>
                <w:color w:val="auto"/>
              </w:rPr>
            </w:pPr>
            <w:r>
              <w:rPr>
                <w:color w:val="auto"/>
              </w:rPr>
              <w:t>5</w:t>
            </w:r>
          </w:p>
        </w:tc>
        <w:tc>
          <w:tcPr>
            <w:tcW w:w="4735" w:type="dxa"/>
            <w:vAlign w:val="center"/>
          </w:tcPr>
          <w:p>
            <w:pPr>
              <w:pStyle w:val="8"/>
              <w:spacing w:line="240" w:lineRule="auto"/>
              <w:ind w:firstLine="0" w:firstLineChars="0"/>
              <w:rPr>
                <w:color w:val="auto"/>
              </w:rPr>
            </w:pPr>
            <w:r>
              <w:rPr>
                <w:rFonts w:hint="eastAsia"/>
                <w:color w:val="auto"/>
              </w:rPr>
              <w:t>一级：国内前列、风格独特极具代表性（</w:t>
            </w:r>
            <w:r>
              <w:rPr>
                <w:color w:val="auto"/>
              </w:rPr>
              <w:t>4</w:t>
            </w:r>
            <w:r>
              <w:rPr>
                <w:rFonts w:hint="eastAsia"/>
                <w:color w:val="auto"/>
              </w:rPr>
              <w:t>—</w:t>
            </w:r>
            <w:r>
              <w:rPr>
                <w:color w:val="auto"/>
              </w:rPr>
              <w:t>5</w:t>
            </w:r>
            <w:r>
              <w:rPr>
                <w:rFonts w:hint="eastAsia"/>
                <w:color w:val="auto"/>
              </w:rPr>
              <w:t>分）</w:t>
            </w:r>
          </w:p>
          <w:p>
            <w:pPr>
              <w:pStyle w:val="8"/>
              <w:spacing w:line="240" w:lineRule="auto"/>
              <w:ind w:firstLine="0" w:firstLineChars="0"/>
              <w:rPr>
                <w:color w:val="auto"/>
              </w:rPr>
            </w:pPr>
            <w:r>
              <w:rPr>
                <w:rFonts w:hint="eastAsia"/>
                <w:color w:val="auto"/>
              </w:rPr>
              <w:t>二级：处于国内先进水平，较有风格和代表性（</w:t>
            </w:r>
            <w:r>
              <w:rPr>
                <w:color w:val="auto"/>
              </w:rPr>
              <w:t>3</w:t>
            </w:r>
            <w:r>
              <w:rPr>
                <w:rFonts w:hint="eastAsia"/>
                <w:color w:val="auto"/>
              </w:rPr>
              <w:t>—</w:t>
            </w:r>
            <w:r>
              <w:rPr>
                <w:color w:val="auto"/>
              </w:rPr>
              <w:t>4</w:t>
            </w:r>
            <w:r>
              <w:rPr>
                <w:rFonts w:hint="eastAsia"/>
                <w:color w:val="auto"/>
              </w:rPr>
              <w:t>分）</w:t>
            </w:r>
          </w:p>
          <w:p>
            <w:pPr>
              <w:pStyle w:val="8"/>
              <w:spacing w:line="240" w:lineRule="auto"/>
              <w:ind w:firstLine="0" w:firstLineChars="0"/>
              <w:rPr>
                <w:color w:val="auto"/>
              </w:rPr>
            </w:pPr>
            <w:r>
              <w:rPr>
                <w:rFonts w:hint="eastAsia"/>
                <w:color w:val="auto"/>
              </w:rPr>
              <w:t>三级：一般水平、代表性程度一般（</w:t>
            </w:r>
            <w:r>
              <w:rPr>
                <w:color w:val="auto"/>
              </w:rPr>
              <w:t>3</w:t>
            </w:r>
            <w:r>
              <w:rPr>
                <w:rFonts w:hint="eastAsia"/>
                <w:color w:val="auto"/>
              </w:rPr>
              <w:t>分以下）</w:t>
            </w:r>
          </w:p>
        </w:tc>
        <w:tc>
          <w:tcPr>
            <w:tcW w:w="817" w:type="dxa"/>
            <w:vAlign w:val="center"/>
          </w:tcPr>
          <w:p>
            <w:pPr>
              <w:pStyle w:val="8"/>
              <w:spacing w:line="240" w:lineRule="auto"/>
              <w:ind w:firstLine="0" w:firstLineChars="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pPr>
              <w:pStyle w:val="8"/>
              <w:spacing w:line="240" w:lineRule="auto"/>
              <w:ind w:firstLine="0" w:firstLineChars="0"/>
              <w:rPr>
                <w:color w:val="auto"/>
              </w:rPr>
            </w:pPr>
            <w:r>
              <w:rPr>
                <w:rFonts w:hint="eastAsia"/>
                <w:color w:val="auto"/>
              </w:rPr>
              <w:t>本体（</w:t>
            </w:r>
            <w:r>
              <w:rPr>
                <w:color w:val="auto"/>
              </w:rPr>
              <w:t>40</w:t>
            </w:r>
            <w:r>
              <w:rPr>
                <w:rFonts w:hint="eastAsia"/>
                <w:color w:val="auto"/>
              </w:rPr>
              <w:t>分）</w:t>
            </w:r>
          </w:p>
          <w:p>
            <w:pPr>
              <w:pStyle w:val="8"/>
              <w:spacing w:line="240" w:lineRule="auto"/>
              <w:rPr>
                <w:color w:val="auto"/>
              </w:rPr>
            </w:pPr>
          </w:p>
        </w:tc>
        <w:tc>
          <w:tcPr>
            <w:tcW w:w="1701" w:type="dxa"/>
            <w:vAlign w:val="center"/>
          </w:tcPr>
          <w:p>
            <w:pPr>
              <w:pStyle w:val="8"/>
              <w:spacing w:line="240" w:lineRule="auto"/>
              <w:ind w:firstLine="0" w:firstLineChars="0"/>
              <w:rPr>
                <w:color w:val="auto"/>
              </w:rPr>
            </w:pPr>
            <w:r>
              <w:rPr>
                <w:color w:val="auto"/>
              </w:rPr>
              <w:t>1</w:t>
            </w:r>
            <w:r>
              <w:rPr>
                <w:rFonts w:hint="eastAsia"/>
                <w:color w:val="auto"/>
              </w:rPr>
              <w:t>、保护现状</w:t>
            </w:r>
          </w:p>
        </w:tc>
        <w:tc>
          <w:tcPr>
            <w:tcW w:w="457" w:type="dxa"/>
            <w:vAlign w:val="center"/>
          </w:tcPr>
          <w:p>
            <w:pPr>
              <w:pStyle w:val="8"/>
              <w:spacing w:line="240" w:lineRule="auto"/>
              <w:ind w:firstLine="0" w:firstLineChars="0"/>
              <w:rPr>
                <w:color w:val="auto"/>
              </w:rPr>
            </w:pPr>
            <w:r>
              <w:rPr>
                <w:rFonts w:hint="eastAsia"/>
                <w:color w:val="auto"/>
              </w:rPr>
              <w:t>5</w:t>
            </w:r>
          </w:p>
        </w:tc>
        <w:tc>
          <w:tcPr>
            <w:tcW w:w="4735" w:type="dxa"/>
            <w:vAlign w:val="center"/>
          </w:tcPr>
          <w:p>
            <w:pPr>
              <w:pStyle w:val="8"/>
              <w:spacing w:line="240" w:lineRule="auto"/>
              <w:ind w:firstLine="0" w:firstLineChars="0"/>
              <w:rPr>
                <w:color w:val="auto"/>
              </w:rPr>
            </w:pPr>
            <w:r>
              <w:rPr>
                <w:rFonts w:hint="eastAsia"/>
                <w:color w:val="auto"/>
              </w:rPr>
              <w:t>一级：重要史迹保存完好（4—5分）</w:t>
            </w:r>
          </w:p>
          <w:p>
            <w:pPr>
              <w:pStyle w:val="8"/>
              <w:spacing w:line="240" w:lineRule="auto"/>
              <w:ind w:firstLine="0" w:firstLineChars="0"/>
              <w:rPr>
                <w:color w:val="auto"/>
              </w:rPr>
            </w:pPr>
            <w:r>
              <w:rPr>
                <w:rFonts w:hint="eastAsia"/>
                <w:color w:val="auto"/>
              </w:rPr>
              <w:t>二级：重要史迹保存较好（3—4分）</w:t>
            </w:r>
          </w:p>
          <w:p>
            <w:pPr>
              <w:pStyle w:val="8"/>
              <w:spacing w:line="240" w:lineRule="auto"/>
              <w:ind w:firstLine="0" w:firstLineChars="0"/>
              <w:rPr>
                <w:color w:val="auto"/>
              </w:rPr>
            </w:pPr>
            <w:r>
              <w:rPr>
                <w:rFonts w:hint="eastAsia"/>
                <w:color w:val="auto"/>
              </w:rPr>
              <w:t>三级：重要史迹保存情况较差（3分以下）</w:t>
            </w:r>
          </w:p>
        </w:tc>
        <w:tc>
          <w:tcPr>
            <w:tcW w:w="817" w:type="dxa"/>
            <w:vAlign w:val="center"/>
          </w:tcPr>
          <w:p>
            <w:pPr>
              <w:pStyle w:val="8"/>
              <w:spacing w:line="240" w:lineRule="auto"/>
              <w:ind w:firstLine="0" w:firstLineChars="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pStyle w:val="8"/>
              <w:spacing w:line="240" w:lineRule="auto"/>
              <w:rPr>
                <w:color w:val="auto"/>
              </w:rPr>
            </w:pPr>
          </w:p>
        </w:tc>
        <w:tc>
          <w:tcPr>
            <w:tcW w:w="1701" w:type="dxa"/>
            <w:vAlign w:val="center"/>
          </w:tcPr>
          <w:p>
            <w:pPr>
              <w:pStyle w:val="8"/>
              <w:spacing w:line="240" w:lineRule="auto"/>
              <w:ind w:firstLine="0" w:firstLineChars="0"/>
              <w:rPr>
                <w:color w:val="auto"/>
              </w:rPr>
            </w:pPr>
            <w:r>
              <w:rPr>
                <w:color w:val="auto"/>
              </w:rPr>
              <w:t>2</w:t>
            </w:r>
            <w:r>
              <w:rPr>
                <w:rFonts w:hint="eastAsia"/>
                <w:color w:val="auto"/>
              </w:rPr>
              <w:t>、使用现状</w:t>
            </w:r>
          </w:p>
        </w:tc>
        <w:tc>
          <w:tcPr>
            <w:tcW w:w="457" w:type="dxa"/>
            <w:vAlign w:val="center"/>
          </w:tcPr>
          <w:p>
            <w:pPr>
              <w:pStyle w:val="8"/>
              <w:spacing w:line="240" w:lineRule="auto"/>
              <w:ind w:firstLine="0" w:firstLineChars="0"/>
              <w:rPr>
                <w:color w:val="auto"/>
              </w:rPr>
            </w:pPr>
            <w:r>
              <w:rPr>
                <w:rFonts w:hint="eastAsia"/>
                <w:color w:val="auto"/>
              </w:rPr>
              <w:t>5</w:t>
            </w:r>
          </w:p>
        </w:tc>
        <w:tc>
          <w:tcPr>
            <w:tcW w:w="4735" w:type="dxa"/>
            <w:vAlign w:val="center"/>
          </w:tcPr>
          <w:p>
            <w:pPr>
              <w:pStyle w:val="8"/>
              <w:spacing w:line="240" w:lineRule="auto"/>
              <w:ind w:firstLine="0" w:firstLineChars="0"/>
              <w:rPr>
                <w:color w:val="auto"/>
              </w:rPr>
            </w:pPr>
            <w:r>
              <w:rPr>
                <w:rFonts w:hint="eastAsia"/>
                <w:color w:val="auto"/>
              </w:rPr>
              <w:t>一级：重要史迹的使用情况好（4—5分）</w:t>
            </w:r>
          </w:p>
          <w:p>
            <w:pPr>
              <w:pStyle w:val="8"/>
              <w:spacing w:line="240" w:lineRule="auto"/>
              <w:ind w:firstLine="0" w:firstLineChars="0"/>
              <w:rPr>
                <w:color w:val="auto"/>
              </w:rPr>
            </w:pPr>
            <w:r>
              <w:rPr>
                <w:rFonts w:hint="eastAsia"/>
                <w:color w:val="auto"/>
              </w:rPr>
              <w:t>二级：重要史迹的使用情况较好（3—4分）</w:t>
            </w:r>
          </w:p>
          <w:p>
            <w:pPr>
              <w:pStyle w:val="8"/>
              <w:spacing w:line="240" w:lineRule="auto"/>
              <w:ind w:firstLine="0" w:firstLineChars="0"/>
              <w:rPr>
                <w:color w:val="auto"/>
              </w:rPr>
            </w:pPr>
            <w:r>
              <w:rPr>
                <w:rFonts w:hint="eastAsia"/>
                <w:color w:val="auto"/>
              </w:rPr>
              <w:t>三级：重要史迹的使用情况一般甚至处于废弃闲置状态（3分以下）</w:t>
            </w:r>
          </w:p>
        </w:tc>
        <w:tc>
          <w:tcPr>
            <w:tcW w:w="817" w:type="dxa"/>
            <w:vAlign w:val="center"/>
          </w:tcPr>
          <w:p>
            <w:pPr>
              <w:pStyle w:val="8"/>
              <w:spacing w:line="240" w:lineRule="auto"/>
              <w:ind w:firstLine="0" w:firstLineChars="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pStyle w:val="8"/>
              <w:spacing w:line="240" w:lineRule="auto"/>
              <w:rPr>
                <w:color w:val="auto"/>
              </w:rPr>
            </w:pPr>
          </w:p>
        </w:tc>
        <w:tc>
          <w:tcPr>
            <w:tcW w:w="1701" w:type="dxa"/>
            <w:vAlign w:val="center"/>
          </w:tcPr>
          <w:p>
            <w:pPr>
              <w:pStyle w:val="8"/>
              <w:spacing w:line="240" w:lineRule="auto"/>
              <w:ind w:firstLine="0" w:firstLineChars="0"/>
              <w:rPr>
                <w:color w:val="auto"/>
              </w:rPr>
            </w:pPr>
            <w:r>
              <w:rPr>
                <w:color w:val="auto"/>
              </w:rPr>
              <w:t>3</w:t>
            </w:r>
            <w:r>
              <w:rPr>
                <w:rFonts w:hint="eastAsia"/>
                <w:color w:val="auto"/>
              </w:rPr>
              <w:t>、基础设施</w:t>
            </w:r>
          </w:p>
        </w:tc>
        <w:tc>
          <w:tcPr>
            <w:tcW w:w="457" w:type="dxa"/>
            <w:vAlign w:val="center"/>
          </w:tcPr>
          <w:p>
            <w:pPr>
              <w:pStyle w:val="8"/>
              <w:spacing w:line="240" w:lineRule="auto"/>
              <w:ind w:firstLine="0" w:firstLineChars="0"/>
              <w:rPr>
                <w:color w:val="auto"/>
              </w:rPr>
            </w:pPr>
            <w:r>
              <w:rPr>
                <w:color w:val="auto"/>
              </w:rPr>
              <w:t>5</w:t>
            </w:r>
          </w:p>
        </w:tc>
        <w:tc>
          <w:tcPr>
            <w:tcW w:w="4735" w:type="dxa"/>
            <w:vAlign w:val="center"/>
          </w:tcPr>
          <w:p>
            <w:pPr>
              <w:pStyle w:val="8"/>
              <w:spacing w:line="240" w:lineRule="auto"/>
              <w:ind w:firstLine="0" w:firstLineChars="0"/>
              <w:rPr>
                <w:color w:val="auto"/>
              </w:rPr>
            </w:pPr>
            <w:r>
              <w:rPr>
                <w:rFonts w:hint="eastAsia"/>
                <w:color w:val="auto"/>
              </w:rPr>
              <w:t>一级：重要史迹基础设施极好，质量优秀（4—5分）</w:t>
            </w:r>
          </w:p>
          <w:p>
            <w:pPr>
              <w:pStyle w:val="8"/>
              <w:spacing w:line="240" w:lineRule="auto"/>
              <w:ind w:firstLine="0" w:firstLineChars="0"/>
              <w:rPr>
                <w:color w:val="auto"/>
              </w:rPr>
            </w:pPr>
            <w:r>
              <w:rPr>
                <w:rFonts w:hint="eastAsia"/>
                <w:color w:val="auto"/>
              </w:rPr>
              <w:t>二级：重要史迹基础设施和质量较好（3—4分）、</w:t>
            </w:r>
          </w:p>
          <w:p>
            <w:pPr>
              <w:pStyle w:val="8"/>
              <w:spacing w:line="240" w:lineRule="auto"/>
              <w:ind w:firstLine="0" w:firstLineChars="0"/>
              <w:rPr>
                <w:color w:val="auto"/>
              </w:rPr>
            </w:pPr>
            <w:r>
              <w:rPr>
                <w:rFonts w:hint="eastAsia"/>
                <w:color w:val="auto"/>
              </w:rPr>
              <w:t>三级：重要史迹的基础设施和质量一般甚至较差（3分以下）</w:t>
            </w:r>
          </w:p>
        </w:tc>
        <w:tc>
          <w:tcPr>
            <w:tcW w:w="817" w:type="dxa"/>
            <w:vAlign w:val="center"/>
          </w:tcPr>
          <w:p>
            <w:pPr>
              <w:pStyle w:val="8"/>
              <w:spacing w:line="240" w:lineRule="auto"/>
              <w:ind w:firstLine="0" w:firstLineChars="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pStyle w:val="8"/>
              <w:spacing w:line="240" w:lineRule="auto"/>
              <w:rPr>
                <w:color w:val="auto"/>
              </w:rPr>
            </w:pPr>
          </w:p>
        </w:tc>
        <w:tc>
          <w:tcPr>
            <w:tcW w:w="1701" w:type="dxa"/>
            <w:vAlign w:val="center"/>
          </w:tcPr>
          <w:p>
            <w:pPr>
              <w:pStyle w:val="8"/>
              <w:spacing w:line="240" w:lineRule="auto"/>
              <w:ind w:firstLine="0" w:firstLineChars="0"/>
              <w:rPr>
                <w:color w:val="auto"/>
              </w:rPr>
            </w:pPr>
            <w:r>
              <w:rPr>
                <w:color w:val="auto"/>
              </w:rPr>
              <w:t>4</w:t>
            </w:r>
            <w:r>
              <w:rPr>
                <w:rFonts w:hint="eastAsia"/>
                <w:color w:val="auto"/>
              </w:rPr>
              <w:t>、建造质量</w:t>
            </w:r>
          </w:p>
        </w:tc>
        <w:tc>
          <w:tcPr>
            <w:tcW w:w="457" w:type="dxa"/>
            <w:vAlign w:val="center"/>
          </w:tcPr>
          <w:p>
            <w:pPr>
              <w:pStyle w:val="8"/>
              <w:spacing w:line="240" w:lineRule="auto"/>
              <w:ind w:firstLine="0" w:firstLineChars="0"/>
              <w:rPr>
                <w:color w:val="auto"/>
              </w:rPr>
            </w:pPr>
            <w:r>
              <w:rPr>
                <w:color w:val="auto"/>
              </w:rPr>
              <w:t>5</w:t>
            </w:r>
          </w:p>
        </w:tc>
        <w:tc>
          <w:tcPr>
            <w:tcW w:w="4735" w:type="dxa"/>
            <w:vAlign w:val="center"/>
          </w:tcPr>
          <w:p>
            <w:pPr>
              <w:pStyle w:val="8"/>
              <w:spacing w:line="240" w:lineRule="auto"/>
              <w:ind w:firstLine="0" w:firstLineChars="0"/>
              <w:rPr>
                <w:color w:val="auto"/>
              </w:rPr>
            </w:pPr>
            <w:r>
              <w:rPr>
                <w:rFonts w:hint="eastAsia"/>
                <w:color w:val="auto"/>
              </w:rPr>
              <w:t>一级：现状建造质量极好（</w:t>
            </w:r>
            <w:r>
              <w:rPr>
                <w:color w:val="auto"/>
              </w:rPr>
              <w:t>4</w:t>
            </w:r>
            <w:r>
              <w:rPr>
                <w:rFonts w:hint="eastAsia"/>
                <w:color w:val="auto"/>
              </w:rPr>
              <w:t>—</w:t>
            </w:r>
            <w:r>
              <w:rPr>
                <w:color w:val="auto"/>
              </w:rPr>
              <w:t>5</w:t>
            </w:r>
            <w:r>
              <w:rPr>
                <w:rFonts w:hint="eastAsia"/>
                <w:color w:val="auto"/>
              </w:rPr>
              <w:t>分）</w:t>
            </w:r>
          </w:p>
          <w:p>
            <w:pPr>
              <w:pStyle w:val="8"/>
              <w:spacing w:line="240" w:lineRule="auto"/>
              <w:ind w:firstLine="0" w:firstLineChars="0"/>
              <w:rPr>
                <w:color w:val="auto"/>
              </w:rPr>
            </w:pPr>
            <w:r>
              <w:rPr>
                <w:rFonts w:hint="eastAsia"/>
                <w:color w:val="auto"/>
              </w:rPr>
              <w:t>二级：现状建造质量较好（</w:t>
            </w:r>
            <w:r>
              <w:rPr>
                <w:color w:val="auto"/>
              </w:rPr>
              <w:t>3</w:t>
            </w:r>
            <w:r>
              <w:rPr>
                <w:rFonts w:hint="eastAsia"/>
                <w:color w:val="auto"/>
              </w:rPr>
              <w:t>—</w:t>
            </w:r>
            <w:r>
              <w:rPr>
                <w:color w:val="auto"/>
              </w:rPr>
              <w:t>4</w:t>
            </w:r>
            <w:r>
              <w:rPr>
                <w:rFonts w:hint="eastAsia"/>
                <w:color w:val="auto"/>
              </w:rPr>
              <w:t>分）</w:t>
            </w:r>
          </w:p>
          <w:p>
            <w:pPr>
              <w:pStyle w:val="8"/>
              <w:spacing w:line="240" w:lineRule="auto"/>
              <w:ind w:firstLine="0" w:firstLineChars="0"/>
              <w:rPr>
                <w:color w:val="auto"/>
              </w:rPr>
            </w:pPr>
            <w:r>
              <w:rPr>
                <w:rFonts w:hint="eastAsia"/>
                <w:color w:val="auto"/>
              </w:rPr>
              <w:t>三级：现状建造质量一般（</w:t>
            </w:r>
            <w:r>
              <w:rPr>
                <w:color w:val="auto"/>
              </w:rPr>
              <w:t>3</w:t>
            </w:r>
            <w:r>
              <w:rPr>
                <w:rFonts w:hint="eastAsia"/>
                <w:color w:val="auto"/>
              </w:rPr>
              <w:t>分以下）</w:t>
            </w:r>
          </w:p>
        </w:tc>
        <w:tc>
          <w:tcPr>
            <w:tcW w:w="817" w:type="dxa"/>
            <w:vAlign w:val="center"/>
          </w:tcPr>
          <w:p>
            <w:pPr>
              <w:pStyle w:val="8"/>
              <w:spacing w:line="240" w:lineRule="auto"/>
              <w:ind w:firstLine="0" w:firstLineChars="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pStyle w:val="8"/>
              <w:spacing w:line="240" w:lineRule="auto"/>
              <w:rPr>
                <w:color w:val="auto"/>
              </w:rPr>
            </w:pPr>
          </w:p>
        </w:tc>
        <w:tc>
          <w:tcPr>
            <w:tcW w:w="1701" w:type="dxa"/>
            <w:vAlign w:val="center"/>
          </w:tcPr>
          <w:p>
            <w:pPr>
              <w:pStyle w:val="8"/>
              <w:spacing w:line="240" w:lineRule="auto"/>
              <w:ind w:firstLine="0" w:firstLineChars="0"/>
              <w:rPr>
                <w:color w:val="auto"/>
              </w:rPr>
            </w:pPr>
            <w:r>
              <w:rPr>
                <w:color w:val="auto"/>
              </w:rPr>
              <w:t>5</w:t>
            </w:r>
            <w:r>
              <w:rPr>
                <w:rFonts w:hint="eastAsia"/>
                <w:color w:val="auto"/>
              </w:rPr>
              <w:t>、展示利用潜力</w:t>
            </w:r>
          </w:p>
        </w:tc>
        <w:tc>
          <w:tcPr>
            <w:tcW w:w="457" w:type="dxa"/>
            <w:vAlign w:val="center"/>
          </w:tcPr>
          <w:p>
            <w:pPr>
              <w:pStyle w:val="8"/>
              <w:spacing w:line="240" w:lineRule="auto"/>
              <w:ind w:firstLine="0" w:firstLineChars="0"/>
              <w:rPr>
                <w:color w:val="auto"/>
              </w:rPr>
            </w:pPr>
            <w:r>
              <w:rPr>
                <w:rFonts w:hint="eastAsia"/>
                <w:color w:val="auto"/>
              </w:rPr>
              <w:t>5</w:t>
            </w:r>
          </w:p>
        </w:tc>
        <w:tc>
          <w:tcPr>
            <w:tcW w:w="4735" w:type="dxa"/>
            <w:vAlign w:val="center"/>
          </w:tcPr>
          <w:p>
            <w:pPr>
              <w:pStyle w:val="8"/>
              <w:spacing w:line="240" w:lineRule="auto"/>
              <w:ind w:firstLine="0" w:firstLineChars="0"/>
              <w:rPr>
                <w:color w:val="auto"/>
              </w:rPr>
            </w:pPr>
            <w:r>
              <w:rPr>
                <w:rFonts w:hint="eastAsia"/>
                <w:color w:val="auto"/>
              </w:rPr>
              <w:t>一级：重要史迹改革开放信息展示利用程度好（4—5分）</w:t>
            </w:r>
          </w:p>
          <w:p>
            <w:pPr>
              <w:pStyle w:val="8"/>
              <w:spacing w:line="240" w:lineRule="auto"/>
              <w:ind w:firstLine="0" w:firstLineChars="0"/>
              <w:rPr>
                <w:color w:val="auto"/>
              </w:rPr>
            </w:pPr>
            <w:r>
              <w:rPr>
                <w:rFonts w:hint="eastAsia"/>
                <w:color w:val="auto"/>
              </w:rPr>
              <w:t>二级：重要史迹改革开放信息展示利用程度较好（3—4分）、</w:t>
            </w:r>
          </w:p>
          <w:p>
            <w:pPr>
              <w:pStyle w:val="8"/>
              <w:spacing w:line="240" w:lineRule="auto"/>
              <w:ind w:firstLine="0" w:firstLineChars="0"/>
              <w:rPr>
                <w:color w:val="auto"/>
              </w:rPr>
            </w:pPr>
            <w:r>
              <w:rPr>
                <w:rFonts w:hint="eastAsia"/>
                <w:color w:val="auto"/>
              </w:rPr>
              <w:t>三级：重要史迹改革开放信息展示利用程度一般甚至较差（3分以下）</w:t>
            </w:r>
          </w:p>
        </w:tc>
        <w:tc>
          <w:tcPr>
            <w:tcW w:w="817" w:type="dxa"/>
            <w:vAlign w:val="center"/>
          </w:tcPr>
          <w:p>
            <w:pPr>
              <w:pStyle w:val="8"/>
              <w:spacing w:line="240" w:lineRule="auto"/>
              <w:ind w:firstLine="0" w:firstLineChars="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pStyle w:val="8"/>
              <w:spacing w:line="240" w:lineRule="auto"/>
              <w:ind w:firstLine="0" w:firstLineChars="0"/>
              <w:rPr>
                <w:color w:val="auto"/>
              </w:rPr>
            </w:pPr>
          </w:p>
        </w:tc>
        <w:tc>
          <w:tcPr>
            <w:tcW w:w="1701" w:type="dxa"/>
            <w:vAlign w:val="center"/>
          </w:tcPr>
          <w:p>
            <w:pPr>
              <w:pStyle w:val="8"/>
              <w:spacing w:line="240" w:lineRule="auto"/>
              <w:ind w:firstLine="0" w:firstLineChars="0"/>
              <w:rPr>
                <w:color w:val="auto"/>
              </w:rPr>
            </w:pPr>
            <w:r>
              <w:rPr>
                <w:rFonts w:hint="eastAsia"/>
                <w:color w:val="auto"/>
              </w:rPr>
              <w:t>6、价值阐释效果</w:t>
            </w:r>
          </w:p>
        </w:tc>
        <w:tc>
          <w:tcPr>
            <w:tcW w:w="457" w:type="dxa"/>
            <w:vAlign w:val="center"/>
          </w:tcPr>
          <w:p>
            <w:pPr>
              <w:pStyle w:val="8"/>
              <w:spacing w:line="240" w:lineRule="auto"/>
              <w:ind w:firstLine="0" w:firstLineChars="0"/>
              <w:rPr>
                <w:color w:val="auto"/>
              </w:rPr>
            </w:pPr>
            <w:r>
              <w:rPr>
                <w:color w:val="auto"/>
              </w:rPr>
              <w:t>15</w:t>
            </w:r>
          </w:p>
        </w:tc>
        <w:tc>
          <w:tcPr>
            <w:tcW w:w="4735" w:type="dxa"/>
            <w:vAlign w:val="center"/>
          </w:tcPr>
          <w:p>
            <w:pPr>
              <w:pStyle w:val="8"/>
              <w:spacing w:line="240" w:lineRule="auto"/>
              <w:ind w:firstLine="0" w:firstLineChars="0"/>
              <w:rPr>
                <w:color w:val="auto"/>
              </w:rPr>
            </w:pPr>
            <w:r>
              <w:rPr>
                <w:rFonts w:hint="eastAsia"/>
                <w:color w:val="auto"/>
              </w:rPr>
              <w:t>一级：重要史迹未来可改造或可利用前景高（</w:t>
            </w:r>
            <w:r>
              <w:rPr>
                <w:color w:val="auto"/>
              </w:rPr>
              <w:t>12</w:t>
            </w:r>
            <w:r>
              <w:rPr>
                <w:rFonts w:hint="eastAsia"/>
                <w:color w:val="auto"/>
              </w:rPr>
              <w:t>—</w:t>
            </w:r>
            <w:r>
              <w:rPr>
                <w:color w:val="auto"/>
              </w:rPr>
              <w:t>15</w:t>
            </w:r>
            <w:r>
              <w:rPr>
                <w:rFonts w:hint="eastAsia"/>
                <w:color w:val="auto"/>
              </w:rPr>
              <w:t>分）</w:t>
            </w:r>
          </w:p>
          <w:p>
            <w:pPr>
              <w:pStyle w:val="8"/>
              <w:spacing w:line="240" w:lineRule="auto"/>
              <w:ind w:firstLine="0" w:firstLineChars="0"/>
              <w:rPr>
                <w:color w:val="auto"/>
              </w:rPr>
            </w:pPr>
            <w:r>
              <w:rPr>
                <w:rFonts w:hint="eastAsia"/>
                <w:color w:val="auto"/>
              </w:rPr>
              <w:t>二级：重要史迹未来可改造或可利用前景高较高（</w:t>
            </w:r>
            <w:r>
              <w:rPr>
                <w:color w:val="auto"/>
              </w:rPr>
              <w:t>9</w:t>
            </w:r>
            <w:r>
              <w:rPr>
                <w:rFonts w:hint="eastAsia"/>
                <w:color w:val="auto"/>
              </w:rPr>
              <w:t>—</w:t>
            </w:r>
            <w:r>
              <w:rPr>
                <w:color w:val="auto"/>
              </w:rPr>
              <w:t>12</w:t>
            </w:r>
            <w:r>
              <w:rPr>
                <w:rFonts w:hint="eastAsia"/>
                <w:color w:val="auto"/>
              </w:rPr>
              <w:t>分）</w:t>
            </w:r>
          </w:p>
          <w:p>
            <w:pPr>
              <w:pStyle w:val="8"/>
              <w:spacing w:line="240" w:lineRule="auto"/>
              <w:ind w:firstLine="0" w:firstLineChars="0"/>
              <w:rPr>
                <w:color w:val="auto"/>
              </w:rPr>
            </w:pPr>
            <w:r>
              <w:rPr>
                <w:rFonts w:hint="eastAsia"/>
                <w:color w:val="auto"/>
              </w:rPr>
              <w:t>三级：重要史迹未来可改造或可利用前景高一般甚至较差（</w:t>
            </w:r>
            <w:r>
              <w:rPr>
                <w:color w:val="auto"/>
              </w:rPr>
              <w:t>9</w:t>
            </w:r>
            <w:r>
              <w:rPr>
                <w:rFonts w:hint="eastAsia"/>
                <w:color w:val="auto"/>
              </w:rPr>
              <w:t>分以下）</w:t>
            </w:r>
          </w:p>
        </w:tc>
        <w:tc>
          <w:tcPr>
            <w:tcW w:w="817" w:type="dxa"/>
            <w:vAlign w:val="center"/>
          </w:tcPr>
          <w:p>
            <w:pPr>
              <w:pStyle w:val="8"/>
              <w:spacing w:line="240" w:lineRule="auto"/>
              <w:ind w:firstLine="0" w:firstLineChars="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pStyle w:val="8"/>
              <w:spacing w:line="240" w:lineRule="auto"/>
              <w:rPr>
                <w:color w:val="auto"/>
              </w:rPr>
            </w:pPr>
          </w:p>
        </w:tc>
        <w:tc>
          <w:tcPr>
            <w:tcW w:w="1701" w:type="dxa"/>
            <w:vAlign w:val="center"/>
          </w:tcPr>
          <w:p>
            <w:pPr>
              <w:pStyle w:val="8"/>
              <w:spacing w:line="240" w:lineRule="auto"/>
              <w:ind w:firstLine="0" w:firstLineChars="0"/>
              <w:rPr>
                <w:color w:val="auto"/>
              </w:rPr>
            </w:pPr>
            <w:r>
              <w:rPr>
                <w:color w:val="auto"/>
              </w:rPr>
              <w:t>7</w:t>
            </w:r>
            <w:r>
              <w:rPr>
                <w:rFonts w:hint="eastAsia"/>
                <w:color w:val="auto"/>
              </w:rPr>
              <w:t>、管理情况</w:t>
            </w:r>
          </w:p>
        </w:tc>
        <w:tc>
          <w:tcPr>
            <w:tcW w:w="457" w:type="dxa"/>
            <w:vAlign w:val="center"/>
          </w:tcPr>
          <w:p>
            <w:pPr>
              <w:pStyle w:val="8"/>
              <w:spacing w:line="240" w:lineRule="auto"/>
              <w:ind w:firstLine="0" w:firstLineChars="0"/>
              <w:rPr>
                <w:color w:val="auto"/>
              </w:rPr>
            </w:pPr>
            <w:r>
              <w:rPr>
                <w:rFonts w:hint="eastAsia"/>
                <w:color w:val="auto"/>
              </w:rPr>
              <w:t>5</w:t>
            </w:r>
          </w:p>
        </w:tc>
        <w:tc>
          <w:tcPr>
            <w:tcW w:w="4735" w:type="dxa"/>
            <w:vAlign w:val="center"/>
          </w:tcPr>
          <w:p>
            <w:pPr>
              <w:pStyle w:val="8"/>
              <w:spacing w:line="240" w:lineRule="auto"/>
              <w:ind w:firstLine="0" w:firstLineChars="0"/>
              <w:rPr>
                <w:color w:val="auto"/>
              </w:rPr>
            </w:pPr>
            <w:r>
              <w:rPr>
                <w:rFonts w:hint="eastAsia"/>
                <w:color w:val="auto"/>
              </w:rPr>
              <w:t>一级：重要史迹管理情况好（4—5分）</w:t>
            </w:r>
          </w:p>
          <w:p>
            <w:pPr>
              <w:pStyle w:val="8"/>
              <w:spacing w:line="240" w:lineRule="auto"/>
              <w:ind w:firstLine="0" w:firstLineChars="0"/>
              <w:rPr>
                <w:color w:val="auto"/>
              </w:rPr>
            </w:pPr>
            <w:r>
              <w:rPr>
                <w:rFonts w:hint="eastAsia"/>
                <w:color w:val="auto"/>
              </w:rPr>
              <w:t>二级：重要史迹管理情况较好（3—4分）、</w:t>
            </w:r>
          </w:p>
          <w:p>
            <w:pPr>
              <w:pStyle w:val="8"/>
              <w:spacing w:line="240" w:lineRule="auto"/>
              <w:ind w:firstLine="0" w:firstLineChars="0"/>
              <w:rPr>
                <w:color w:val="auto"/>
              </w:rPr>
            </w:pPr>
            <w:r>
              <w:rPr>
                <w:rFonts w:hint="eastAsia"/>
                <w:color w:val="auto"/>
              </w:rPr>
              <w:t>三级：重要史迹管理情况一般甚至较差（3分以下）</w:t>
            </w:r>
          </w:p>
        </w:tc>
        <w:tc>
          <w:tcPr>
            <w:tcW w:w="817" w:type="dxa"/>
            <w:vAlign w:val="center"/>
          </w:tcPr>
          <w:p>
            <w:pPr>
              <w:pStyle w:val="8"/>
              <w:spacing w:line="240" w:lineRule="auto"/>
              <w:ind w:firstLine="0" w:firstLineChars="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pPr>
              <w:pStyle w:val="8"/>
              <w:spacing w:line="240" w:lineRule="auto"/>
              <w:ind w:firstLine="0" w:firstLineChars="0"/>
              <w:rPr>
                <w:color w:val="auto"/>
              </w:rPr>
            </w:pPr>
            <w:r>
              <w:rPr>
                <w:rFonts w:hint="eastAsia"/>
                <w:color w:val="auto"/>
              </w:rPr>
              <w:t>环境（</w:t>
            </w:r>
            <w:r>
              <w:rPr>
                <w:color w:val="auto"/>
              </w:rPr>
              <w:t>20</w:t>
            </w:r>
            <w:r>
              <w:rPr>
                <w:rFonts w:hint="eastAsia"/>
                <w:color w:val="auto"/>
              </w:rPr>
              <w:t>分）</w:t>
            </w:r>
          </w:p>
        </w:tc>
        <w:tc>
          <w:tcPr>
            <w:tcW w:w="1701" w:type="dxa"/>
            <w:vAlign w:val="center"/>
          </w:tcPr>
          <w:p>
            <w:pPr>
              <w:pStyle w:val="8"/>
              <w:spacing w:line="240" w:lineRule="auto"/>
              <w:ind w:firstLine="0" w:firstLineChars="0"/>
              <w:rPr>
                <w:color w:val="auto"/>
              </w:rPr>
            </w:pPr>
            <w:r>
              <w:rPr>
                <w:color w:val="auto"/>
              </w:rPr>
              <w:t>1</w:t>
            </w:r>
            <w:r>
              <w:rPr>
                <w:rFonts w:hint="eastAsia"/>
                <w:color w:val="auto"/>
              </w:rPr>
              <w:t>、交通可达性</w:t>
            </w:r>
          </w:p>
        </w:tc>
        <w:tc>
          <w:tcPr>
            <w:tcW w:w="457" w:type="dxa"/>
            <w:vAlign w:val="center"/>
          </w:tcPr>
          <w:p>
            <w:pPr>
              <w:pStyle w:val="8"/>
              <w:spacing w:line="240" w:lineRule="auto"/>
              <w:ind w:firstLine="0" w:firstLineChars="0"/>
              <w:rPr>
                <w:color w:val="auto"/>
              </w:rPr>
            </w:pPr>
            <w:r>
              <w:rPr>
                <w:rFonts w:hint="eastAsia"/>
                <w:color w:val="auto"/>
              </w:rPr>
              <w:t>5</w:t>
            </w:r>
          </w:p>
        </w:tc>
        <w:tc>
          <w:tcPr>
            <w:tcW w:w="4735" w:type="dxa"/>
            <w:vAlign w:val="center"/>
          </w:tcPr>
          <w:p>
            <w:pPr>
              <w:pStyle w:val="8"/>
              <w:spacing w:line="240" w:lineRule="auto"/>
              <w:ind w:firstLine="0" w:firstLineChars="0"/>
              <w:rPr>
                <w:color w:val="auto"/>
              </w:rPr>
            </w:pPr>
            <w:r>
              <w:rPr>
                <w:rFonts w:hint="eastAsia"/>
                <w:color w:val="auto"/>
              </w:rPr>
              <w:t>一级：重要史迹的交通通达程度高（4—5分）</w:t>
            </w:r>
          </w:p>
          <w:p>
            <w:pPr>
              <w:pStyle w:val="8"/>
              <w:spacing w:line="240" w:lineRule="auto"/>
              <w:ind w:firstLine="0" w:firstLineChars="0"/>
              <w:rPr>
                <w:color w:val="auto"/>
              </w:rPr>
            </w:pPr>
            <w:r>
              <w:rPr>
                <w:rFonts w:hint="eastAsia"/>
                <w:color w:val="auto"/>
              </w:rPr>
              <w:t>二级：重要史迹的交通通达程度较高（3—4分）</w:t>
            </w:r>
          </w:p>
          <w:p>
            <w:pPr>
              <w:pStyle w:val="8"/>
              <w:spacing w:line="240" w:lineRule="auto"/>
              <w:ind w:firstLine="0" w:firstLineChars="0"/>
              <w:rPr>
                <w:color w:val="auto"/>
              </w:rPr>
            </w:pPr>
            <w:r>
              <w:rPr>
                <w:rFonts w:hint="eastAsia"/>
                <w:color w:val="auto"/>
              </w:rPr>
              <w:t>三级：重要史迹的交通通达程度一般甚至较差（3分以下）</w:t>
            </w:r>
          </w:p>
        </w:tc>
        <w:tc>
          <w:tcPr>
            <w:tcW w:w="817" w:type="dxa"/>
            <w:vAlign w:val="center"/>
          </w:tcPr>
          <w:p>
            <w:pPr>
              <w:pStyle w:val="8"/>
              <w:spacing w:line="240" w:lineRule="auto"/>
              <w:ind w:firstLine="0" w:firstLineChars="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pStyle w:val="8"/>
              <w:spacing w:line="240" w:lineRule="auto"/>
              <w:ind w:firstLine="0" w:firstLineChars="0"/>
              <w:rPr>
                <w:color w:val="auto"/>
              </w:rPr>
            </w:pPr>
          </w:p>
        </w:tc>
        <w:tc>
          <w:tcPr>
            <w:tcW w:w="1701" w:type="dxa"/>
            <w:vAlign w:val="center"/>
          </w:tcPr>
          <w:p>
            <w:pPr>
              <w:pStyle w:val="8"/>
              <w:spacing w:line="240" w:lineRule="auto"/>
              <w:ind w:firstLine="0" w:firstLineChars="0"/>
              <w:rPr>
                <w:color w:val="auto"/>
              </w:rPr>
            </w:pPr>
            <w:r>
              <w:rPr>
                <w:color w:val="auto"/>
              </w:rPr>
              <w:t>2</w:t>
            </w:r>
            <w:r>
              <w:rPr>
                <w:rFonts w:hint="eastAsia"/>
                <w:color w:val="auto"/>
              </w:rPr>
              <w:t>、周边山体水系</w:t>
            </w:r>
          </w:p>
        </w:tc>
        <w:tc>
          <w:tcPr>
            <w:tcW w:w="457" w:type="dxa"/>
            <w:vAlign w:val="center"/>
          </w:tcPr>
          <w:p>
            <w:pPr>
              <w:pStyle w:val="8"/>
              <w:spacing w:line="240" w:lineRule="auto"/>
              <w:ind w:firstLine="0" w:firstLineChars="0"/>
              <w:rPr>
                <w:color w:val="auto"/>
              </w:rPr>
            </w:pPr>
            <w:r>
              <w:rPr>
                <w:rFonts w:hint="eastAsia"/>
                <w:color w:val="auto"/>
              </w:rPr>
              <w:t>5</w:t>
            </w:r>
          </w:p>
        </w:tc>
        <w:tc>
          <w:tcPr>
            <w:tcW w:w="4735" w:type="dxa"/>
            <w:vAlign w:val="center"/>
          </w:tcPr>
          <w:p>
            <w:pPr>
              <w:pStyle w:val="8"/>
              <w:spacing w:line="240" w:lineRule="auto"/>
              <w:ind w:firstLine="0" w:firstLineChars="0"/>
              <w:rPr>
                <w:color w:val="auto"/>
              </w:rPr>
            </w:pPr>
            <w:r>
              <w:rPr>
                <w:rFonts w:hint="eastAsia"/>
                <w:color w:val="auto"/>
              </w:rPr>
              <w:t>一级：重要史迹周边山体水系等自然资源好（4—5分）</w:t>
            </w:r>
          </w:p>
          <w:p>
            <w:pPr>
              <w:pStyle w:val="8"/>
              <w:spacing w:line="240" w:lineRule="auto"/>
              <w:ind w:firstLine="0" w:firstLineChars="0"/>
              <w:rPr>
                <w:color w:val="auto"/>
              </w:rPr>
            </w:pPr>
            <w:r>
              <w:rPr>
                <w:rFonts w:hint="eastAsia"/>
                <w:color w:val="auto"/>
              </w:rPr>
              <w:t>二级：重要史迹周边山体水系等自然资源较好（3—4分）</w:t>
            </w:r>
          </w:p>
          <w:p>
            <w:pPr>
              <w:pStyle w:val="8"/>
              <w:spacing w:line="240" w:lineRule="auto"/>
              <w:ind w:firstLine="0" w:firstLineChars="0"/>
              <w:rPr>
                <w:color w:val="auto"/>
              </w:rPr>
            </w:pPr>
            <w:r>
              <w:rPr>
                <w:rFonts w:hint="eastAsia"/>
                <w:color w:val="auto"/>
              </w:rPr>
              <w:t>三级：重要史迹周边山体水系等自然资源好一般甚至较差（3分以下）</w:t>
            </w:r>
          </w:p>
        </w:tc>
        <w:tc>
          <w:tcPr>
            <w:tcW w:w="817" w:type="dxa"/>
            <w:vAlign w:val="center"/>
          </w:tcPr>
          <w:p>
            <w:pPr>
              <w:pStyle w:val="8"/>
              <w:spacing w:line="240" w:lineRule="auto"/>
              <w:ind w:firstLine="0" w:firstLineChars="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pStyle w:val="8"/>
              <w:spacing w:line="240" w:lineRule="auto"/>
              <w:ind w:firstLine="0" w:firstLineChars="0"/>
              <w:rPr>
                <w:color w:val="auto"/>
              </w:rPr>
            </w:pPr>
          </w:p>
        </w:tc>
        <w:tc>
          <w:tcPr>
            <w:tcW w:w="1701" w:type="dxa"/>
            <w:vAlign w:val="center"/>
          </w:tcPr>
          <w:p>
            <w:pPr>
              <w:pStyle w:val="8"/>
              <w:spacing w:line="240" w:lineRule="auto"/>
              <w:ind w:firstLine="0" w:firstLineChars="0"/>
              <w:rPr>
                <w:color w:val="auto"/>
              </w:rPr>
            </w:pPr>
            <w:r>
              <w:rPr>
                <w:color w:val="auto"/>
              </w:rPr>
              <w:t>3</w:t>
            </w:r>
            <w:r>
              <w:rPr>
                <w:rFonts w:hint="eastAsia"/>
                <w:color w:val="auto"/>
              </w:rPr>
              <w:t>、周边资源优势度</w:t>
            </w:r>
          </w:p>
        </w:tc>
        <w:tc>
          <w:tcPr>
            <w:tcW w:w="457" w:type="dxa"/>
            <w:vAlign w:val="center"/>
          </w:tcPr>
          <w:p>
            <w:pPr>
              <w:pStyle w:val="8"/>
              <w:spacing w:line="240" w:lineRule="auto"/>
              <w:ind w:firstLine="0" w:firstLineChars="0"/>
              <w:rPr>
                <w:color w:val="auto"/>
              </w:rPr>
            </w:pPr>
            <w:r>
              <w:rPr>
                <w:color w:val="auto"/>
              </w:rPr>
              <w:t>10</w:t>
            </w:r>
          </w:p>
        </w:tc>
        <w:tc>
          <w:tcPr>
            <w:tcW w:w="4735" w:type="dxa"/>
            <w:vAlign w:val="center"/>
          </w:tcPr>
          <w:p>
            <w:pPr>
              <w:pStyle w:val="8"/>
              <w:spacing w:line="240" w:lineRule="auto"/>
              <w:ind w:firstLine="0" w:firstLineChars="0"/>
              <w:rPr>
                <w:color w:val="auto"/>
              </w:rPr>
            </w:pPr>
            <w:r>
              <w:rPr>
                <w:rFonts w:hint="eastAsia"/>
                <w:color w:val="auto"/>
              </w:rPr>
              <w:t>一级：重要史迹与周边景点的关联程度高（</w:t>
            </w:r>
            <w:r>
              <w:rPr>
                <w:color w:val="auto"/>
              </w:rPr>
              <w:t>8</w:t>
            </w:r>
            <w:r>
              <w:rPr>
                <w:rFonts w:hint="eastAsia"/>
                <w:color w:val="auto"/>
              </w:rPr>
              <w:t>—</w:t>
            </w:r>
            <w:r>
              <w:rPr>
                <w:color w:val="auto"/>
              </w:rPr>
              <w:t>10</w:t>
            </w:r>
            <w:r>
              <w:rPr>
                <w:rFonts w:hint="eastAsia"/>
                <w:color w:val="auto"/>
              </w:rPr>
              <w:t>分）</w:t>
            </w:r>
          </w:p>
          <w:p>
            <w:pPr>
              <w:pStyle w:val="8"/>
              <w:spacing w:line="240" w:lineRule="auto"/>
              <w:ind w:firstLine="0" w:firstLineChars="0"/>
              <w:rPr>
                <w:color w:val="auto"/>
              </w:rPr>
            </w:pPr>
            <w:r>
              <w:rPr>
                <w:rFonts w:hint="eastAsia"/>
                <w:color w:val="auto"/>
              </w:rPr>
              <w:t>二级：重要史迹与周边景点的关联程度较高（</w:t>
            </w:r>
            <w:r>
              <w:rPr>
                <w:color w:val="auto"/>
              </w:rPr>
              <w:t>6</w:t>
            </w:r>
            <w:r>
              <w:rPr>
                <w:rFonts w:hint="eastAsia"/>
                <w:color w:val="auto"/>
              </w:rPr>
              <w:t>—</w:t>
            </w:r>
            <w:r>
              <w:rPr>
                <w:color w:val="auto"/>
              </w:rPr>
              <w:t>8</w:t>
            </w:r>
            <w:r>
              <w:rPr>
                <w:rFonts w:hint="eastAsia"/>
                <w:color w:val="auto"/>
              </w:rPr>
              <w:t>分）</w:t>
            </w:r>
          </w:p>
          <w:p>
            <w:pPr>
              <w:pStyle w:val="8"/>
              <w:spacing w:line="240" w:lineRule="auto"/>
              <w:ind w:firstLine="0" w:firstLineChars="0"/>
              <w:rPr>
                <w:color w:val="auto"/>
              </w:rPr>
            </w:pPr>
            <w:r>
              <w:rPr>
                <w:rFonts w:hint="eastAsia"/>
                <w:color w:val="auto"/>
              </w:rPr>
              <w:t>三级：重要史迹与周边景点的关联程度一般甚至较差（</w:t>
            </w:r>
            <w:r>
              <w:rPr>
                <w:color w:val="auto"/>
              </w:rPr>
              <w:t>6</w:t>
            </w:r>
            <w:r>
              <w:rPr>
                <w:rFonts w:hint="eastAsia"/>
                <w:color w:val="auto"/>
              </w:rPr>
              <w:t>分以下）</w:t>
            </w:r>
          </w:p>
        </w:tc>
        <w:tc>
          <w:tcPr>
            <w:tcW w:w="817" w:type="dxa"/>
            <w:vAlign w:val="center"/>
          </w:tcPr>
          <w:p>
            <w:pPr>
              <w:pStyle w:val="8"/>
              <w:spacing w:line="240" w:lineRule="auto"/>
              <w:ind w:firstLine="0" w:firstLineChars="0"/>
              <w:rPr>
                <w:color w:val="auto"/>
              </w:rPr>
            </w:pPr>
          </w:p>
        </w:tc>
      </w:tr>
    </w:tbl>
    <w:p>
      <w:pPr>
        <w:rPr>
          <w:color w:val="auto"/>
        </w:rPr>
      </w:pPr>
    </w:p>
    <w:p>
      <w:pPr>
        <w:pStyle w:val="2"/>
        <w:rPr>
          <w:color w:val="auto"/>
        </w:rPr>
        <w:sectPr>
          <w:pgSz w:w="23811" w:h="16838" w:orient="landscape"/>
          <w:pgMar w:top="1800" w:right="1440" w:bottom="1800" w:left="1440" w:header="851" w:footer="992" w:gutter="0"/>
          <w:cols w:space="1051" w:num="2"/>
          <w:docGrid w:type="lines" w:linePitch="312" w:charSpace="0"/>
        </w:sectPr>
      </w:pPr>
    </w:p>
    <w:p>
      <w:pPr>
        <w:pStyle w:val="2"/>
        <w:spacing w:line="240" w:lineRule="auto"/>
        <w:rPr>
          <w:color w:val="auto"/>
        </w:rPr>
      </w:pPr>
      <w:bookmarkStart w:id="363" w:name="_Toc28638"/>
      <w:bookmarkStart w:id="364" w:name="_Toc4282"/>
      <w:bookmarkStart w:id="365" w:name="_Toc13339"/>
      <w:bookmarkStart w:id="366" w:name="_Toc18371"/>
      <w:bookmarkStart w:id="367" w:name="_Toc18336"/>
      <w:bookmarkStart w:id="368" w:name="_Toc114072219"/>
      <w:bookmarkStart w:id="369" w:name="_Toc16225"/>
      <w:bookmarkStart w:id="370" w:name="_Toc1000408341"/>
      <w:r>
        <w:rPr>
          <w:rFonts w:hint="eastAsia"/>
          <w:color w:val="auto"/>
        </w:rPr>
        <w:t>附录四：重要史迹综合评分表</w:t>
      </w:r>
      <w:bookmarkEnd w:id="363"/>
      <w:bookmarkEnd w:id="364"/>
      <w:bookmarkEnd w:id="365"/>
      <w:bookmarkEnd w:id="366"/>
      <w:bookmarkEnd w:id="367"/>
      <w:bookmarkEnd w:id="368"/>
      <w:bookmarkEnd w:id="369"/>
      <w:bookmarkEnd w:id="370"/>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9"/>
        <w:gridCol w:w="992"/>
        <w:gridCol w:w="993"/>
        <w:gridCol w:w="992"/>
        <w:gridCol w:w="992"/>
        <w:gridCol w:w="992"/>
        <w:gridCol w:w="993"/>
        <w:gridCol w:w="992"/>
        <w:gridCol w:w="1276"/>
        <w:gridCol w:w="992"/>
        <w:gridCol w:w="1276"/>
        <w:gridCol w:w="1275"/>
        <w:gridCol w:w="993"/>
        <w:gridCol w:w="992"/>
        <w:gridCol w:w="1276"/>
        <w:gridCol w:w="1559"/>
        <w:gridCol w:w="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Merge w:val="restart"/>
            <w:shd w:val="clear" w:color="auto" w:fill="E7E6E6" w:themeFill="background2"/>
            <w:vAlign w:val="center"/>
          </w:tcPr>
          <w:p>
            <w:pPr>
              <w:rPr>
                <w:rFonts w:ascii="宋体" w:hAnsi="宋体" w:eastAsia="宋体"/>
                <w:b/>
                <w:color w:val="auto"/>
                <w:sz w:val="24"/>
                <w:szCs w:val="24"/>
              </w:rPr>
            </w:pPr>
            <w:r>
              <w:rPr>
                <w:rFonts w:hint="eastAsia" w:ascii="宋体" w:hAnsi="宋体" w:eastAsia="宋体"/>
                <w:b/>
                <w:color w:val="auto"/>
                <w:sz w:val="24"/>
                <w:szCs w:val="24"/>
              </w:rPr>
              <w:t>评估指标</w:t>
            </w:r>
          </w:p>
        </w:tc>
        <w:tc>
          <w:tcPr>
            <w:tcW w:w="4961" w:type="dxa"/>
            <w:gridSpan w:val="5"/>
            <w:vMerge w:val="restart"/>
            <w:shd w:val="clear" w:color="auto" w:fill="E7E6E6" w:themeFill="background2"/>
            <w:vAlign w:val="center"/>
          </w:tcPr>
          <w:p>
            <w:pPr>
              <w:jc w:val="center"/>
              <w:rPr>
                <w:rFonts w:ascii="宋体" w:hAnsi="宋体" w:eastAsia="宋体"/>
                <w:b/>
                <w:color w:val="auto"/>
                <w:sz w:val="24"/>
                <w:szCs w:val="24"/>
              </w:rPr>
            </w:pPr>
            <w:r>
              <w:rPr>
                <w:rFonts w:hint="eastAsia" w:ascii="宋体" w:hAnsi="宋体" w:eastAsia="宋体"/>
                <w:b/>
                <w:color w:val="auto"/>
                <w:sz w:val="24"/>
                <w:szCs w:val="24"/>
              </w:rPr>
              <w:t>价值（4</w:t>
            </w:r>
            <w:r>
              <w:rPr>
                <w:rFonts w:ascii="宋体" w:hAnsi="宋体" w:eastAsia="宋体"/>
                <w:b/>
                <w:color w:val="auto"/>
                <w:sz w:val="24"/>
                <w:szCs w:val="24"/>
              </w:rPr>
              <w:t>0</w:t>
            </w:r>
            <w:r>
              <w:rPr>
                <w:rFonts w:hint="eastAsia" w:ascii="宋体" w:hAnsi="宋体" w:eastAsia="宋体"/>
                <w:b/>
                <w:color w:val="auto"/>
                <w:sz w:val="24"/>
                <w:szCs w:val="24"/>
              </w:rPr>
              <w:t>分）</w:t>
            </w:r>
          </w:p>
        </w:tc>
        <w:tc>
          <w:tcPr>
            <w:tcW w:w="7797" w:type="dxa"/>
            <w:gridSpan w:val="7"/>
            <w:shd w:val="clear" w:color="auto" w:fill="E7E6E6" w:themeFill="background2"/>
            <w:vAlign w:val="center"/>
          </w:tcPr>
          <w:p>
            <w:pPr>
              <w:jc w:val="center"/>
              <w:rPr>
                <w:rFonts w:ascii="宋体" w:hAnsi="宋体" w:eastAsia="宋体"/>
                <w:b/>
                <w:color w:val="auto"/>
                <w:sz w:val="24"/>
                <w:szCs w:val="24"/>
              </w:rPr>
            </w:pPr>
            <w:r>
              <w:rPr>
                <w:rFonts w:hint="eastAsia" w:ascii="宋体" w:hAnsi="宋体" w:eastAsia="宋体"/>
                <w:b/>
                <w:color w:val="auto"/>
                <w:sz w:val="24"/>
                <w:szCs w:val="24"/>
              </w:rPr>
              <w:t>本体（4</w:t>
            </w:r>
            <w:r>
              <w:rPr>
                <w:rFonts w:ascii="宋体" w:hAnsi="宋体" w:eastAsia="宋体"/>
                <w:b/>
                <w:color w:val="auto"/>
                <w:sz w:val="24"/>
                <w:szCs w:val="24"/>
              </w:rPr>
              <w:t>0</w:t>
            </w:r>
            <w:r>
              <w:rPr>
                <w:rFonts w:hint="eastAsia" w:ascii="宋体" w:hAnsi="宋体" w:eastAsia="宋体"/>
                <w:b/>
                <w:color w:val="auto"/>
                <w:sz w:val="24"/>
                <w:szCs w:val="24"/>
              </w:rPr>
              <w:t>分）</w:t>
            </w:r>
          </w:p>
        </w:tc>
        <w:tc>
          <w:tcPr>
            <w:tcW w:w="3827" w:type="dxa"/>
            <w:gridSpan w:val="3"/>
            <w:vMerge w:val="restart"/>
            <w:shd w:val="clear" w:color="auto" w:fill="E7E6E6" w:themeFill="background2"/>
            <w:vAlign w:val="center"/>
          </w:tcPr>
          <w:p>
            <w:pPr>
              <w:jc w:val="center"/>
              <w:rPr>
                <w:rFonts w:ascii="宋体" w:hAnsi="宋体" w:eastAsia="宋体"/>
                <w:b/>
                <w:color w:val="auto"/>
                <w:sz w:val="24"/>
                <w:szCs w:val="24"/>
              </w:rPr>
            </w:pPr>
            <w:r>
              <w:rPr>
                <w:rFonts w:hint="eastAsia" w:ascii="宋体" w:hAnsi="宋体" w:eastAsia="宋体"/>
                <w:b/>
                <w:color w:val="auto"/>
                <w:sz w:val="24"/>
                <w:szCs w:val="24"/>
              </w:rPr>
              <w:t>环境（2</w:t>
            </w:r>
            <w:r>
              <w:rPr>
                <w:rFonts w:ascii="宋体" w:hAnsi="宋体" w:eastAsia="宋体"/>
                <w:b/>
                <w:color w:val="auto"/>
                <w:sz w:val="24"/>
                <w:szCs w:val="24"/>
              </w:rPr>
              <w:t>0</w:t>
            </w:r>
            <w:r>
              <w:rPr>
                <w:rFonts w:hint="eastAsia" w:ascii="宋体" w:hAnsi="宋体" w:eastAsia="宋体"/>
                <w:b/>
                <w:color w:val="auto"/>
                <w:sz w:val="24"/>
                <w:szCs w:val="24"/>
              </w:rPr>
              <w:t>分）</w:t>
            </w:r>
          </w:p>
        </w:tc>
        <w:tc>
          <w:tcPr>
            <w:tcW w:w="797" w:type="dxa"/>
            <w:vMerge w:val="restart"/>
            <w:shd w:val="clear" w:color="auto" w:fill="E7E6E6" w:themeFill="background2"/>
            <w:vAlign w:val="center"/>
          </w:tcPr>
          <w:p>
            <w:pPr>
              <w:jc w:val="center"/>
              <w:rPr>
                <w:rFonts w:ascii="宋体" w:hAnsi="宋体" w:eastAsia="宋体"/>
                <w:b/>
                <w:color w:val="auto"/>
                <w:sz w:val="24"/>
                <w:szCs w:val="24"/>
              </w:rPr>
            </w:pPr>
            <w:r>
              <w:rPr>
                <w:rFonts w:hint="eastAsia" w:ascii="宋体" w:hAnsi="宋体" w:eastAsia="宋体"/>
                <w:b/>
                <w:color w:val="auto"/>
                <w:sz w:val="24"/>
                <w:szCs w:val="24"/>
              </w:rPr>
              <w:t>总分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Merge w:val="continue"/>
            <w:shd w:val="clear" w:color="auto" w:fill="E7E6E6" w:themeFill="background2"/>
            <w:vAlign w:val="center"/>
          </w:tcPr>
          <w:p>
            <w:pPr>
              <w:rPr>
                <w:rFonts w:ascii="宋体" w:hAnsi="宋体" w:eastAsia="宋体"/>
                <w:b/>
                <w:color w:val="auto"/>
                <w:sz w:val="24"/>
                <w:szCs w:val="24"/>
              </w:rPr>
            </w:pPr>
          </w:p>
        </w:tc>
        <w:tc>
          <w:tcPr>
            <w:tcW w:w="4961" w:type="dxa"/>
            <w:gridSpan w:val="5"/>
            <w:vMerge w:val="continue"/>
            <w:shd w:val="clear" w:color="auto" w:fill="E7E6E6" w:themeFill="background2"/>
            <w:vAlign w:val="center"/>
          </w:tcPr>
          <w:p>
            <w:pPr>
              <w:jc w:val="center"/>
              <w:rPr>
                <w:rFonts w:ascii="宋体" w:hAnsi="宋体" w:eastAsia="宋体"/>
                <w:b/>
                <w:color w:val="auto"/>
                <w:sz w:val="24"/>
                <w:szCs w:val="24"/>
              </w:rPr>
            </w:pPr>
          </w:p>
        </w:tc>
        <w:tc>
          <w:tcPr>
            <w:tcW w:w="4253" w:type="dxa"/>
            <w:gridSpan w:val="4"/>
            <w:shd w:val="clear" w:color="auto" w:fill="E7E6E6" w:themeFill="background2"/>
            <w:vAlign w:val="center"/>
          </w:tcPr>
          <w:p>
            <w:pPr>
              <w:jc w:val="center"/>
              <w:rPr>
                <w:rFonts w:ascii="宋体" w:hAnsi="宋体" w:eastAsia="宋体"/>
                <w:b/>
                <w:color w:val="auto"/>
                <w:sz w:val="24"/>
                <w:szCs w:val="24"/>
              </w:rPr>
            </w:pPr>
            <w:r>
              <w:rPr>
                <w:rFonts w:hint="eastAsia" w:ascii="宋体" w:hAnsi="宋体" w:eastAsia="宋体"/>
                <w:b/>
                <w:color w:val="auto"/>
                <w:sz w:val="24"/>
                <w:szCs w:val="24"/>
              </w:rPr>
              <w:t>保护</w:t>
            </w:r>
          </w:p>
        </w:tc>
        <w:tc>
          <w:tcPr>
            <w:tcW w:w="2551" w:type="dxa"/>
            <w:gridSpan w:val="2"/>
            <w:shd w:val="clear" w:color="auto" w:fill="E7E6E6" w:themeFill="background2"/>
            <w:vAlign w:val="center"/>
          </w:tcPr>
          <w:p>
            <w:pPr>
              <w:jc w:val="center"/>
              <w:rPr>
                <w:rFonts w:ascii="宋体" w:hAnsi="宋体" w:eastAsia="宋体"/>
                <w:b/>
                <w:color w:val="auto"/>
                <w:sz w:val="24"/>
                <w:szCs w:val="24"/>
              </w:rPr>
            </w:pPr>
            <w:r>
              <w:rPr>
                <w:rFonts w:hint="eastAsia" w:ascii="宋体" w:hAnsi="宋体" w:eastAsia="宋体"/>
                <w:b/>
                <w:color w:val="auto"/>
                <w:sz w:val="24"/>
                <w:szCs w:val="24"/>
              </w:rPr>
              <w:t>展示利用</w:t>
            </w:r>
          </w:p>
        </w:tc>
        <w:tc>
          <w:tcPr>
            <w:tcW w:w="993" w:type="dxa"/>
            <w:shd w:val="clear" w:color="auto" w:fill="E7E6E6" w:themeFill="background2"/>
            <w:vAlign w:val="center"/>
          </w:tcPr>
          <w:p>
            <w:pPr>
              <w:jc w:val="center"/>
              <w:rPr>
                <w:rFonts w:ascii="宋体" w:hAnsi="宋体" w:eastAsia="宋体"/>
                <w:b/>
                <w:color w:val="auto"/>
                <w:sz w:val="24"/>
                <w:szCs w:val="24"/>
              </w:rPr>
            </w:pPr>
            <w:r>
              <w:rPr>
                <w:rFonts w:hint="eastAsia" w:ascii="宋体" w:hAnsi="宋体" w:eastAsia="宋体"/>
                <w:b/>
                <w:color w:val="auto"/>
                <w:sz w:val="24"/>
                <w:szCs w:val="24"/>
              </w:rPr>
              <w:t>管理</w:t>
            </w:r>
          </w:p>
        </w:tc>
        <w:tc>
          <w:tcPr>
            <w:tcW w:w="3827" w:type="dxa"/>
            <w:gridSpan w:val="3"/>
            <w:vMerge w:val="continue"/>
            <w:shd w:val="clear" w:color="auto" w:fill="E7E6E6" w:themeFill="background2"/>
            <w:vAlign w:val="center"/>
          </w:tcPr>
          <w:p>
            <w:pPr>
              <w:jc w:val="center"/>
              <w:rPr>
                <w:rFonts w:ascii="宋体" w:hAnsi="宋体" w:eastAsia="宋体"/>
                <w:b/>
                <w:color w:val="auto"/>
                <w:sz w:val="24"/>
                <w:szCs w:val="24"/>
              </w:rPr>
            </w:pPr>
          </w:p>
        </w:tc>
        <w:tc>
          <w:tcPr>
            <w:tcW w:w="797" w:type="dxa"/>
            <w:vMerge w:val="continue"/>
            <w:shd w:val="clear" w:color="auto" w:fill="E7E6E6" w:themeFill="background2"/>
            <w:vAlign w:val="center"/>
          </w:tcPr>
          <w:p>
            <w:pPr>
              <w:jc w:val="center"/>
              <w:rPr>
                <w:rFonts w:ascii="宋体" w:hAnsi="宋体" w:eastAsia="宋体"/>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Merge w:val="continue"/>
            <w:shd w:val="clear" w:color="auto" w:fill="E7E6E6" w:themeFill="background2"/>
            <w:vAlign w:val="center"/>
          </w:tcPr>
          <w:p>
            <w:pPr>
              <w:rPr>
                <w:rFonts w:ascii="宋体" w:hAnsi="宋体" w:eastAsia="宋体"/>
                <w:b/>
                <w:color w:val="auto"/>
                <w:sz w:val="24"/>
                <w:szCs w:val="24"/>
              </w:rPr>
            </w:pPr>
          </w:p>
        </w:tc>
        <w:tc>
          <w:tcPr>
            <w:tcW w:w="992" w:type="dxa"/>
            <w:shd w:val="clear" w:color="auto" w:fill="E7E6E6" w:themeFill="background2"/>
            <w:vAlign w:val="center"/>
          </w:tcPr>
          <w:p>
            <w:pPr>
              <w:rPr>
                <w:rFonts w:ascii="宋体" w:hAnsi="宋体" w:eastAsia="宋体"/>
                <w:b/>
                <w:color w:val="auto"/>
                <w:sz w:val="24"/>
                <w:szCs w:val="24"/>
              </w:rPr>
            </w:pPr>
            <w:r>
              <w:rPr>
                <w:rFonts w:hint="eastAsia" w:ascii="宋体" w:hAnsi="宋体" w:eastAsia="宋体"/>
                <w:b/>
                <w:color w:val="auto"/>
                <w:sz w:val="24"/>
                <w:szCs w:val="24"/>
              </w:rPr>
              <w:t>1、历史价值</w:t>
            </w:r>
          </w:p>
        </w:tc>
        <w:tc>
          <w:tcPr>
            <w:tcW w:w="993" w:type="dxa"/>
            <w:shd w:val="clear" w:color="auto" w:fill="E7E6E6" w:themeFill="background2"/>
            <w:vAlign w:val="center"/>
          </w:tcPr>
          <w:p>
            <w:pPr>
              <w:rPr>
                <w:rFonts w:ascii="宋体" w:hAnsi="宋体" w:eastAsia="宋体"/>
                <w:b/>
                <w:color w:val="auto"/>
                <w:sz w:val="24"/>
                <w:szCs w:val="24"/>
              </w:rPr>
            </w:pPr>
            <w:r>
              <w:rPr>
                <w:rFonts w:hint="eastAsia" w:ascii="宋体" w:hAnsi="宋体" w:eastAsia="宋体"/>
                <w:b/>
                <w:color w:val="auto"/>
                <w:sz w:val="24"/>
                <w:szCs w:val="24"/>
              </w:rPr>
              <w:t>2、科学价值</w:t>
            </w:r>
          </w:p>
        </w:tc>
        <w:tc>
          <w:tcPr>
            <w:tcW w:w="992" w:type="dxa"/>
            <w:shd w:val="clear" w:color="auto" w:fill="E7E6E6" w:themeFill="background2"/>
            <w:vAlign w:val="center"/>
          </w:tcPr>
          <w:p>
            <w:pPr>
              <w:rPr>
                <w:rFonts w:ascii="宋体" w:hAnsi="宋体" w:eastAsia="宋体"/>
                <w:b/>
                <w:color w:val="auto"/>
                <w:sz w:val="24"/>
                <w:szCs w:val="24"/>
              </w:rPr>
            </w:pPr>
            <w:r>
              <w:rPr>
                <w:rFonts w:hint="eastAsia" w:ascii="宋体" w:hAnsi="宋体" w:eastAsia="宋体"/>
                <w:b/>
                <w:color w:val="auto"/>
                <w:sz w:val="24"/>
                <w:szCs w:val="24"/>
              </w:rPr>
              <w:t>3、社会价值</w:t>
            </w:r>
          </w:p>
        </w:tc>
        <w:tc>
          <w:tcPr>
            <w:tcW w:w="992" w:type="dxa"/>
            <w:shd w:val="clear" w:color="auto" w:fill="E7E6E6" w:themeFill="background2"/>
            <w:vAlign w:val="center"/>
          </w:tcPr>
          <w:p>
            <w:pPr>
              <w:rPr>
                <w:rFonts w:ascii="宋体" w:hAnsi="宋体" w:eastAsia="宋体"/>
                <w:b/>
                <w:color w:val="auto"/>
                <w:sz w:val="24"/>
                <w:szCs w:val="24"/>
              </w:rPr>
            </w:pPr>
            <w:r>
              <w:rPr>
                <w:rFonts w:hint="eastAsia" w:ascii="宋体" w:hAnsi="宋体" w:eastAsia="宋体"/>
                <w:b/>
                <w:color w:val="auto"/>
                <w:sz w:val="24"/>
                <w:szCs w:val="24"/>
              </w:rPr>
              <w:t>4、文化价值</w:t>
            </w:r>
          </w:p>
        </w:tc>
        <w:tc>
          <w:tcPr>
            <w:tcW w:w="992" w:type="dxa"/>
            <w:shd w:val="clear" w:color="auto" w:fill="E7E6E6" w:themeFill="background2"/>
            <w:vAlign w:val="center"/>
          </w:tcPr>
          <w:p>
            <w:pPr>
              <w:rPr>
                <w:rFonts w:ascii="宋体" w:hAnsi="宋体" w:eastAsia="宋体"/>
                <w:b/>
                <w:color w:val="auto"/>
                <w:sz w:val="24"/>
                <w:szCs w:val="24"/>
              </w:rPr>
            </w:pPr>
            <w:r>
              <w:rPr>
                <w:rFonts w:hint="eastAsia" w:ascii="宋体" w:hAnsi="宋体" w:eastAsia="宋体"/>
                <w:b/>
                <w:color w:val="auto"/>
                <w:sz w:val="24"/>
                <w:szCs w:val="24"/>
              </w:rPr>
              <w:t>5、艺术价值</w:t>
            </w:r>
          </w:p>
        </w:tc>
        <w:tc>
          <w:tcPr>
            <w:tcW w:w="993" w:type="dxa"/>
            <w:shd w:val="clear" w:color="auto" w:fill="E7E6E6" w:themeFill="background2"/>
            <w:vAlign w:val="center"/>
          </w:tcPr>
          <w:p>
            <w:pPr>
              <w:rPr>
                <w:rFonts w:ascii="宋体" w:hAnsi="宋体" w:eastAsia="宋体"/>
                <w:b/>
                <w:color w:val="auto"/>
                <w:sz w:val="24"/>
                <w:szCs w:val="24"/>
              </w:rPr>
            </w:pPr>
            <w:r>
              <w:rPr>
                <w:rFonts w:hint="eastAsia" w:ascii="宋体" w:hAnsi="宋体" w:eastAsia="宋体"/>
                <w:b/>
                <w:color w:val="auto"/>
                <w:sz w:val="24"/>
                <w:szCs w:val="24"/>
              </w:rPr>
              <w:t>1、保护现状</w:t>
            </w:r>
          </w:p>
        </w:tc>
        <w:tc>
          <w:tcPr>
            <w:tcW w:w="992" w:type="dxa"/>
            <w:shd w:val="clear" w:color="auto" w:fill="E7E6E6" w:themeFill="background2"/>
            <w:vAlign w:val="center"/>
          </w:tcPr>
          <w:p>
            <w:pPr>
              <w:rPr>
                <w:rFonts w:ascii="宋体" w:hAnsi="宋体" w:eastAsia="宋体"/>
                <w:b/>
                <w:color w:val="auto"/>
                <w:sz w:val="24"/>
                <w:szCs w:val="24"/>
              </w:rPr>
            </w:pPr>
            <w:r>
              <w:rPr>
                <w:rFonts w:hint="eastAsia" w:ascii="宋体" w:hAnsi="宋体" w:eastAsia="宋体"/>
                <w:b/>
                <w:color w:val="auto"/>
                <w:sz w:val="24"/>
                <w:szCs w:val="24"/>
              </w:rPr>
              <w:t>2、使用现状</w:t>
            </w:r>
          </w:p>
        </w:tc>
        <w:tc>
          <w:tcPr>
            <w:tcW w:w="1276" w:type="dxa"/>
            <w:shd w:val="clear" w:color="auto" w:fill="E7E6E6" w:themeFill="background2"/>
            <w:vAlign w:val="center"/>
          </w:tcPr>
          <w:p>
            <w:pPr>
              <w:rPr>
                <w:rFonts w:ascii="宋体" w:hAnsi="宋体" w:eastAsia="宋体"/>
                <w:b/>
                <w:color w:val="auto"/>
                <w:sz w:val="24"/>
                <w:szCs w:val="24"/>
              </w:rPr>
            </w:pPr>
            <w:r>
              <w:rPr>
                <w:rFonts w:hint="eastAsia" w:ascii="宋体" w:hAnsi="宋体" w:eastAsia="宋体"/>
                <w:b/>
                <w:color w:val="auto"/>
                <w:sz w:val="24"/>
                <w:szCs w:val="24"/>
              </w:rPr>
              <w:t>3、基础设施现状</w:t>
            </w:r>
          </w:p>
        </w:tc>
        <w:tc>
          <w:tcPr>
            <w:tcW w:w="992" w:type="dxa"/>
            <w:shd w:val="clear" w:color="auto" w:fill="E7E6E6" w:themeFill="background2"/>
            <w:vAlign w:val="center"/>
          </w:tcPr>
          <w:p>
            <w:pPr>
              <w:rPr>
                <w:rFonts w:ascii="宋体" w:hAnsi="宋体" w:eastAsia="宋体"/>
                <w:b/>
                <w:color w:val="auto"/>
                <w:sz w:val="24"/>
                <w:szCs w:val="24"/>
              </w:rPr>
            </w:pPr>
            <w:r>
              <w:rPr>
                <w:rFonts w:hint="eastAsia" w:ascii="宋体" w:hAnsi="宋体" w:eastAsia="宋体"/>
                <w:b/>
                <w:color w:val="auto"/>
                <w:sz w:val="24"/>
                <w:szCs w:val="24"/>
              </w:rPr>
              <w:t>4、建造质量</w:t>
            </w:r>
          </w:p>
        </w:tc>
        <w:tc>
          <w:tcPr>
            <w:tcW w:w="1276" w:type="dxa"/>
            <w:shd w:val="clear" w:color="auto" w:fill="E7E6E6" w:themeFill="background2"/>
            <w:vAlign w:val="center"/>
          </w:tcPr>
          <w:p>
            <w:pPr>
              <w:rPr>
                <w:rFonts w:ascii="宋体" w:hAnsi="宋体" w:eastAsia="宋体"/>
                <w:b/>
                <w:color w:val="auto"/>
                <w:sz w:val="24"/>
                <w:szCs w:val="24"/>
              </w:rPr>
            </w:pPr>
            <w:r>
              <w:rPr>
                <w:rFonts w:ascii="宋体" w:hAnsi="宋体" w:eastAsia="宋体"/>
                <w:b/>
                <w:color w:val="auto"/>
                <w:sz w:val="24"/>
                <w:szCs w:val="24"/>
              </w:rPr>
              <w:t>5</w:t>
            </w:r>
            <w:r>
              <w:rPr>
                <w:rFonts w:hint="eastAsia" w:ascii="宋体" w:hAnsi="宋体" w:eastAsia="宋体"/>
                <w:b/>
                <w:color w:val="auto"/>
                <w:sz w:val="24"/>
                <w:szCs w:val="24"/>
              </w:rPr>
              <w:t>、展示利用潜力</w:t>
            </w:r>
          </w:p>
        </w:tc>
        <w:tc>
          <w:tcPr>
            <w:tcW w:w="1275" w:type="dxa"/>
            <w:shd w:val="clear" w:color="auto" w:fill="E7E6E6" w:themeFill="background2"/>
            <w:vAlign w:val="center"/>
          </w:tcPr>
          <w:p>
            <w:pPr>
              <w:rPr>
                <w:rFonts w:ascii="宋体" w:hAnsi="宋体" w:eastAsia="宋体"/>
                <w:b/>
                <w:color w:val="auto"/>
                <w:sz w:val="24"/>
                <w:szCs w:val="24"/>
              </w:rPr>
            </w:pPr>
            <w:r>
              <w:rPr>
                <w:rFonts w:ascii="宋体" w:hAnsi="宋体" w:eastAsia="宋体"/>
                <w:b/>
                <w:color w:val="auto"/>
                <w:sz w:val="24"/>
                <w:szCs w:val="24"/>
              </w:rPr>
              <w:t>6</w:t>
            </w:r>
            <w:r>
              <w:rPr>
                <w:rFonts w:hint="eastAsia" w:ascii="宋体" w:hAnsi="宋体" w:eastAsia="宋体"/>
                <w:b/>
                <w:color w:val="auto"/>
                <w:sz w:val="24"/>
                <w:szCs w:val="24"/>
              </w:rPr>
              <w:t>、价值阐释效果</w:t>
            </w:r>
          </w:p>
        </w:tc>
        <w:tc>
          <w:tcPr>
            <w:tcW w:w="993" w:type="dxa"/>
            <w:shd w:val="clear" w:color="auto" w:fill="E7E6E6" w:themeFill="background2"/>
            <w:vAlign w:val="center"/>
          </w:tcPr>
          <w:p>
            <w:pPr>
              <w:rPr>
                <w:rFonts w:ascii="宋体" w:hAnsi="宋体" w:eastAsia="宋体"/>
                <w:b/>
                <w:color w:val="auto"/>
                <w:sz w:val="24"/>
                <w:szCs w:val="24"/>
              </w:rPr>
            </w:pPr>
            <w:r>
              <w:rPr>
                <w:rFonts w:ascii="宋体" w:hAnsi="宋体" w:eastAsia="宋体"/>
                <w:b/>
                <w:color w:val="auto"/>
                <w:sz w:val="24"/>
                <w:szCs w:val="24"/>
              </w:rPr>
              <w:t>7</w:t>
            </w:r>
            <w:r>
              <w:rPr>
                <w:rFonts w:hint="eastAsia" w:ascii="宋体" w:hAnsi="宋体" w:eastAsia="宋体"/>
                <w:b/>
                <w:color w:val="auto"/>
                <w:sz w:val="24"/>
                <w:szCs w:val="24"/>
              </w:rPr>
              <w:t>、管理现状</w:t>
            </w:r>
          </w:p>
        </w:tc>
        <w:tc>
          <w:tcPr>
            <w:tcW w:w="992" w:type="dxa"/>
            <w:shd w:val="clear" w:color="auto" w:fill="E7E6E6" w:themeFill="background2"/>
            <w:vAlign w:val="center"/>
          </w:tcPr>
          <w:p>
            <w:pPr>
              <w:rPr>
                <w:rFonts w:ascii="宋体" w:hAnsi="宋体" w:eastAsia="宋体"/>
                <w:b/>
                <w:color w:val="auto"/>
                <w:sz w:val="24"/>
                <w:szCs w:val="24"/>
              </w:rPr>
            </w:pPr>
            <w:r>
              <w:rPr>
                <w:rFonts w:hint="eastAsia" w:ascii="宋体" w:hAnsi="宋体" w:eastAsia="宋体"/>
                <w:b/>
                <w:color w:val="auto"/>
                <w:sz w:val="24"/>
                <w:szCs w:val="24"/>
              </w:rPr>
              <w:t>1、交通可达性</w:t>
            </w:r>
          </w:p>
        </w:tc>
        <w:tc>
          <w:tcPr>
            <w:tcW w:w="1276" w:type="dxa"/>
            <w:shd w:val="clear" w:color="auto" w:fill="E7E6E6" w:themeFill="background2"/>
            <w:vAlign w:val="center"/>
          </w:tcPr>
          <w:p>
            <w:pPr>
              <w:rPr>
                <w:rFonts w:ascii="宋体" w:hAnsi="宋体" w:eastAsia="宋体"/>
                <w:b/>
                <w:color w:val="auto"/>
                <w:sz w:val="24"/>
                <w:szCs w:val="24"/>
              </w:rPr>
            </w:pPr>
            <w:r>
              <w:rPr>
                <w:rFonts w:ascii="宋体" w:hAnsi="宋体" w:eastAsia="宋体"/>
                <w:b/>
                <w:color w:val="auto"/>
                <w:sz w:val="24"/>
                <w:szCs w:val="24"/>
              </w:rPr>
              <w:t>2</w:t>
            </w:r>
            <w:r>
              <w:rPr>
                <w:rFonts w:hint="eastAsia" w:ascii="宋体" w:hAnsi="宋体" w:eastAsia="宋体"/>
                <w:b/>
                <w:color w:val="auto"/>
                <w:sz w:val="24"/>
                <w:szCs w:val="24"/>
              </w:rPr>
              <w:t>、周边山体水系</w:t>
            </w:r>
          </w:p>
        </w:tc>
        <w:tc>
          <w:tcPr>
            <w:tcW w:w="1559" w:type="dxa"/>
            <w:shd w:val="clear" w:color="auto" w:fill="E7E6E6" w:themeFill="background2"/>
            <w:vAlign w:val="center"/>
          </w:tcPr>
          <w:p>
            <w:pPr>
              <w:rPr>
                <w:rFonts w:ascii="宋体" w:hAnsi="宋体" w:eastAsia="宋体"/>
                <w:b/>
                <w:color w:val="auto"/>
                <w:sz w:val="24"/>
                <w:szCs w:val="24"/>
              </w:rPr>
            </w:pPr>
            <w:r>
              <w:rPr>
                <w:rFonts w:ascii="宋体" w:hAnsi="宋体" w:eastAsia="宋体"/>
                <w:b/>
                <w:color w:val="auto"/>
                <w:sz w:val="24"/>
                <w:szCs w:val="24"/>
              </w:rPr>
              <w:t>3</w:t>
            </w:r>
            <w:r>
              <w:rPr>
                <w:rFonts w:hint="eastAsia" w:ascii="宋体" w:hAnsi="宋体" w:eastAsia="宋体"/>
                <w:b/>
                <w:color w:val="auto"/>
                <w:sz w:val="24"/>
                <w:szCs w:val="24"/>
              </w:rPr>
              <w:t>、周边各资源优势度</w:t>
            </w:r>
          </w:p>
        </w:tc>
        <w:tc>
          <w:tcPr>
            <w:tcW w:w="797" w:type="dxa"/>
            <w:shd w:val="clear" w:color="auto" w:fill="E7E6E6" w:themeFill="background2"/>
            <w:vAlign w:val="center"/>
          </w:tcPr>
          <w:p>
            <w:pPr>
              <w:rPr>
                <w:rFonts w:ascii="宋体" w:hAnsi="宋体" w:eastAsia="宋体"/>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大成面粉厂</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0</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5</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797" w:type="dxa"/>
            <w:vAlign w:val="center"/>
          </w:tcPr>
          <w:p>
            <w:pPr>
              <w:rPr>
                <w:rFonts w:ascii="宋体" w:hAnsi="宋体" w:eastAsia="宋体"/>
                <w:color w:val="auto"/>
                <w:sz w:val="24"/>
                <w:szCs w:val="24"/>
              </w:rPr>
            </w:pPr>
            <w:r>
              <w:rPr>
                <w:rFonts w:ascii="宋体" w:hAnsi="宋体" w:eastAsia="宋体"/>
                <w:color w:val="auto"/>
                <w:sz w:val="24"/>
                <w:szCs w:val="24"/>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广东浮法玻璃厂（价值工厂）</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0</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797" w:type="dxa"/>
            <w:vAlign w:val="center"/>
          </w:tcPr>
          <w:p>
            <w:pPr>
              <w:rPr>
                <w:rFonts w:ascii="宋体" w:hAnsi="宋体" w:eastAsia="宋体"/>
                <w:color w:val="auto"/>
                <w:sz w:val="24"/>
                <w:szCs w:val="24"/>
              </w:rPr>
            </w:pPr>
            <w:r>
              <w:rPr>
                <w:rFonts w:ascii="宋体" w:hAnsi="宋体" w:eastAsia="宋体"/>
                <w:color w:val="auto"/>
                <w:sz w:val="24"/>
                <w:szCs w:val="24"/>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“空谈误国，实干兴邦”标语牌</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6</w:t>
            </w:r>
          </w:p>
        </w:tc>
        <w:tc>
          <w:tcPr>
            <w:tcW w:w="993"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10</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4</w:t>
            </w:r>
          </w:p>
        </w:tc>
        <w:tc>
          <w:tcPr>
            <w:tcW w:w="1275"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2</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5</w:t>
            </w:r>
          </w:p>
        </w:tc>
        <w:tc>
          <w:tcPr>
            <w:tcW w:w="797" w:type="dxa"/>
            <w:vAlign w:val="center"/>
          </w:tcPr>
          <w:p>
            <w:pPr>
              <w:rPr>
                <w:rFonts w:ascii="宋体" w:hAnsi="宋体" w:eastAsia="宋体"/>
                <w:color w:val="auto"/>
                <w:sz w:val="24"/>
                <w:szCs w:val="24"/>
              </w:rPr>
            </w:pPr>
            <w:r>
              <w:rPr>
                <w:rFonts w:ascii="宋体" w:hAnsi="宋体" w:eastAsia="宋体"/>
                <w:color w:val="auto"/>
                <w:sz w:val="24"/>
                <w:szCs w:val="24"/>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明华轮</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10</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9</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ascii="宋体" w:hAnsi="宋体" w:eastAsia="宋体"/>
                <w:color w:val="auto"/>
                <w:sz w:val="24"/>
                <w:szCs w:val="24"/>
              </w:rPr>
              <w:t>12</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10</w:t>
            </w:r>
          </w:p>
        </w:tc>
        <w:tc>
          <w:tcPr>
            <w:tcW w:w="797" w:type="dxa"/>
            <w:vAlign w:val="center"/>
          </w:tcPr>
          <w:p>
            <w:pPr>
              <w:rPr>
                <w:rFonts w:ascii="宋体" w:hAnsi="宋体" w:eastAsia="宋体"/>
                <w:color w:val="auto"/>
                <w:sz w:val="24"/>
                <w:szCs w:val="24"/>
              </w:rPr>
            </w:pPr>
            <w:r>
              <w:rPr>
                <w:rFonts w:ascii="宋体" w:hAnsi="宋体" w:eastAsia="宋体"/>
                <w:color w:val="auto"/>
                <w:sz w:val="24"/>
                <w:szCs w:val="24"/>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南海酒店</w:t>
            </w:r>
          </w:p>
          <w:p>
            <w:pPr>
              <w:rPr>
                <w:rFonts w:ascii="宋体" w:hAnsi="宋体" w:eastAsia="宋体"/>
                <w:color w:val="auto"/>
                <w:sz w:val="24"/>
                <w:szCs w:val="24"/>
              </w:rPr>
            </w:pPr>
            <w:r>
              <w:rPr>
                <w:rFonts w:hint="eastAsia" w:ascii="宋体" w:hAnsi="宋体" w:eastAsia="宋体"/>
                <w:color w:val="auto"/>
                <w:sz w:val="24"/>
                <w:szCs w:val="24"/>
              </w:rPr>
              <w:t>（希尔顿酒店）</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ascii="宋体" w:hAnsi="宋体" w:eastAsia="宋体"/>
                <w:color w:val="auto"/>
                <w:sz w:val="24"/>
                <w:szCs w:val="24"/>
              </w:rPr>
              <w:t>12</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559"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0</w:t>
            </w:r>
          </w:p>
        </w:tc>
        <w:tc>
          <w:tcPr>
            <w:tcW w:w="797" w:type="dxa"/>
            <w:vAlign w:val="center"/>
          </w:tcPr>
          <w:p>
            <w:pPr>
              <w:rPr>
                <w:rFonts w:ascii="宋体" w:hAnsi="宋体" w:eastAsia="宋体"/>
                <w:color w:val="auto"/>
                <w:sz w:val="24"/>
                <w:szCs w:val="24"/>
              </w:rPr>
            </w:pPr>
            <w:r>
              <w:rPr>
                <w:rFonts w:ascii="宋体" w:hAnsi="宋体" w:eastAsia="宋体"/>
                <w:color w:val="auto"/>
                <w:sz w:val="24"/>
                <w:szCs w:val="24"/>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三洋厂房（南海意库）</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7</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ascii="宋体" w:hAnsi="宋体" w:eastAsia="宋体"/>
                <w:color w:val="auto"/>
                <w:sz w:val="24"/>
                <w:szCs w:val="24"/>
              </w:rPr>
              <w:t>11</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559" w:type="dxa"/>
            <w:vAlign w:val="center"/>
          </w:tcPr>
          <w:p>
            <w:pPr>
              <w:rPr>
                <w:rFonts w:ascii="宋体" w:hAnsi="宋体" w:eastAsia="宋体"/>
                <w:color w:val="auto"/>
                <w:sz w:val="24"/>
                <w:szCs w:val="24"/>
              </w:rPr>
            </w:pPr>
            <w:r>
              <w:rPr>
                <w:rFonts w:hint="eastAsia" w:ascii="宋体" w:hAnsi="宋体" w:eastAsia="宋体"/>
                <w:color w:val="auto"/>
                <w:sz w:val="24"/>
                <w:szCs w:val="24"/>
              </w:rPr>
              <w:t>6</w:t>
            </w:r>
          </w:p>
        </w:tc>
        <w:tc>
          <w:tcPr>
            <w:tcW w:w="797" w:type="dxa"/>
            <w:vAlign w:val="center"/>
          </w:tcPr>
          <w:p>
            <w:pPr>
              <w:rPr>
                <w:rFonts w:ascii="宋体" w:hAnsi="宋体" w:eastAsia="宋体"/>
                <w:color w:val="auto"/>
                <w:sz w:val="24"/>
                <w:szCs w:val="24"/>
              </w:rPr>
            </w:pPr>
            <w:r>
              <w:rPr>
                <w:rFonts w:ascii="宋体" w:hAnsi="宋体" w:eastAsia="宋体"/>
                <w:color w:val="auto"/>
                <w:sz w:val="24"/>
                <w:szCs w:val="24"/>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深圳大学（汇元楼、汇典楼与汇紫楼）</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ascii="宋体" w:hAnsi="宋体" w:eastAsia="宋体"/>
                <w:color w:val="auto"/>
                <w:sz w:val="24"/>
                <w:szCs w:val="24"/>
              </w:rPr>
              <w:t>11</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559" w:type="dxa"/>
            <w:vAlign w:val="center"/>
          </w:tcPr>
          <w:p>
            <w:pPr>
              <w:rPr>
                <w:rFonts w:ascii="宋体" w:hAnsi="宋体" w:eastAsia="宋体"/>
                <w:color w:val="auto"/>
                <w:sz w:val="24"/>
                <w:szCs w:val="24"/>
              </w:rPr>
            </w:pPr>
            <w:r>
              <w:rPr>
                <w:rFonts w:hint="eastAsia" w:ascii="宋体" w:hAnsi="宋体" w:eastAsia="宋体"/>
                <w:color w:val="auto"/>
                <w:sz w:val="24"/>
                <w:szCs w:val="24"/>
              </w:rPr>
              <w:t>8</w:t>
            </w:r>
          </w:p>
        </w:tc>
        <w:tc>
          <w:tcPr>
            <w:tcW w:w="797" w:type="dxa"/>
            <w:vAlign w:val="center"/>
          </w:tcPr>
          <w:p>
            <w:pPr>
              <w:rPr>
                <w:rFonts w:ascii="宋体" w:hAnsi="宋体" w:eastAsia="宋体"/>
                <w:color w:val="auto"/>
                <w:sz w:val="24"/>
                <w:szCs w:val="24"/>
              </w:rPr>
            </w:pPr>
            <w:r>
              <w:rPr>
                <w:rFonts w:hint="eastAsia" w:ascii="宋体" w:hAnsi="宋体" w:eastAsia="宋体"/>
                <w:color w:val="auto"/>
                <w:sz w:val="24"/>
                <w:szCs w:val="24"/>
              </w:rPr>
              <w:t>8</w:t>
            </w:r>
            <w:r>
              <w:rPr>
                <w:rFonts w:ascii="宋体" w:hAnsi="宋体" w:eastAsia="宋体"/>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微波山时间广场</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5</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559"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0</w:t>
            </w:r>
          </w:p>
        </w:tc>
        <w:tc>
          <w:tcPr>
            <w:tcW w:w="797" w:type="dxa"/>
            <w:vAlign w:val="center"/>
          </w:tcPr>
          <w:p>
            <w:pPr>
              <w:rPr>
                <w:rFonts w:ascii="宋体" w:hAnsi="宋体" w:eastAsia="宋体"/>
                <w:color w:val="auto"/>
                <w:sz w:val="24"/>
                <w:szCs w:val="24"/>
              </w:rPr>
            </w:pPr>
            <w:r>
              <w:rPr>
                <w:rFonts w:hint="eastAsia" w:ascii="宋体" w:hAnsi="宋体" w:eastAsia="宋体"/>
                <w:color w:val="auto"/>
                <w:sz w:val="24"/>
                <w:szCs w:val="24"/>
              </w:rPr>
              <w:t>9</w:t>
            </w:r>
            <w:r>
              <w:rPr>
                <w:rFonts w:ascii="宋体" w:hAnsi="宋体" w:eastAsia="宋体"/>
                <w:color w:val="auto"/>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袁庚像</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1</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1</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559"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0</w:t>
            </w:r>
          </w:p>
        </w:tc>
        <w:tc>
          <w:tcPr>
            <w:tcW w:w="797" w:type="dxa"/>
            <w:vAlign w:val="center"/>
          </w:tcPr>
          <w:p>
            <w:pPr>
              <w:rPr>
                <w:rFonts w:ascii="宋体" w:hAnsi="宋体" w:eastAsia="宋体"/>
                <w:color w:val="auto"/>
                <w:sz w:val="24"/>
                <w:szCs w:val="24"/>
              </w:rPr>
            </w:pPr>
            <w:r>
              <w:rPr>
                <w:rFonts w:hint="eastAsia" w:ascii="宋体" w:hAnsi="宋体" w:eastAsia="宋体"/>
                <w:color w:val="auto"/>
                <w:sz w:val="24"/>
                <w:szCs w:val="24"/>
              </w:rPr>
              <w:t>8</w:t>
            </w:r>
            <w:r>
              <w:rPr>
                <w:rFonts w:ascii="宋体" w:hAnsi="宋体" w:eastAsia="宋体"/>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锦绣中华民俗村（华侨城）</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8</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1</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559"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0</w:t>
            </w:r>
          </w:p>
        </w:tc>
        <w:tc>
          <w:tcPr>
            <w:tcW w:w="797" w:type="dxa"/>
            <w:vAlign w:val="center"/>
          </w:tcPr>
          <w:p>
            <w:pPr>
              <w:rPr>
                <w:rFonts w:ascii="宋体" w:hAnsi="宋体" w:eastAsia="宋体"/>
                <w:color w:val="auto"/>
                <w:sz w:val="24"/>
                <w:szCs w:val="24"/>
              </w:rPr>
            </w:pPr>
            <w:r>
              <w:rPr>
                <w:rFonts w:hint="eastAsia" w:ascii="宋体" w:hAnsi="宋体" w:eastAsia="宋体"/>
                <w:color w:val="auto"/>
                <w:sz w:val="24"/>
                <w:szCs w:val="24"/>
              </w:rPr>
              <w:t>8</w:t>
            </w:r>
            <w:r>
              <w:rPr>
                <w:rFonts w:ascii="宋体" w:hAnsi="宋体" w:eastAsia="宋体"/>
                <w:color w:val="auto"/>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世界之窗</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2</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0</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559"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0</w:t>
            </w:r>
          </w:p>
        </w:tc>
        <w:tc>
          <w:tcPr>
            <w:tcW w:w="797" w:type="dxa"/>
            <w:vAlign w:val="center"/>
          </w:tcPr>
          <w:p>
            <w:pPr>
              <w:rPr>
                <w:rFonts w:ascii="宋体" w:hAnsi="宋体" w:eastAsia="宋体"/>
                <w:color w:val="auto"/>
                <w:sz w:val="24"/>
                <w:szCs w:val="24"/>
              </w:rPr>
            </w:pPr>
            <w:r>
              <w:rPr>
                <w:rFonts w:hint="eastAsia" w:ascii="宋体" w:hAnsi="宋体" w:eastAsia="宋体"/>
                <w:color w:val="auto"/>
                <w:sz w:val="24"/>
                <w:szCs w:val="24"/>
              </w:rPr>
              <w:t>8</w:t>
            </w:r>
            <w:r>
              <w:rPr>
                <w:rFonts w:ascii="宋体" w:hAnsi="宋体" w:eastAsia="宋体"/>
                <w:color w:val="auto"/>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前海石公园</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3"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1</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2</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797" w:type="dxa"/>
            <w:vAlign w:val="center"/>
          </w:tcPr>
          <w:p>
            <w:pPr>
              <w:rPr>
                <w:rFonts w:ascii="宋体" w:hAnsi="宋体" w:eastAsia="宋体"/>
                <w:color w:val="auto"/>
                <w:sz w:val="24"/>
                <w:szCs w:val="24"/>
              </w:rPr>
            </w:pPr>
            <w:r>
              <w:rPr>
                <w:rFonts w:ascii="宋体" w:hAnsi="宋体" w:eastAsia="宋体"/>
                <w:color w:val="auto"/>
                <w:sz w:val="24"/>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深圳市南头中学</w:t>
            </w:r>
          </w:p>
          <w:p>
            <w:pPr>
              <w:rPr>
                <w:rFonts w:ascii="宋体" w:hAnsi="宋体" w:eastAsia="宋体"/>
                <w:color w:val="auto"/>
                <w:sz w:val="24"/>
                <w:szCs w:val="24"/>
              </w:rPr>
            </w:pPr>
            <w:r>
              <w:rPr>
                <w:rFonts w:hint="eastAsia" w:ascii="宋体" w:hAnsi="宋体" w:eastAsia="宋体"/>
                <w:color w:val="auto"/>
                <w:sz w:val="24"/>
                <w:szCs w:val="24"/>
              </w:rPr>
              <w:t>（校史馆）</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3" w:type="dxa"/>
            <w:vAlign w:val="center"/>
          </w:tcPr>
          <w:p>
            <w:pPr>
              <w:rPr>
                <w:rFonts w:ascii="宋体" w:hAnsi="宋体" w:eastAsia="宋体"/>
                <w:color w:val="auto"/>
                <w:sz w:val="24"/>
                <w:szCs w:val="24"/>
              </w:rPr>
            </w:pPr>
            <w:r>
              <w:rPr>
                <w:rFonts w:ascii="宋体" w:hAnsi="宋体" w:eastAsia="宋体"/>
                <w:color w:val="auto"/>
                <w:sz w:val="24"/>
                <w:szCs w:val="24"/>
              </w:rPr>
              <w:t>2</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2</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0</w:t>
            </w:r>
          </w:p>
        </w:tc>
        <w:tc>
          <w:tcPr>
            <w:tcW w:w="1275" w:type="dxa"/>
            <w:vAlign w:val="center"/>
          </w:tcPr>
          <w:p>
            <w:pPr>
              <w:rPr>
                <w:rFonts w:ascii="宋体" w:hAnsi="宋体" w:eastAsia="宋体"/>
                <w:color w:val="auto"/>
                <w:sz w:val="24"/>
                <w:szCs w:val="24"/>
              </w:rPr>
            </w:pPr>
            <w:r>
              <w:rPr>
                <w:rFonts w:ascii="宋体" w:hAnsi="宋体" w:eastAsia="宋体"/>
                <w:color w:val="auto"/>
                <w:sz w:val="24"/>
                <w:szCs w:val="24"/>
              </w:rPr>
              <w:t>2</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559" w:type="dxa"/>
            <w:vAlign w:val="center"/>
          </w:tcPr>
          <w:p>
            <w:pPr>
              <w:rPr>
                <w:rFonts w:ascii="宋体" w:hAnsi="宋体" w:eastAsia="宋体"/>
                <w:color w:val="auto"/>
                <w:sz w:val="24"/>
                <w:szCs w:val="24"/>
              </w:rPr>
            </w:pPr>
            <w:r>
              <w:rPr>
                <w:rFonts w:hint="eastAsia" w:ascii="宋体" w:hAnsi="宋体" w:eastAsia="宋体"/>
                <w:color w:val="auto"/>
                <w:sz w:val="24"/>
                <w:szCs w:val="24"/>
              </w:rPr>
              <w:t>6</w:t>
            </w:r>
          </w:p>
        </w:tc>
        <w:tc>
          <w:tcPr>
            <w:tcW w:w="797" w:type="dxa"/>
            <w:vAlign w:val="center"/>
          </w:tcPr>
          <w:p>
            <w:pPr>
              <w:rPr>
                <w:rFonts w:ascii="宋体" w:hAnsi="宋体" w:eastAsia="宋体"/>
                <w:color w:val="auto"/>
                <w:sz w:val="24"/>
                <w:szCs w:val="24"/>
              </w:rPr>
            </w:pPr>
            <w:r>
              <w:rPr>
                <w:rFonts w:hint="eastAsia" w:ascii="宋体" w:hAnsi="宋体" w:eastAsia="宋体"/>
                <w:color w:val="auto"/>
                <w:sz w:val="24"/>
                <w:szCs w:val="24"/>
              </w:rPr>
              <w:t>7</w:t>
            </w:r>
            <w:r>
              <w:rPr>
                <w:rFonts w:ascii="宋体" w:hAnsi="宋体" w:eastAsia="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二线关同乐检查站</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2</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0</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5</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2</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559" w:type="dxa"/>
            <w:vAlign w:val="center"/>
          </w:tcPr>
          <w:p>
            <w:pPr>
              <w:rPr>
                <w:rFonts w:ascii="宋体" w:hAnsi="宋体" w:eastAsia="宋体"/>
                <w:color w:val="auto"/>
                <w:sz w:val="24"/>
                <w:szCs w:val="24"/>
              </w:rPr>
            </w:pPr>
            <w:r>
              <w:rPr>
                <w:rFonts w:hint="eastAsia" w:ascii="宋体" w:hAnsi="宋体" w:eastAsia="宋体"/>
                <w:color w:val="auto"/>
                <w:sz w:val="24"/>
                <w:szCs w:val="24"/>
              </w:rPr>
              <w:t>6</w:t>
            </w:r>
          </w:p>
        </w:tc>
        <w:tc>
          <w:tcPr>
            <w:tcW w:w="797" w:type="dxa"/>
            <w:vAlign w:val="center"/>
          </w:tcPr>
          <w:p>
            <w:pPr>
              <w:rPr>
                <w:rFonts w:ascii="宋体" w:hAnsi="宋体" w:eastAsia="宋体"/>
                <w:color w:val="auto"/>
                <w:sz w:val="24"/>
                <w:szCs w:val="24"/>
              </w:rPr>
            </w:pPr>
            <w:r>
              <w:rPr>
                <w:rFonts w:hint="eastAsia" w:ascii="宋体" w:hAnsi="宋体" w:eastAsia="宋体"/>
                <w:color w:val="auto"/>
                <w:sz w:val="24"/>
                <w:szCs w:val="24"/>
              </w:rPr>
              <w:t>8</w:t>
            </w:r>
            <w:r>
              <w:rPr>
                <w:rFonts w:ascii="宋体" w:hAnsi="宋体" w:eastAsia="宋体"/>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深圳大学城</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2</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ascii="宋体" w:hAnsi="宋体" w:eastAsia="宋体"/>
                <w:color w:val="auto"/>
                <w:sz w:val="24"/>
                <w:szCs w:val="24"/>
              </w:rPr>
              <w:t>9</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797" w:type="dxa"/>
            <w:vAlign w:val="center"/>
          </w:tcPr>
          <w:p>
            <w:pPr>
              <w:rPr>
                <w:rFonts w:ascii="宋体" w:hAnsi="宋体" w:eastAsia="宋体"/>
                <w:color w:val="auto"/>
                <w:sz w:val="24"/>
                <w:szCs w:val="24"/>
              </w:rPr>
            </w:pPr>
            <w:r>
              <w:rPr>
                <w:rFonts w:hint="eastAsia" w:ascii="宋体" w:hAnsi="宋体" w:eastAsia="宋体"/>
                <w:color w:val="auto"/>
                <w:sz w:val="24"/>
                <w:szCs w:val="24"/>
              </w:rPr>
              <w:t>7</w:t>
            </w:r>
            <w:r>
              <w:rPr>
                <w:rFonts w:ascii="宋体" w:hAnsi="宋体" w:eastAsia="宋体"/>
                <w:color w:val="auto"/>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地王大厦</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6</w:t>
            </w:r>
          </w:p>
        </w:tc>
        <w:tc>
          <w:tcPr>
            <w:tcW w:w="993"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2</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ascii="宋体" w:hAnsi="宋体" w:eastAsia="宋体"/>
                <w:color w:val="auto"/>
                <w:sz w:val="24"/>
                <w:szCs w:val="24"/>
              </w:rPr>
              <w:t>9</w:t>
            </w:r>
          </w:p>
        </w:tc>
        <w:tc>
          <w:tcPr>
            <w:tcW w:w="1275"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797" w:type="dxa"/>
            <w:vAlign w:val="center"/>
          </w:tcPr>
          <w:p>
            <w:pPr>
              <w:rPr>
                <w:rFonts w:ascii="宋体" w:hAnsi="宋体" w:eastAsia="宋体"/>
                <w:color w:val="auto"/>
                <w:sz w:val="24"/>
                <w:szCs w:val="24"/>
              </w:rPr>
            </w:pPr>
            <w:r>
              <w:rPr>
                <w:rFonts w:ascii="宋体" w:hAnsi="宋体" w:eastAsia="宋体"/>
                <w:color w:val="auto"/>
                <w:sz w:val="24"/>
                <w:szCs w:val="24"/>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深圳迎宾馆（桂园、兰园别墅）</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9</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2</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797" w:type="dxa"/>
            <w:vAlign w:val="center"/>
          </w:tcPr>
          <w:p>
            <w:pPr>
              <w:rPr>
                <w:rFonts w:ascii="宋体" w:hAnsi="宋体" w:eastAsia="宋体"/>
                <w:color w:val="auto"/>
                <w:sz w:val="24"/>
                <w:szCs w:val="24"/>
              </w:rPr>
            </w:pPr>
            <w:r>
              <w:rPr>
                <w:rFonts w:hint="eastAsia" w:ascii="宋体" w:hAnsi="宋体" w:eastAsia="宋体"/>
                <w:color w:val="auto"/>
                <w:sz w:val="24"/>
                <w:szCs w:val="24"/>
              </w:rPr>
              <w:t>8</w:t>
            </w:r>
            <w:r>
              <w:rPr>
                <w:rFonts w:ascii="宋体" w:hAnsi="宋体" w:eastAsia="宋体"/>
                <w:color w:val="auto"/>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深圳证券交易所（老楼）</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797" w:type="dxa"/>
            <w:vAlign w:val="center"/>
          </w:tcPr>
          <w:p>
            <w:pPr>
              <w:rPr>
                <w:rFonts w:ascii="宋体" w:hAnsi="宋体" w:eastAsia="宋体"/>
                <w:color w:val="auto"/>
                <w:sz w:val="24"/>
                <w:szCs w:val="24"/>
              </w:rPr>
            </w:pPr>
            <w:r>
              <w:rPr>
                <w:rFonts w:ascii="宋体" w:hAnsi="宋体" w:eastAsia="宋体"/>
                <w:color w:val="auto"/>
                <w:sz w:val="24"/>
                <w:szCs w:val="24"/>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竹园宾馆</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5</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2</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559" w:type="dxa"/>
            <w:vAlign w:val="center"/>
          </w:tcPr>
          <w:p>
            <w:pPr>
              <w:rPr>
                <w:rFonts w:ascii="宋体" w:hAnsi="宋体" w:eastAsia="宋体"/>
                <w:color w:val="auto"/>
                <w:sz w:val="24"/>
                <w:szCs w:val="24"/>
              </w:rPr>
            </w:pPr>
            <w:r>
              <w:rPr>
                <w:rFonts w:hint="eastAsia" w:ascii="宋体" w:hAnsi="宋体" w:eastAsia="宋体"/>
                <w:color w:val="auto"/>
                <w:sz w:val="24"/>
                <w:szCs w:val="24"/>
              </w:rPr>
              <w:t>6</w:t>
            </w:r>
          </w:p>
        </w:tc>
        <w:tc>
          <w:tcPr>
            <w:tcW w:w="797" w:type="dxa"/>
            <w:vAlign w:val="center"/>
          </w:tcPr>
          <w:p>
            <w:pPr>
              <w:rPr>
                <w:rFonts w:ascii="宋体" w:hAnsi="宋体" w:eastAsia="宋体"/>
                <w:color w:val="auto"/>
                <w:sz w:val="24"/>
                <w:szCs w:val="24"/>
              </w:rPr>
            </w:pPr>
            <w:r>
              <w:rPr>
                <w:rFonts w:hint="eastAsia" w:ascii="宋体" w:hAnsi="宋体" w:eastAsia="宋体"/>
                <w:color w:val="auto"/>
                <w:sz w:val="24"/>
                <w:szCs w:val="24"/>
              </w:rPr>
              <w:t>7</w:t>
            </w:r>
            <w:r>
              <w:rPr>
                <w:rFonts w:ascii="宋体" w:hAnsi="宋体" w:eastAsia="宋体"/>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深圳国贸大厦</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0</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9</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9</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ascii="宋体" w:hAnsi="宋体" w:eastAsia="宋体"/>
                <w:color w:val="auto"/>
                <w:sz w:val="24"/>
                <w:szCs w:val="24"/>
              </w:rPr>
              <w:t>14</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9</w:t>
            </w:r>
          </w:p>
        </w:tc>
        <w:tc>
          <w:tcPr>
            <w:tcW w:w="797" w:type="dxa"/>
            <w:vAlign w:val="center"/>
          </w:tcPr>
          <w:p>
            <w:pPr>
              <w:rPr>
                <w:rFonts w:ascii="宋体" w:hAnsi="宋体" w:eastAsia="宋体"/>
                <w:color w:val="auto"/>
                <w:sz w:val="24"/>
                <w:szCs w:val="24"/>
              </w:rPr>
            </w:pPr>
            <w:r>
              <w:rPr>
                <w:rFonts w:hint="eastAsia" w:ascii="宋体" w:hAnsi="宋体" w:eastAsia="宋体"/>
                <w:color w:val="auto"/>
                <w:sz w:val="24"/>
                <w:szCs w:val="24"/>
              </w:rPr>
              <w:t>9</w:t>
            </w:r>
            <w:r>
              <w:rPr>
                <w:rFonts w:ascii="宋体" w:hAnsi="宋体" w:eastAsia="宋体"/>
                <w:color w:val="auto"/>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深圳渔民村</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2</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797" w:type="dxa"/>
            <w:vAlign w:val="center"/>
          </w:tcPr>
          <w:p>
            <w:pPr>
              <w:rPr>
                <w:rFonts w:ascii="宋体" w:hAnsi="宋体" w:eastAsia="宋体"/>
                <w:color w:val="auto"/>
                <w:sz w:val="24"/>
                <w:szCs w:val="24"/>
              </w:rPr>
            </w:pPr>
            <w:r>
              <w:rPr>
                <w:rFonts w:hint="eastAsia" w:ascii="宋体" w:hAnsi="宋体" w:eastAsia="宋体"/>
                <w:color w:val="auto"/>
                <w:sz w:val="24"/>
                <w:szCs w:val="24"/>
              </w:rPr>
              <w:t>8</w:t>
            </w:r>
            <w:r>
              <w:rPr>
                <w:rFonts w:ascii="宋体" w:hAnsi="宋体" w:eastAsia="宋体"/>
                <w:color w:val="auto"/>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深圳火车站</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0</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797" w:type="dxa"/>
            <w:vAlign w:val="center"/>
          </w:tcPr>
          <w:p>
            <w:pPr>
              <w:rPr>
                <w:rFonts w:ascii="宋体" w:hAnsi="宋体" w:eastAsia="宋体"/>
                <w:color w:val="auto"/>
                <w:sz w:val="24"/>
                <w:szCs w:val="24"/>
              </w:rPr>
            </w:pPr>
            <w:r>
              <w:rPr>
                <w:rFonts w:hint="eastAsia" w:ascii="宋体" w:hAnsi="宋体" w:eastAsia="宋体"/>
                <w:color w:val="auto"/>
                <w:sz w:val="24"/>
                <w:szCs w:val="24"/>
              </w:rPr>
              <w:t>8</w:t>
            </w:r>
            <w:r>
              <w:rPr>
                <w:rFonts w:ascii="宋体" w:hAnsi="宋体" w:eastAsia="宋体"/>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深圳罗湖口岸</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9</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2</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797" w:type="dxa"/>
            <w:vAlign w:val="center"/>
          </w:tcPr>
          <w:p>
            <w:pPr>
              <w:rPr>
                <w:rFonts w:ascii="宋体" w:hAnsi="宋体" w:eastAsia="宋体"/>
                <w:color w:val="auto"/>
                <w:sz w:val="24"/>
                <w:szCs w:val="24"/>
              </w:rPr>
            </w:pPr>
            <w:r>
              <w:rPr>
                <w:rFonts w:ascii="宋体" w:hAnsi="宋体" w:eastAsia="宋体"/>
                <w:color w:val="auto"/>
                <w:sz w:val="24"/>
                <w:szCs w:val="24"/>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莲花山公园（</w:t>
            </w:r>
            <w:r>
              <w:rPr>
                <w:rFonts w:hint="eastAsia" w:ascii="宋体" w:hAnsi="宋体" w:eastAsia="宋体"/>
                <w:color w:val="auto"/>
                <w:sz w:val="24"/>
                <w:szCs w:val="24"/>
                <w:lang w:eastAsia="zh-CN"/>
              </w:rPr>
              <w:t>邓小平铜像</w:t>
            </w:r>
            <w:r>
              <w:rPr>
                <w:rFonts w:hint="eastAsia" w:ascii="宋体" w:hAnsi="宋体" w:eastAsia="宋体"/>
                <w:color w:val="auto"/>
                <w:sz w:val="24"/>
                <w:szCs w:val="24"/>
              </w:rPr>
              <w:t>）</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9</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2</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4</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ascii="宋体" w:hAnsi="宋体" w:eastAsia="宋体"/>
                <w:color w:val="auto"/>
                <w:sz w:val="24"/>
                <w:szCs w:val="24"/>
              </w:rPr>
              <w:t>4</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9</w:t>
            </w:r>
          </w:p>
        </w:tc>
        <w:tc>
          <w:tcPr>
            <w:tcW w:w="797" w:type="dxa"/>
            <w:vAlign w:val="center"/>
          </w:tcPr>
          <w:p>
            <w:pPr>
              <w:rPr>
                <w:rFonts w:ascii="宋体" w:hAnsi="宋体" w:eastAsia="宋体"/>
                <w:color w:val="auto"/>
                <w:sz w:val="24"/>
                <w:szCs w:val="24"/>
              </w:rPr>
            </w:pPr>
            <w:r>
              <w:rPr>
                <w:rFonts w:ascii="宋体" w:hAnsi="宋体" w:eastAsia="宋体"/>
                <w:color w:val="auto"/>
                <w:sz w:val="24"/>
                <w:szCs w:val="24"/>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电子大厦</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559" w:type="dxa"/>
            <w:vAlign w:val="center"/>
          </w:tcPr>
          <w:p>
            <w:pPr>
              <w:rPr>
                <w:rFonts w:ascii="宋体" w:hAnsi="宋体" w:eastAsia="宋体"/>
                <w:color w:val="auto"/>
                <w:sz w:val="24"/>
                <w:szCs w:val="24"/>
              </w:rPr>
            </w:pPr>
            <w:r>
              <w:rPr>
                <w:rFonts w:hint="eastAsia" w:ascii="宋体" w:hAnsi="宋体" w:eastAsia="宋体"/>
                <w:color w:val="auto"/>
                <w:sz w:val="24"/>
                <w:szCs w:val="24"/>
              </w:rPr>
              <w:t>8</w:t>
            </w:r>
          </w:p>
        </w:tc>
        <w:tc>
          <w:tcPr>
            <w:tcW w:w="797" w:type="dxa"/>
            <w:vAlign w:val="center"/>
          </w:tcPr>
          <w:p>
            <w:pPr>
              <w:rPr>
                <w:rFonts w:ascii="宋体" w:hAnsi="宋体" w:eastAsia="宋体"/>
                <w:color w:val="auto"/>
                <w:sz w:val="24"/>
                <w:szCs w:val="24"/>
              </w:rPr>
            </w:pPr>
            <w:r>
              <w:rPr>
                <w:rFonts w:ascii="宋体" w:hAnsi="宋体" w:eastAsia="宋体"/>
                <w:color w:val="auto"/>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上海宾馆</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1</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559" w:type="dxa"/>
            <w:vAlign w:val="center"/>
          </w:tcPr>
          <w:p>
            <w:pPr>
              <w:rPr>
                <w:rFonts w:ascii="宋体" w:hAnsi="宋体" w:eastAsia="宋体"/>
                <w:color w:val="auto"/>
                <w:sz w:val="24"/>
                <w:szCs w:val="24"/>
              </w:rPr>
            </w:pPr>
            <w:r>
              <w:rPr>
                <w:rFonts w:hint="eastAsia" w:ascii="宋体" w:hAnsi="宋体" w:eastAsia="宋体"/>
                <w:color w:val="auto"/>
                <w:sz w:val="24"/>
                <w:szCs w:val="24"/>
              </w:rPr>
              <w:t>8</w:t>
            </w:r>
          </w:p>
        </w:tc>
        <w:tc>
          <w:tcPr>
            <w:tcW w:w="797" w:type="dxa"/>
            <w:vAlign w:val="center"/>
          </w:tcPr>
          <w:p>
            <w:pPr>
              <w:rPr>
                <w:rFonts w:ascii="宋体" w:hAnsi="宋体" w:eastAsia="宋体"/>
                <w:color w:val="auto"/>
                <w:sz w:val="24"/>
                <w:szCs w:val="24"/>
              </w:rPr>
            </w:pPr>
            <w:r>
              <w:rPr>
                <w:rFonts w:ascii="宋体" w:hAnsi="宋体" w:eastAsia="宋体"/>
                <w:color w:val="auto"/>
                <w:sz w:val="24"/>
                <w:szCs w:val="24"/>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深圳科学馆旧馆</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6</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1</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559"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0</w:t>
            </w:r>
          </w:p>
        </w:tc>
        <w:tc>
          <w:tcPr>
            <w:tcW w:w="797" w:type="dxa"/>
            <w:vAlign w:val="center"/>
          </w:tcPr>
          <w:p>
            <w:pPr>
              <w:rPr>
                <w:rFonts w:ascii="宋体" w:hAnsi="宋体" w:eastAsia="宋体"/>
                <w:color w:val="auto"/>
                <w:sz w:val="24"/>
                <w:szCs w:val="24"/>
              </w:rPr>
            </w:pPr>
            <w:r>
              <w:rPr>
                <w:rFonts w:hint="eastAsia" w:ascii="宋体" w:hAnsi="宋体" w:eastAsia="宋体"/>
                <w:color w:val="auto"/>
                <w:sz w:val="24"/>
                <w:szCs w:val="24"/>
              </w:rPr>
              <w:t>8</w:t>
            </w:r>
            <w:r>
              <w:rPr>
                <w:rFonts w:ascii="宋体" w:hAnsi="宋体" w:eastAsia="宋体"/>
                <w:color w:val="auto"/>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深圳新闻大厦</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6</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ascii="宋体" w:hAnsi="宋体" w:eastAsia="宋体"/>
                <w:color w:val="auto"/>
                <w:sz w:val="24"/>
                <w:szCs w:val="24"/>
              </w:rPr>
              <w:t>9</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797" w:type="dxa"/>
            <w:vAlign w:val="center"/>
          </w:tcPr>
          <w:p>
            <w:pPr>
              <w:rPr>
                <w:rFonts w:ascii="宋体" w:hAnsi="宋体" w:eastAsia="宋体"/>
                <w:color w:val="auto"/>
                <w:sz w:val="24"/>
                <w:szCs w:val="24"/>
              </w:rPr>
            </w:pPr>
            <w:r>
              <w:rPr>
                <w:rFonts w:hint="eastAsia" w:ascii="宋体" w:hAnsi="宋体" w:eastAsia="宋体"/>
                <w:color w:val="auto"/>
                <w:sz w:val="24"/>
                <w:szCs w:val="24"/>
              </w:rPr>
              <w:t>7</w:t>
            </w:r>
            <w:r>
              <w:rPr>
                <w:rFonts w:ascii="宋体" w:hAnsi="宋体" w:eastAsia="宋体"/>
                <w:color w:val="auto"/>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深圳图书馆旧馆</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7</w:t>
            </w:r>
          </w:p>
        </w:tc>
        <w:tc>
          <w:tcPr>
            <w:tcW w:w="993"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2</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559" w:type="dxa"/>
            <w:vAlign w:val="center"/>
          </w:tcPr>
          <w:p>
            <w:pPr>
              <w:rPr>
                <w:rFonts w:ascii="宋体" w:hAnsi="宋体" w:eastAsia="宋体"/>
                <w:color w:val="auto"/>
                <w:sz w:val="24"/>
                <w:szCs w:val="24"/>
              </w:rPr>
            </w:pPr>
            <w:r>
              <w:rPr>
                <w:rFonts w:hint="eastAsia" w:ascii="宋体" w:hAnsi="宋体" w:eastAsia="宋体"/>
                <w:color w:val="auto"/>
                <w:sz w:val="24"/>
                <w:szCs w:val="24"/>
              </w:rPr>
              <w:t>8</w:t>
            </w:r>
          </w:p>
        </w:tc>
        <w:tc>
          <w:tcPr>
            <w:tcW w:w="797" w:type="dxa"/>
            <w:vAlign w:val="center"/>
          </w:tcPr>
          <w:p>
            <w:pPr>
              <w:rPr>
                <w:rFonts w:ascii="宋体" w:hAnsi="宋体" w:eastAsia="宋体"/>
                <w:color w:val="auto"/>
                <w:sz w:val="24"/>
                <w:szCs w:val="24"/>
              </w:rPr>
            </w:pPr>
            <w:r>
              <w:rPr>
                <w:rFonts w:hint="eastAsia" w:ascii="宋体" w:hAnsi="宋体" w:eastAsia="宋体"/>
                <w:color w:val="auto"/>
                <w:sz w:val="24"/>
                <w:szCs w:val="24"/>
              </w:rPr>
              <w:t>8</w:t>
            </w:r>
            <w:r>
              <w:rPr>
                <w:rFonts w:ascii="宋体" w:hAnsi="宋体" w:eastAsia="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孺子牛雕像</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9</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9</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9</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5</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559" w:type="dxa"/>
            <w:vAlign w:val="center"/>
          </w:tcPr>
          <w:p>
            <w:pPr>
              <w:rPr>
                <w:rFonts w:ascii="宋体" w:hAnsi="宋体" w:eastAsia="宋体"/>
                <w:color w:val="auto"/>
                <w:sz w:val="24"/>
                <w:szCs w:val="24"/>
              </w:rPr>
            </w:pPr>
            <w:r>
              <w:rPr>
                <w:rFonts w:hint="eastAsia" w:ascii="宋体" w:hAnsi="宋体" w:eastAsia="宋体"/>
                <w:color w:val="auto"/>
                <w:sz w:val="24"/>
                <w:szCs w:val="24"/>
              </w:rPr>
              <w:t>8</w:t>
            </w:r>
          </w:p>
        </w:tc>
        <w:tc>
          <w:tcPr>
            <w:tcW w:w="797" w:type="dxa"/>
            <w:vAlign w:val="center"/>
          </w:tcPr>
          <w:p>
            <w:pPr>
              <w:rPr>
                <w:rFonts w:ascii="宋体" w:hAnsi="宋体" w:eastAsia="宋体"/>
                <w:color w:val="auto"/>
                <w:sz w:val="24"/>
                <w:szCs w:val="24"/>
              </w:rPr>
            </w:pPr>
            <w:r>
              <w:rPr>
                <w:rFonts w:hint="eastAsia" w:ascii="宋体" w:hAnsi="宋体" w:eastAsia="宋体"/>
                <w:color w:val="auto"/>
                <w:sz w:val="24"/>
                <w:szCs w:val="24"/>
              </w:rPr>
              <w:t>9</w:t>
            </w:r>
            <w:r>
              <w:rPr>
                <w:rFonts w:ascii="宋体" w:hAnsi="宋体" w:eastAsia="宋体"/>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深圳博物馆旧馆</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7</w:t>
            </w:r>
          </w:p>
        </w:tc>
        <w:tc>
          <w:tcPr>
            <w:tcW w:w="993"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ascii="宋体" w:hAnsi="宋体" w:eastAsia="宋体"/>
                <w:color w:val="auto"/>
                <w:sz w:val="24"/>
                <w:szCs w:val="24"/>
              </w:rPr>
              <w:t>10</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559" w:type="dxa"/>
            <w:vAlign w:val="center"/>
          </w:tcPr>
          <w:p>
            <w:pPr>
              <w:rPr>
                <w:rFonts w:ascii="宋体" w:hAnsi="宋体" w:eastAsia="宋体"/>
                <w:color w:val="auto"/>
                <w:sz w:val="24"/>
                <w:szCs w:val="24"/>
              </w:rPr>
            </w:pPr>
            <w:r>
              <w:rPr>
                <w:rFonts w:hint="eastAsia" w:ascii="宋体" w:hAnsi="宋体" w:eastAsia="宋体"/>
                <w:color w:val="auto"/>
                <w:sz w:val="24"/>
                <w:szCs w:val="24"/>
              </w:rPr>
              <w:t>8</w:t>
            </w:r>
          </w:p>
        </w:tc>
        <w:tc>
          <w:tcPr>
            <w:tcW w:w="797" w:type="dxa"/>
            <w:vAlign w:val="center"/>
          </w:tcPr>
          <w:p>
            <w:pPr>
              <w:rPr>
                <w:rFonts w:ascii="宋体" w:hAnsi="宋体" w:eastAsia="宋体"/>
                <w:color w:val="auto"/>
                <w:sz w:val="24"/>
                <w:szCs w:val="24"/>
              </w:rPr>
            </w:pPr>
            <w:r>
              <w:rPr>
                <w:rFonts w:ascii="宋体" w:hAnsi="宋体" w:eastAsia="宋体"/>
                <w:color w:val="auto"/>
                <w:sz w:val="24"/>
                <w:szCs w:val="24"/>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艺象</w:t>
            </w:r>
            <w:r>
              <w:rPr>
                <w:rFonts w:ascii="宋体" w:hAnsi="宋体" w:eastAsia="宋体"/>
                <w:color w:val="auto"/>
                <w:sz w:val="24"/>
                <w:szCs w:val="24"/>
              </w:rPr>
              <w:t>ID TOWN（原鸿华印染厂）</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7</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8</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4</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797" w:type="dxa"/>
            <w:vAlign w:val="center"/>
          </w:tcPr>
          <w:p>
            <w:pPr>
              <w:rPr>
                <w:rFonts w:ascii="宋体" w:hAnsi="宋体" w:eastAsia="宋体"/>
                <w:color w:val="auto"/>
                <w:sz w:val="24"/>
                <w:szCs w:val="24"/>
              </w:rPr>
            </w:pPr>
            <w:r>
              <w:rPr>
                <w:rFonts w:hint="eastAsia" w:ascii="宋体" w:hAnsi="宋体" w:eastAsia="宋体"/>
                <w:color w:val="auto"/>
                <w:sz w:val="24"/>
                <w:szCs w:val="24"/>
              </w:rPr>
              <w:t>8</w:t>
            </w:r>
            <w:r>
              <w:rPr>
                <w:rFonts w:ascii="宋体" w:hAnsi="宋体" w:eastAsia="宋体"/>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袁庚祖居</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9</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1</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797" w:type="dxa"/>
            <w:vAlign w:val="center"/>
          </w:tcPr>
          <w:p>
            <w:pPr>
              <w:rPr>
                <w:rFonts w:ascii="宋体" w:hAnsi="宋体" w:eastAsia="宋体"/>
                <w:color w:val="auto"/>
                <w:sz w:val="24"/>
                <w:szCs w:val="24"/>
              </w:rPr>
            </w:pPr>
            <w:r>
              <w:rPr>
                <w:rFonts w:hint="eastAsia" w:ascii="宋体" w:hAnsi="宋体" w:eastAsia="宋体"/>
                <w:color w:val="auto"/>
                <w:sz w:val="24"/>
                <w:szCs w:val="24"/>
              </w:rPr>
              <w:t>8</w:t>
            </w:r>
            <w:r>
              <w:rPr>
                <w:rFonts w:ascii="宋体" w:hAnsi="宋体" w:eastAsia="宋体"/>
                <w:color w:val="auto"/>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大亚湾核电站</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6</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2</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ascii="宋体" w:hAnsi="宋体" w:eastAsia="宋体"/>
                <w:color w:val="auto"/>
                <w:sz w:val="24"/>
                <w:szCs w:val="24"/>
              </w:rPr>
              <w:t>9</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797" w:type="dxa"/>
            <w:vAlign w:val="center"/>
          </w:tcPr>
          <w:p>
            <w:pPr>
              <w:rPr>
                <w:rFonts w:ascii="宋体" w:hAnsi="宋体" w:eastAsia="宋体"/>
                <w:color w:val="auto"/>
                <w:sz w:val="24"/>
                <w:szCs w:val="24"/>
              </w:rPr>
            </w:pPr>
            <w:r>
              <w:rPr>
                <w:rFonts w:hint="eastAsia" w:ascii="宋体" w:hAnsi="宋体" w:eastAsia="宋体"/>
                <w:color w:val="auto"/>
                <w:sz w:val="24"/>
                <w:szCs w:val="24"/>
              </w:rPr>
              <w:t>7</w:t>
            </w:r>
            <w:r>
              <w:rPr>
                <w:rFonts w:ascii="宋体" w:hAnsi="宋体" w:eastAsia="宋体"/>
                <w:color w:val="auto"/>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鹤薮小学</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2</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2</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2</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5</w:t>
            </w:r>
          </w:p>
        </w:tc>
        <w:tc>
          <w:tcPr>
            <w:tcW w:w="797" w:type="dxa"/>
            <w:vAlign w:val="center"/>
          </w:tcPr>
          <w:p>
            <w:pPr>
              <w:rPr>
                <w:rFonts w:ascii="宋体" w:hAnsi="宋体" w:eastAsia="宋体"/>
                <w:color w:val="auto"/>
                <w:sz w:val="24"/>
                <w:szCs w:val="24"/>
              </w:rPr>
            </w:pPr>
            <w:r>
              <w:rPr>
                <w:rFonts w:hint="eastAsia" w:ascii="宋体" w:hAnsi="宋体" w:eastAsia="宋体"/>
                <w:color w:val="auto"/>
                <w:sz w:val="24"/>
                <w:szCs w:val="24"/>
              </w:rPr>
              <w:t>6</w:t>
            </w:r>
            <w:r>
              <w:rPr>
                <w:rFonts w:ascii="宋体" w:hAnsi="宋体" w:eastAsia="宋体"/>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中英街历史博物馆</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6</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ascii="宋体" w:hAnsi="宋体" w:eastAsia="宋体"/>
                <w:color w:val="auto"/>
                <w:sz w:val="24"/>
                <w:szCs w:val="24"/>
              </w:rPr>
              <w:t>9</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797" w:type="dxa"/>
            <w:vAlign w:val="center"/>
          </w:tcPr>
          <w:p>
            <w:pPr>
              <w:rPr>
                <w:rFonts w:ascii="宋体" w:hAnsi="宋体" w:eastAsia="宋体"/>
                <w:color w:val="auto"/>
                <w:sz w:val="24"/>
                <w:szCs w:val="24"/>
              </w:rPr>
            </w:pPr>
            <w:r>
              <w:rPr>
                <w:rFonts w:hint="eastAsia" w:ascii="宋体" w:hAnsi="宋体" w:eastAsia="宋体"/>
                <w:color w:val="auto"/>
                <w:sz w:val="24"/>
                <w:szCs w:val="24"/>
              </w:rPr>
              <w:t>7</w:t>
            </w:r>
            <w:r>
              <w:rPr>
                <w:rFonts w:ascii="宋体" w:hAnsi="宋体" w:eastAsia="宋体"/>
                <w:color w:val="auto"/>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盐田港国际集装箱码头</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6</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2</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797" w:type="dxa"/>
            <w:vAlign w:val="center"/>
          </w:tcPr>
          <w:p>
            <w:pPr>
              <w:rPr>
                <w:rFonts w:ascii="宋体" w:hAnsi="宋体" w:eastAsia="宋体"/>
                <w:color w:val="auto"/>
                <w:sz w:val="24"/>
                <w:szCs w:val="24"/>
              </w:rPr>
            </w:pPr>
            <w:r>
              <w:rPr>
                <w:rFonts w:ascii="宋体" w:hAnsi="宋体" w:eastAsia="宋体"/>
                <w:color w:val="auto"/>
                <w:sz w:val="24"/>
                <w:szCs w:val="24"/>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沙头角保税区</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ascii="宋体" w:hAnsi="宋体" w:eastAsia="宋体"/>
                <w:color w:val="auto"/>
                <w:sz w:val="24"/>
                <w:szCs w:val="24"/>
              </w:rPr>
              <w:t>14</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797" w:type="dxa"/>
            <w:vAlign w:val="center"/>
          </w:tcPr>
          <w:p>
            <w:pPr>
              <w:rPr>
                <w:rFonts w:ascii="宋体" w:hAnsi="宋体" w:eastAsia="宋体"/>
                <w:color w:val="auto"/>
                <w:sz w:val="24"/>
                <w:szCs w:val="24"/>
              </w:rPr>
            </w:pPr>
            <w:r>
              <w:rPr>
                <w:rFonts w:ascii="宋体" w:hAnsi="宋体" w:eastAsia="宋体"/>
                <w:color w:val="auto"/>
                <w:sz w:val="24"/>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大芬油画村</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6</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ascii="宋体" w:hAnsi="宋体" w:eastAsia="宋体"/>
                <w:color w:val="auto"/>
                <w:sz w:val="24"/>
                <w:szCs w:val="24"/>
              </w:rPr>
              <w:t>11</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797" w:type="dxa"/>
            <w:vAlign w:val="center"/>
          </w:tcPr>
          <w:p>
            <w:pPr>
              <w:rPr>
                <w:rFonts w:ascii="宋体" w:hAnsi="宋体" w:eastAsia="宋体"/>
                <w:color w:val="auto"/>
                <w:sz w:val="24"/>
                <w:szCs w:val="24"/>
              </w:rPr>
            </w:pPr>
            <w:r>
              <w:rPr>
                <w:rFonts w:ascii="宋体" w:hAnsi="宋体" w:eastAsia="宋体"/>
                <w:color w:val="auto"/>
                <w:sz w:val="24"/>
                <w:szCs w:val="24"/>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南岭村（村委办公楼）</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3"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3</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ascii="宋体" w:hAnsi="宋体" w:eastAsia="宋体"/>
                <w:color w:val="auto"/>
                <w:sz w:val="24"/>
                <w:szCs w:val="24"/>
              </w:rPr>
              <w:t>14</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6</w:t>
            </w:r>
          </w:p>
        </w:tc>
        <w:tc>
          <w:tcPr>
            <w:tcW w:w="797" w:type="dxa"/>
            <w:vAlign w:val="center"/>
          </w:tcPr>
          <w:p>
            <w:pPr>
              <w:rPr>
                <w:rFonts w:ascii="宋体" w:hAnsi="宋体" w:eastAsia="宋体"/>
                <w:color w:val="auto"/>
                <w:sz w:val="24"/>
                <w:szCs w:val="24"/>
              </w:rPr>
            </w:pPr>
            <w:r>
              <w:rPr>
                <w:rFonts w:hint="eastAsia" w:ascii="宋体" w:hAnsi="宋体" w:eastAsia="宋体"/>
                <w:color w:val="auto"/>
                <w:sz w:val="24"/>
                <w:szCs w:val="24"/>
              </w:rPr>
              <w:t>8</w:t>
            </w:r>
            <w:r>
              <w:rPr>
                <w:rFonts w:ascii="宋体" w:hAnsi="宋体" w:eastAsia="宋体"/>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深圳劳务工博物馆</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5</w:t>
            </w:r>
          </w:p>
        </w:tc>
        <w:tc>
          <w:tcPr>
            <w:tcW w:w="993" w:type="dxa"/>
            <w:vAlign w:val="center"/>
          </w:tcPr>
          <w:p>
            <w:pPr>
              <w:rPr>
                <w:rFonts w:ascii="宋体" w:hAnsi="宋体" w:eastAsia="宋体"/>
                <w:color w:val="auto"/>
                <w:sz w:val="24"/>
                <w:szCs w:val="24"/>
              </w:rPr>
            </w:pPr>
            <w:r>
              <w:rPr>
                <w:rFonts w:ascii="宋体" w:hAnsi="宋体" w:eastAsia="宋体"/>
                <w:color w:val="auto"/>
                <w:sz w:val="24"/>
                <w:szCs w:val="24"/>
              </w:rPr>
              <w:t>2</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2</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ascii="宋体" w:hAnsi="宋体" w:eastAsia="宋体"/>
                <w:color w:val="auto"/>
                <w:sz w:val="24"/>
                <w:szCs w:val="24"/>
              </w:rPr>
              <w:t>8</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5</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559" w:type="dxa"/>
            <w:vAlign w:val="center"/>
          </w:tcPr>
          <w:p>
            <w:pPr>
              <w:rPr>
                <w:rFonts w:ascii="宋体" w:hAnsi="宋体" w:eastAsia="宋体"/>
                <w:color w:val="auto"/>
                <w:sz w:val="24"/>
                <w:szCs w:val="24"/>
              </w:rPr>
            </w:pPr>
            <w:r>
              <w:rPr>
                <w:rFonts w:hint="eastAsia" w:ascii="宋体" w:hAnsi="宋体" w:eastAsia="宋体"/>
                <w:color w:val="auto"/>
                <w:sz w:val="24"/>
                <w:szCs w:val="24"/>
              </w:rPr>
              <w:t>6</w:t>
            </w:r>
          </w:p>
        </w:tc>
        <w:tc>
          <w:tcPr>
            <w:tcW w:w="797" w:type="dxa"/>
            <w:vAlign w:val="center"/>
          </w:tcPr>
          <w:p>
            <w:pPr>
              <w:rPr>
                <w:rFonts w:ascii="宋体" w:hAnsi="宋体" w:eastAsia="宋体"/>
                <w:color w:val="auto"/>
                <w:sz w:val="24"/>
                <w:szCs w:val="24"/>
              </w:rPr>
            </w:pPr>
            <w:r>
              <w:rPr>
                <w:rFonts w:ascii="宋体" w:hAnsi="宋体" w:eastAsia="宋体"/>
                <w:color w:val="auto"/>
                <w:sz w:val="24"/>
                <w:szCs w:val="24"/>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rPr>
                <w:rFonts w:ascii="宋体" w:hAnsi="宋体" w:eastAsia="宋体"/>
                <w:color w:val="auto"/>
                <w:sz w:val="24"/>
                <w:szCs w:val="24"/>
              </w:rPr>
            </w:pPr>
            <w:r>
              <w:rPr>
                <w:rFonts w:hint="eastAsia" w:ascii="宋体" w:hAnsi="宋体" w:eastAsia="宋体"/>
                <w:color w:val="auto"/>
                <w:sz w:val="24"/>
                <w:szCs w:val="24"/>
              </w:rPr>
              <w:t>光明街道糖厂</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2</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6</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992" w:type="dxa"/>
            <w:vAlign w:val="center"/>
          </w:tcPr>
          <w:p>
            <w:pPr>
              <w:rPr>
                <w:rFonts w:ascii="宋体" w:hAnsi="宋体" w:eastAsia="宋体"/>
                <w:color w:val="auto"/>
                <w:sz w:val="24"/>
                <w:szCs w:val="24"/>
              </w:rPr>
            </w:pPr>
            <w:r>
              <w:rPr>
                <w:rFonts w:ascii="宋体" w:hAnsi="宋体" w:eastAsia="宋体"/>
                <w:color w:val="auto"/>
                <w:sz w:val="24"/>
                <w:szCs w:val="24"/>
              </w:rPr>
              <w:t>4</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2</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4</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1</w:t>
            </w:r>
            <w:r>
              <w:rPr>
                <w:rFonts w:ascii="宋体" w:hAnsi="宋体" w:eastAsia="宋体"/>
                <w:color w:val="auto"/>
                <w:sz w:val="24"/>
                <w:szCs w:val="24"/>
              </w:rPr>
              <w:t>5</w:t>
            </w:r>
          </w:p>
        </w:tc>
        <w:tc>
          <w:tcPr>
            <w:tcW w:w="1275" w:type="dxa"/>
            <w:vAlign w:val="center"/>
          </w:tcPr>
          <w:p>
            <w:pPr>
              <w:rPr>
                <w:rFonts w:ascii="宋体" w:hAnsi="宋体" w:eastAsia="宋体"/>
                <w:color w:val="auto"/>
                <w:sz w:val="24"/>
                <w:szCs w:val="24"/>
              </w:rPr>
            </w:pPr>
            <w:r>
              <w:rPr>
                <w:rFonts w:hint="eastAsia" w:ascii="宋体" w:hAnsi="宋体" w:eastAsia="宋体"/>
                <w:color w:val="auto"/>
                <w:sz w:val="24"/>
                <w:szCs w:val="24"/>
              </w:rPr>
              <w:t>2</w:t>
            </w:r>
          </w:p>
        </w:tc>
        <w:tc>
          <w:tcPr>
            <w:tcW w:w="993"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992"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276" w:type="dxa"/>
            <w:vAlign w:val="center"/>
          </w:tcPr>
          <w:p>
            <w:pPr>
              <w:rPr>
                <w:rFonts w:ascii="宋体" w:hAnsi="宋体" w:eastAsia="宋体"/>
                <w:color w:val="auto"/>
                <w:sz w:val="24"/>
                <w:szCs w:val="24"/>
              </w:rPr>
            </w:pPr>
            <w:r>
              <w:rPr>
                <w:rFonts w:hint="eastAsia" w:ascii="宋体" w:hAnsi="宋体" w:eastAsia="宋体"/>
                <w:color w:val="auto"/>
                <w:sz w:val="24"/>
                <w:szCs w:val="24"/>
              </w:rPr>
              <w:t>3</w:t>
            </w:r>
          </w:p>
        </w:tc>
        <w:tc>
          <w:tcPr>
            <w:tcW w:w="1559" w:type="dxa"/>
            <w:vAlign w:val="center"/>
          </w:tcPr>
          <w:p>
            <w:pPr>
              <w:rPr>
                <w:rFonts w:ascii="宋体" w:hAnsi="宋体" w:eastAsia="宋体"/>
                <w:color w:val="auto"/>
                <w:sz w:val="24"/>
                <w:szCs w:val="24"/>
              </w:rPr>
            </w:pPr>
            <w:r>
              <w:rPr>
                <w:rFonts w:ascii="宋体" w:hAnsi="宋体" w:eastAsia="宋体"/>
                <w:color w:val="auto"/>
                <w:sz w:val="24"/>
                <w:szCs w:val="24"/>
              </w:rPr>
              <w:t>7</w:t>
            </w:r>
          </w:p>
        </w:tc>
        <w:tc>
          <w:tcPr>
            <w:tcW w:w="797" w:type="dxa"/>
            <w:vAlign w:val="center"/>
          </w:tcPr>
          <w:p>
            <w:pPr>
              <w:rPr>
                <w:rFonts w:ascii="宋体" w:hAnsi="宋体" w:eastAsia="宋体"/>
                <w:color w:val="auto"/>
                <w:sz w:val="24"/>
                <w:szCs w:val="24"/>
              </w:rPr>
            </w:pPr>
            <w:r>
              <w:rPr>
                <w:rFonts w:ascii="宋体" w:hAnsi="宋体" w:eastAsia="宋体"/>
                <w:color w:val="auto"/>
                <w:sz w:val="24"/>
                <w:szCs w:val="24"/>
              </w:rPr>
              <w:t>71</w:t>
            </w:r>
          </w:p>
        </w:tc>
      </w:tr>
    </w:tbl>
    <w:p>
      <w:pPr>
        <w:pStyle w:val="8"/>
        <w:spacing w:line="240" w:lineRule="auto"/>
        <w:ind w:firstLine="0" w:firstLineChars="0"/>
        <w:rPr>
          <w:color w:val="auto"/>
        </w:rPr>
      </w:pPr>
    </w:p>
    <w:p>
      <w:pPr>
        <w:rPr>
          <w:color w:val="auto"/>
        </w:rPr>
      </w:pPr>
    </w:p>
    <w:p>
      <w:pPr>
        <w:rPr>
          <w:color w:val="auto"/>
        </w:rPr>
      </w:pPr>
    </w:p>
    <w:p>
      <w:pPr>
        <w:rPr>
          <w:color w:val="auto"/>
        </w:rPr>
        <w:sectPr>
          <w:pgSz w:w="23811" w:h="16838" w:orient="landscape"/>
          <w:pgMar w:top="1800" w:right="1440" w:bottom="1800" w:left="1440" w:header="851" w:footer="992" w:gutter="0"/>
          <w:cols w:space="1051" w:num="1"/>
          <w:docGrid w:type="lines" w:linePitch="312" w:charSpace="0"/>
        </w:sectPr>
      </w:pPr>
    </w:p>
    <w:p>
      <w:pPr>
        <w:pStyle w:val="2"/>
        <w:spacing w:line="240" w:lineRule="auto"/>
        <w:rPr>
          <w:color w:val="auto"/>
        </w:rPr>
      </w:pPr>
      <w:bookmarkStart w:id="371" w:name="_Toc24897"/>
      <w:bookmarkStart w:id="372" w:name="_Toc114072220"/>
      <w:bookmarkStart w:id="373" w:name="_Toc8007"/>
      <w:bookmarkStart w:id="374" w:name="_Toc8077"/>
      <w:bookmarkStart w:id="375" w:name="_Toc17645"/>
      <w:bookmarkStart w:id="376" w:name="_Toc5201"/>
      <w:bookmarkStart w:id="377" w:name="_Toc1213514824"/>
      <w:bookmarkStart w:id="378" w:name="_Toc17298"/>
      <w:r>
        <w:rPr>
          <w:rFonts w:hint="eastAsia"/>
          <w:color w:val="auto"/>
        </w:rPr>
        <w:t>附录五：史迹保存现状评估及建议措施</w:t>
      </w:r>
      <w:bookmarkEnd w:id="371"/>
      <w:bookmarkEnd w:id="372"/>
      <w:bookmarkEnd w:id="373"/>
      <w:bookmarkEnd w:id="374"/>
      <w:bookmarkEnd w:id="375"/>
      <w:bookmarkEnd w:id="376"/>
      <w:bookmarkEnd w:id="377"/>
      <w:bookmarkEnd w:id="378"/>
    </w:p>
    <w:tbl>
      <w:tblPr>
        <w:tblStyle w:val="19"/>
        <w:tblW w:w="20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1696"/>
        <w:gridCol w:w="2074"/>
        <w:gridCol w:w="1513"/>
        <w:gridCol w:w="1219"/>
        <w:gridCol w:w="1106"/>
        <w:gridCol w:w="2190"/>
        <w:gridCol w:w="2241"/>
        <w:gridCol w:w="1121"/>
        <w:gridCol w:w="704"/>
        <w:gridCol w:w="1542"/>
        <w:gridCol w:w="704"/>
        <w:gridCol w:w="1542"/>
        <w:gridCol w:w="2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96" w:type="dxa"/>
            <w:vMerge w:val="restart"/>
            <w:shd w:val="clear" w:color="auto" w:fill="D8D8D8" w:themeFill="background1" w:themeFillShade="D9"/>
            <w:vAlign w:val="center"/>
          </w:tcPr>
          <w:p>
            <w:pPr>
              <w:jc w:val="center"/>
              <w:rPr>
                <w:b/>
                <w:color w:val="auto"/>
              </w:rPr>
            </w:pPr>
            <w:r>
              <w:rPr>
                <w:b/>
                <w:color w:val="auto"/>
              </w:rPr>
              <w:t>序号</w:t>
            </w:r>
          </w:p>
        </w:tc>
        <w:tc>
          <w:tcPr>
            <w:tcW w:w="1696" w:type="dxa"/>
            <w:vMerge w:val="restart"/>
            <w:shd w:val="clear" w:color="auto" w:fill="D8D8D8" w:themeFill="background1" w:themeFillShade="D9"/>
            <w:vAlign w:val="center"/>
          </w:tcPr>
          <w:p>
            <w:pPr>
              <w:jc w:val="center"/>
              <w:rPr>
                <w:b/>
                <w:color w:val="auto"/>
              </w:rPr>
            </w:pPr>
            <w:r>
              <w:rPr>
                <w:b/>
                <w:color w:val="auto"/>
              </w:rPr>
              <w:t>名称</w:t>
            </w:r>
          </w:p>
        </w:tc>
        <w:tc>
          <w:tcPr>
            <w:tcW w:w="10343" w:type="dxa"/>
            <w:gridSpan w:val="6"/>
            <w:shd w:val="clear" w:color="auto" w:fill="D8D8D8" w:themeFill="background1" w:themeFillShade="D9"/>
            <w:vAlign w:val="center"/>
          </w:tcPr>
          <w:p>
            <w:pPr>
              <w:jc w:val="center"/>
              <w:rPr>
                <w:b/>
                <w:color w:val="auto"/>
              </w:rPr>
            </w:pPr>
            <w:r>
              <w:rPr>
                <w:b/>
                <w:color w:val="auto"/>
              </w:rPr>
              <w:t>保存现状</w:t>
            </w:r>
          </w:p>
        </w:tc>
        <w:tc>
          <w:tcPr>
            <w:tcW w:w="4071" w:type="dxa"/>
            <w:gridSpan w:val="4"/>
            <w:shd w:val="clear" w:color="auto" w:fill="D8D8D8" w:themeFill="background1" w:themeFillShade="D9"/>
            <w:vAlign w:val="center"/>
          </w:tcPr>
          <w:p>
            <w:pPr>
              <w:jc w:val="center"/>
              <w:rPr>
                <w:b/>
                <w:color w:val="auto"/>
              </w:rPr>
            </w:pPr>
            <w:r>
              <w:rPr>
                <w:b/>
                <w:color w:val="auto"/>
              </w:rPr>
              <w:t>建议措施</w:t>
            </w:r>
          </w:p>
        </w:tc>
        <w:tc>
          <w:tcPr>
            <w:tcW w:w="1542" w:type="dxa"/>
            <w:vMerge w:val="restart"/>
            <w:shd w:val="clear" w:color="auto" w:fill="D8D8D8" w:themeFill="background1" w:themeFillShade="D9"/>
            <w:vAlign w:val="center"/>
          </w:tcPr>
          <w:p>
            <w:pPr>
              <w:jc w:val="center"/>
              <w:rPr>
                <w:b/>
                <w:color w:val="auto"/>
              </w:rPr>
            </w:pPr>
            <w:r>
              <w:rPr>
                <w:rFonts w:hint="eastAsia"/>
                <w:b/>
                <w:color w:val="auto"/>
              </w:rPr>
              <w:t>潜在风险因素</w:t>
            </w:r>
          </w:p>
        </w:tc>
        <w:tc>
          <w:tcPr>
            <w:tcW w:w="2826" w:type="dxa"/>
            <w:vMerge w:val="restart"/>
            <w:shd w:val="clear" w:color="auto" w:fill="D8D8D8" w:themeFill="background1" w:themeFillShade="D9"/>
            <w:vAlign w:val="center"/>
          </w:tcPr>
          <w:p>
            <w:pPr>
              <w:jc w:val="center"/>
              <w:rPr>
                <w:b/>
                <w:color w:val="auto"/>
              </w:rPr>
            </w:pPr>
            <w:r>
              <w:rPr>
                <w:rFonts w:hint="eastAsia"/>
                <w:b/>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96" w:type="dxa"/>
            <w:vMerge w:val="continue"/>
            <w:shd w:val="clear" w:color="auto" w:fill="D8D8D8" w:themeFill="background1" w:themeFillShade="D9"/>
            <w:vAlign w:val="center"/>
          </w:tcPr>
          <w:p>
            <w:pPr>
              <w:jc w:val="center"/>
              <w:rPr>
                <w:b/>
                <w:color w:val="auto"/>
              </w:rPr>
            </w:pPr>
          </w:p>
        </w:tc>
        <w:tc>
          <w:tcPr>
            <w:tcW w:w="1696" w:type="dxa"/>
            <w:vMerge w:val="continue"/>
            <w:shd w:val="clear" w:color="auto" w:fill="D8D8D8" w:themeFill="background1" w:themeFillShade="D9"/>
            <w:vAlign w:val="center"/>
          </w:tcPr>
          <w:p>
            <w:pPr>
              <w:jc w:val="center"/>
              <w:rPr>
                <w:b/>
                <w:color w:val="auto"/>
              </w:rPr>
            </w:pPr>
          </w:p>
        </w:tc>
        <w:tc>
          <w:tcPr>
            <w:tcW w:w="2074" w:type="dxa"/>
            <w:shd w:val="clear" w:color="auto" w:fill="D8D8D8" w:themeFill="background1" w:themeFillShade="D9"/>
            <w:vAlign w:val="center"/>
          </w:tcPr>
          <w:p>
            <w:pPr>
              <w:jc w:val="center"/>
              <w:rPr>
                <w:b/>
                <w:color w:val="auto"/>
              </w:rPr>
            </w:pPr>
            <w:r>
              <w:rPr>
                <w:b/>
                <w:color w:val="auto"/>
              </w:rPr>
              <w:t>使用状态</w:t>
            </w:r>
          </w:p>
        </w:tc>
        <w:tc>
          <w:tcPr>
            <w:tcW w:w="1513" w:type="dxa"/>
            <w:shd w:val="clear" w:color="auto" w:fill="D8D8D8" w:themeFill="background1" w:themeFillShade="D9"/>
            <w:vAlign w:val="center"/>
          </w:tcPr>
          <w:p>
            <w:pPr>
              <w:jc w:val="center"/>
              <w:rPr>
                <w:b/>
                <w:color w:val="auto"/>
              </w:rPr>
            </w:pPr>
            <w:r>
              <w:rPr>
                <w:b/>
                <w:color w:val="auto"/>
              </w:rPr>
              <w:t>保护管理状况</w:t>
            </w:r>
          </w:p>
        </w:tc>
        <w:tc>
          <w:tcPr>
            <w:tcW w:w="1219" w:type="dxa"/>
            <w:shd w:val="clear" w:color="auto" w:fill="D8D8D8" w:themeFill="background1" w:themeFillShade="D9"/>
            <w:vAlign w:val="center"/>
          </w:tcPr>
          <w:p>
            <w:pPr>
              <w:jc w:val="center"/>
              <w:rPr>
                <w:b/>
                <w:color w:val="auto"/>
              </w:rPr>
            </w:pPr>
            <w:r>
              <w:rPr>
                <w:b/>
                <w:color w:val="auto"/>
              </w:rPr>
              <w:t>平面布局</w:t>
            </w:r>
          </w:p>
        </w:tc>
        <w:tc>
          <w:tcPr>
            <w:tcW w:w="1106" w:type="dxa"/>
            <w:shd w:val="clear" w:color="auto" w:fill="D8D8D8" w:themeFill="background1" w:themeFillShade="D9"/>
            <w:vAlign w:val="center"/>
          </w:tcPr>
          <w:p>
            <w:pPr>
              <w:jc w:val="center"/>
              <w:rPr>
                <w:b/>
                <w:color w:val="auto"/>
              </w:rPr>
            </w:pPr>
            <w:r>
              <w:rPr>
                <w:rFonts w:hint="eastAsia"/>
                <w:b/>
                <w:color w:val="auto"/>
              </w:rPr>
              <w:t>结构体系</w:t>
            </w:r>
          </w:p>
        </w:tc>
        <w:tc>
          <w:tcPr>
            <w:tcW w:w="2190" w:type="dxa"/>
            <w:shd w:val="clear" w:color="auto" w:fill="D8D8D8" w:themeFill="background1" w:themeFillShade="D9"/>
            <w:vAlign w:val="center"/>
          </w:tcPr>
          <w:p>
            <w:pPr>
              <w:jc w:val="center"/>
              <w:rPr>
                <w:b/>
                <w:color w:val="auto"/>
              </w:rPr>
            </w:pPr>
            <w:r>
              <w:rPr>
                <w:rFonts w:hint="eastAsia"/>
                <w:b/>
                <w:color w:val="auto"/>
              </w:rPr>
              <w:t>外立面</w:t>
            </w:r>
          </w:p>
        </w:tc>
        <w:tc>
          <w:tcPr>
            <w:tcW w:w="2241" w:type="dxa"/>
            <w:shd w:val="clear" w:color="auto" w:fill="D8D8D8" w:themeFill="background1" w:themeFillShade="D9"/>
            <w:vAlign w:val="center"/>
          </w:tcPr>
          <w:p>
            <w:pPr>
              <w:jc w:val="center"/>
              <w:rPr>
                <w:b/>
                <w:color w:val="auto"/>
              </w:rPr>
            </w:pPr>
            <w:r>
              <w:rPr>
                <w:rFonts w:hint="eastAsia"/>
                <w:b/>
                <w:color w:val="auto"/>
              </w:rPr>
              <w:t>室内</w:t>
            </w:r>
          </w:p>
        </w:tc>
        <w:tc>
          <w:tcPr>
            <w:tcW w:w="1121" w:type="dxa"/>
            <w:shd w:val="clear" w:color="auto" w:fill="D8D8D8" w:themeFill="background1" w:themeFillShade="D9"/>
            <w:vAlign w:val="center"/>
          </w:tcPr>
          <w:p>
            <w:pPr>
              <w:jc w:val="center"/>
              <w:rPr>
                <w:b/>
                <w:color w:val="auto"/>
              </w:rPr>
            </w:pPr>
            <w:r>
              <w:rPr>
                <w:rFonts w:hint="eastAsia"/>
                <w:b/>
                <w:color w:val="auto"/>
              </w:rPr>
              <w:t>建筑</w:t>
            </w:r>
            <w:r>
              <w:rPr>
                <w:b/>
                <w:color w:val="auto"/>
              </w:rPr>
              <w:t>结构安全性评估</w:t>
            </w:r>
          </w:p>
        </w:tc>
        <w:tc>
          <w:tcPr>
            <w:tcW w:w="704" w:type="dxa"/>
            <w:shd w:val="clear" w:color="auto" w:fill="D8D8D8" w:themeFill="background1" w:themeFillShade="D9"/>
            <w:vAlign w:val="center"/>
          </w:tcPr>
          <w:p>
            <w:pPr>
              <w:jc w:val="center"/>
              <w:rPr>
                <w:b/>
                <w:color w:val="auto"/>
              </w:rPr>
            </w:pPr>
            <w:r>
              <w:rPr>
                <w:b/>
                <w:color w:val="auto"/>
              </w:rPr>
              <w:t>本体</w:t>
            </w:r>
            <w:r>
              <w:rPr>
                <w:rFonts w:hint="eastAsia"/>
                <w:b/>
                <w:color w:val="auto"/>
              </w:rPr>
              <w:t>维修</w:t>
            </w:r>
          </w:p>
        </w:tc>
        <w:tc>
          <w:tcPr>
            <w:tcW w:w="1542" w:type="dxa"/>
            <w:shd w:val="clear" w:color="auto" w:fill="D8D8D8" w:themeFill="background1" w:themeFillShade="D9"/>
            <w:vAlign w:val="center"/>
          </w:tcPr>
          <w:p>
            <w:pPr>
              <w:jc w:val="center"/>
              <w:rPr>
                <w:b/>
                <w:color w:val="auto"/>
              </w:rPr>
            </w:pPr>
            <w:r>
              <w:rPr>
                <w:rFonts w:hint="eastAsia"/>
                <w:b/>
                <w:color w:val="auto"/>
              </w:rPr>
              <w:t>建筑局部</w:t>
            </w:r>
            <w:r>
              <w:rPr>
                <w:b/>
                <w:color w:val="auto"/>
              </w:rPr>
              <w:t>改造及展示利用</w:t>
            </w:r>
            <w:r>
              <w:rPr>
                <w:rFonts w:hint="eastAsia"/>
                <w:b/>
                <w:color w:val="auto"/>
              </w:rPr>
              <w:t>（非核心价值部分）</w:t>
            </w:r>
          </w:p>
        </w:tc>
        <w:tc>
          <w:tcPr>
            <w:tcW w:w="704" w:type="dxa"/>
            <w:shd w:val="clear" w:color="auto" w:fill="D8D8D8" w:themeFill="background1" w:themeFillShade="D9"/>
            <w:vAlign w:val="center"/>
          </w:tcPr>
          <w:p>
            <w:pPr>
              <w:jc w:val="center"/>
              <w:rPr>
                <w:b/>
                <w:color w:val="auto"/>
              </w:rPr>
            </w:pPr>
            <w:r>
              <w:rPr>
                <w:b/>
                <w:color w:val="auto"/>
              </w:rPr>
              <w:t>环境整治</w:t>
            </w:r>
          </w:p>
        </w:tc>
        <w:tc>
          <w:tcPr>
            <w:tcW w:w="1542" w:type="dxa"/>
            <w:vMerge w:val="continue"/>
            <w:shd w:val="clear" w:color="auto" w:fill="D8D8D8" w:themeFill="background1" w:themeFillShade="D9"/>
          </w:tcPr>
          <w:p>
            <w:pPr>
              <w:rPr>
                <w:color w:val="auto"/>
              </w:rPr>
            </w:pPr>
          </w:p>
        </w:tc>
        <w:tc>
          <w:tcPr>
            <w:tcW w:w="2826" w:type="dxa"/>
            <w:vMerge w:val="continue"/>
            <w:shd w:val="clear" w:color="auto" w:fill="D8D8D8" w:themeFill="background1" w:themeFillShade="D9"/>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1</w:t>
            </w:r>
          </w:p>
        </w:tc>
        <w:tc>
          <w:tcPr>
            <w:tcW w:w="1696" w:type="dxa"/>
          </w:tcPr>
          <w:p>
            <w:pPr>
              <w:rPr>
                <w:color w:val="auto"/>
              </w:rPr>
            </w:pPr>
            <w:r>
              <w:rPr>
                <w:rFonts w:hint="eastAsia"/>
                <w:color w:val="auto"/>
              </w:rPr>
              <w:t>大成面粉厂</w:t>
            </w:r>
          </w:p>
        </w:tc>
        <w:tc>
          <w:tcPr>
            <w:tcW w:w="2074" w:type="dxa"/>
          </w:tcPr>
          <w:p>
            <w:pPr>
              <w:rPr>
                <w:color w:val="auto"/>
              </w:rPr>
            </w:pPr>
            <w:r>
              <w:rPr>
                <w:rFonts w:hint="eastAsia" w:asciiTheme="minorEastAsia" w:hAnsiTheme="minorEastAsia"/>
                <w:color w:val="auto"/>
              </w:rPr>
              <w:t>●</w:t>
            </w:r>
            <w:r>
              <w:rPr>
                <w:color w:val="auto"/>
              </w:rPr>
              <w:t>长期闲置</w:t>
            </w:r>
          </w:p>
          <w:p>
            <w:pPr>
              <w:rPr>
                <w:color w:val="auto"/>
              </w:rPr>
            </w:pPr>
            <w:r>
              <w:rPr>
                <w:rFonts w:hint="eastAsia" w:asciiTheme="minorEastAsia" w:hAnsiTheme="minorEastAsia"/>
                <w:color w:val="auto"/>
              </w:rPr>
              <w:t>●</w:t>
            </w:r>
            <w:r>
              <w:rPr>
                <w:rFonts w:hint="eastAsia"/>
                <w:color w:val="auto"/>
              </w:rPr>
              <w:t>2015年，部分建筑曾做主展场使用</w:t>
            </w:r>
          </w:p>
        </w:tc>
        <w:tc>
          <w:tcPr>
            <w:tcW w:w="1513" w:type="dxa"/>
          </w:tcPr>
          <w:p>
            <w:pPr>
              <w:rPr>
                <w:rFonts w:asciiTheme="minorEastAsia" w:hAnsiTheme="minorEastAsia"/>
                <w:color w:val="auto"/>
              </w:rPr>
            </w:pPr>
            <w:r>
              <w:rPr>
                <w:rFonts w:hint="eastAsia" w:asciiTheme="minorEastAsia" w:hAnsiTheme="minorEastAsia"/>
                <w:color w:val="auto"/>
              </w:rPr>
              <w:t>●</w:t>
            </w:r>
            <w:r>
              <w:rPr>
                <w:rFonts w:hint="eastAsia" w:ascii="宋体" w:hAnsi="宋体" w:eastAsia="宋体" w:cs="Times New Roman"/>
                <w:color w:val="auto"/>
                <w:szCs w:val="21"/>
              </w:rPr>
              <w:t>尚未开展保护措施</w:t>
            </w:r>
          </w:p>
        </w:tc>
        <w:tc>
          <w:tcPr>
            <w:tcW w:w="1219" w:type="dxa"/>
          </w:tcPr>
          <w:p>
            <w:pPr>
              <w:rPr>
                <w:color w:val="auto"/>
              </w:rPr>
            </w:pPr>
            <w:r>
              <w:rPr>
                <w:rFonts w:hint="eastAsia" w:asciiTheme="minorEastAsia" w:hAnsiTheme="minorEastAsia"/>
                <w:color w:val="auto"/>
              </w:rPr>
              <w:t>●未改变</w:t>
            </w:r>
          </w:p>
          <w:p>
            <w:pPr>
              <w:rPr>
                <w:color w:val="auto"/>
              </w:rPr>
            </w:pPr>
          </w:p>
        </w:tc>
        <w:tc>
          <w:tcPr>
            <w:tcW w:w="1106" w:type="dxa"/>
          </w:tcPr>
          <w:p>
            <w:pPr>
              <w:rPr>
                <w:color w:val="auto"/>
              </w:rPr>
            </w:pPr>
            <w:r>
              <w:rPr>
                <w:rFonts w:hint="eastAsia" w:asciiTheme="minorEastAsia" w:hAnsiTheme="minorEastAsia"/>
                <w:color w:val="auto"/>
              </w:rPr>
              <w:t>●未改变</w:t>
            </w: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●现存</w:t>
            </w:r>
            <w:r>
              <w:rPr>
                <w:rFonts w:hint="eastAsia"/>
                <w:color w:val="auto"/>
              </w:rPr>
              <w:t>2015年做主展场使用时的</w:t>
            </w:r>
            <w:r>
              <w:rPr>
                <w:rFonts w:hint="eastAsia" w:ascii="宋体" w:hAnsi="宋体" w:eastAsia="宋体" w:cs="Times New Roman"/>
                <w:color w:val="auto"/>
                <w:szCs w:val="21"/>
              </w:rPr>
              <w:t>涂画痕迹</w:t>
            </w:r>
          </w:p>
          <w:p>
            <w:pPr>
              <w:rPr>
                <w:rFonts w:asciiTheme="minorEastAsia" w:hAnsiTheme="minorEastAsia"/>
                <w:color w:val="auto"/>
              </w:rPr>
            </w:pPr>
            <w:r>
              <w:rPr>
                <w:rFonts w:hint="eastAsia" w:asciiTheme="minorEastAsia" w:hAnsiTheme="minorEastAsia"/>
                <w:color w:val="auto"/>
              </w:rPr>
              <w:t>●墙面污渍，门窗局部残坏、缺失</w:t>
            </w:r>
          </w:p>
        </w:tc>
        <w:tc>
          <w:tcPr>
            <w:tcW w:w="2241" w:type="dxa"/>
          </w:tcPr>
          <w:p>
            <w:pPr>
              <w:rPr>
                <w:rFonts w:asciiTheme="minorEastAsia" w:hAnsiTheme="minorEastAsia"/>
                <w:color w:val="auto"/>
              </w:rPr>
            </w:pPr>
            <w:r>
              <w:rPr>
                <w:rFonts w:hint="eastAsia" w:asciiTheme="minorEastAsia" w:hAnsiTheme="minorEastAsia"/>
                <w:color w:val="auto"/>
              </w:rPr>
              <w:t>●墙面局部残坏</w:t>
            </w:r>
          </w:p>
          <w:p>
            <w:pPr>
              <w:rPr>
                <w:rFonts w:asciiTheme="minorEastAsia" w:hAnsiTheme="minorEastAsia"/>
                <w:color w:val="auto"/>
              </w:rPr>
            </w:pPr>
            <w:r>
              <w:rPr>
                <w:rFonts w:hint="eastAsia" w:asciiTheme="minorEastAsia" w:hAnsiTheme="minorEastAsia"/>
                <w:color w:val="auto"/>
              </w:rPr>
              <w:t>●地面堆放垃圾</w:t>
            </w:r>
          </w:p>
        </w:tc>
        <w:tc>
          <w:tcPr>
            <w:tcW w:w="1121"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r>
              <w:rPr>
                <w:rFonts w:hint="eastAsia" w:asciiTheme="minorEastAsia" w:hAnsiTheme="minorEastAsia"/>
                <w:color w:val="auto"/>
              </w:rPr>
              <w:t>√</w:t>
            </w:r>
          </w:p>
        </w:tc>
        <w:tc>
          <w:tcPr>
            <w:tcW w:w="1542" w:type="dxa"/>
          </w:tcPr>
          <w:p>
            <w:pPr>
              <w:rPr>
                <w:color w:val="auto"/>
              </w:rPr>
            </w:pPr>
            <w:r>
              <w:rPr>
                <w:rFonts w:hint="eastAsia" w:asciiTheme="minorEastAsia" w:hAnsiTheme="minorEastAsia"/>
                <w:color w:val="auto"/>
              </w:rPr>
              <w:t>●</w:t>
            </w:r>
            <w:r>
              <w:rPr>
                <w:rFonts w:hint="eastAsia"/>
                <w:color w:val="auto"/>
              </w:rPr>
              <w:t>长期闲置</w:t>
            </w:r>
          </w:p>
        </w:tc>
        <w:tc>
          <w:tcPr>
            <w:tcW w:w="2826" w:type="dxa"/>
          </w:tcPr>
          <w:p>
            <w:pPr>
              <w:rPr>
                <w:color w:val="auto"/>
              </w:rPr>
            </w:pPr>
            <w:r>
              <w:rPr>
                <w:rFonts w:hint="eastAsia" w:asciiTheme="minorEastAsia" w:hAnsiTheme="minorEastAsia"/>
                <w:color w:val="auto"/>
              </w:rPr>
              <w:t>●</w:t>
            </w:r>
            <w:r>
              <w:rPr>
                <w:rFonts w:hint="eastAsia"/>
                <w:color w:val="auto"/>
              </w:rPr>
              <w:t>措施急需开展、可同步进行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2</w:t>
            </w:r>
          </w:p>
        </w:tc>
        <w:tc>
          <w:tcPr>
            <w:tcW w:w="1696" w:type="dxa"/>
          </w:tcPr>
          <w:p>
            <w:pPr>
              <w:rPr>
                <w:color w:val="auto"/>
              </w:rPr>
            </w:pPr>
            <w:r>
              <w:rPr>
                <w:rFonts w:hint="eastAsia"/>
                <w:color w:val="auto"/>
              </w:rPr>
              <w:t>广东浮法玻璃厂 （价值工厂）</w:t>
            </w:r>
          </w:p>
        </w:tc>
        <w:tc>
          <w:tcPr>
            <w:tcW w:w="2074" w:type="dxa"/>
          </w:tcPr>
          <w:p>
            <w:pPr>
              <w:rPr>
                <w:color w:val="auto"/>
              </w:rPr>
            </w:pPr>
            <w:r>
              <w:rPr>
                <w:rFonts w:hint="eastAsia" w:asciiTheme="minorEastAsia" w:hAnsiTheme="minorEastAsia"/>
                <w:color w:val="auto"/>
              </w:rPr>
              <w:t>●</w:t>
            </w:r>
            <w:r>
              <w:rPr>
                <w:rFonts w:hint="eastAsia"/>
                <w:color w:val="auto"/>
              </w:rPr>
              <w:t>2015年、2015年，曾做分会场使用</w:t>
            </w:r>
          </w:p>
          <w:p>
            <w:pPr>
              <w:rPr>
                <w:color w:val="auto"/>
              </w:rPr>
            </w:pPr>
            <w:r>
              <w:rPr>
                <w:rFonts w:hint="eastAsia" w:asciiTheme="minorEastAsia" w:hAnsiTheme="minorEastAsia"/>
                <w:color w:val="auto"/>
              </w:rPr>
              <w:t>●现做价值工厂使用</w:t>
            </w:r>
          </w:p>
        </w:tc>
        <w:tc>
          <w:tcPr>
            <w:tcW w:w="1513" w:type="dxa"/>
          </w:tcPr>
          <w:p>
            <w:pPr>
              <w:rPr>
                <w:rFonts w:asciiTheme="minorEastAsia" w:hAnsiTheme="minorEastAsia"/>
                <w:color w:val="auto"/>
              </w:rPr>
            </w:pPr>
            <w:r>
              <w:rPr>
                <w:rFonts w:hint="eastAsia" w:asciiTheme="minorEastAsia" w:hAnsiTheme="minorEastAsia"/>
                <w:color w:val="auto"/>
              </w:rPr>
              <w:t>●良好</w:t>
            </w:r>
          </w:p>
        </w:tc>
        <w:tc>
          <w:tcPr>
            <w:tcW w:w="1219" w:type="dxa"/>
          </w:tcPr>
          <w:p>
            <w:pPr>
              <w:rPr>
                <w:color w:val="auto"/>
              </w:rPr>
            </w:pPr>
            <w:r>
              <w:rPr>
                <w:rFonts w:hint="eastAsia" w:asciiTheme="minorEastAsia" w:hAnsiTheme="minorEastAsia"/>
                <w:color w:val="auto"/>
              </w:rPr>
              <w:t>●基本未改变</w:t>
            </w:r>
          </w:p>
          <w:p>
            <w:pPr>
              <w:rPr>
                <w:color w:val="auto"/>
              </w:rPr>
            </w:pPr>
          </w:p>
        </w:tc>
        <w:tc>
          <w:tcPr>
            <w:tcW w:w="1106" w:type="dxa"/>
          </w:tcPr>
          <w:p>
            <w:pPr>
              <w:rPr>
                <w:color w:val="auto"/>
              </w:rPr>
            </w:pPr>
            <w:r>
              <w:rPr>
                <w:rFonts w:hint="eastAsia" w:asciiTheme="minorEastAsia" w:hAnsiTheme="minorEastAsia"/>
                <w:color w:val="auto"/>
              </w:rPr>
              <w:t>●未改变</w:t>
            </w: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●因改造利用，部分建筑立面改变</w:t>
            </w:r>
          </w:p>
          <w:p>
            <w:pPr>
              <w:rPr>
                <w:rFonts w:asciiTheme="minorEastAsia" w:hAnsiTheme="minorEastAsia"/>
                <w:color w:val="auto"/>
              </w:rPr>
            </w:pPr>
            <w:r>
              <w:rPr>
                <w:rFonts w:hint="eastAsia" w:asciiTheme="minorEastAsia" w:hAnsiTheme="minorEastAsia"/>
                <w:color w:val="auto"/>
              </w:rPr>
              <w:t>●墙面污渍</w:t>
            </w:r>
          </w:p>
        </w:tc>
        <w:tc>
          <w:tcPr>
            <w:tcW w:w="2241" w:type="dxa"/>
          </w:tcPr>
          <w:p>
            <w:pPr>
              <w:rPr>
                <w:rFonts w:asciiTheme="minorEastAsia" w:hAnsiTheme="minorEastAsia"/>
                <w:color w:val="auto"/>
              </w:rPr>
            </w:pPr>
            <w:r>
              <w:rPr>
                <w:rFonts w:hint="eastAsia" w:asciiTheme="minorEastAsia" w:hAnsiTheme="minorEastAsia"/>
                <w:color w:val="auto"/>
              </w:rPr>
              <w:t>●室内装修改变</w:t>
            </w:r>
          </w:p>
        </w:tc>
        <w:tc>
          <w:tcPr>
            <w:tcW w:w="1121"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r>
              <w:rPr>
                <w:rFonts w:hint="eastAsia" w:asciiTheme="minorEastAsia" w:hAnsiTheme="minorEastAsia"/>
                <w:color w:val="auto"/>
              </w:rPr>
              <w:t>√</w:t>
            </w:r>
          </w:p>
        </w:tc>
        <w:tc>
          <w:tcPr>
            <w:tcW w:w="1542" w:type="dxa"/>
          </w:tcPr>
          <w:p>
            <w:pPr>
              <w:rPr>
                <w:color w:val="auto"/>
              </w:rPr>
            </w:pPr>
            <w:r>
              <w:rPr>
                <w:rFonts w:hint="eastAsia" w:asciiTheme="minorEastAsia" w:hAnsiTheme="minorEastAsia"/>
                <w:color w:val="auto"/>
              </w:rPr>
              <w:t>●</w:t>
            </w:r>
            <w:r>
              <w:rPr>
                <w:color w:val="auto"/>
              </w:rPr>
              <w:t>不正当改造</w:t>
            </w:r>
          </w:p>
        </w:tc>
        <w:tc>
          <w:tcPr>
            <w:tcW w:w="2826" w:type="dxa"/>
          </w:tcPr>
          <w:p>
            <w:pPr>
              <w:rPr>
                <w:color w:val="auto"/>
              </w:rPr>
            </w:pPr>
            <w:r>
              <w:rPr>
                <w:rFonts w:hint="eastAsia" w:asciiTheme="minorEastAsia" w:hAnsiTheme="minorEastAsia"/>
                <w:color w:val="auto"/>
              </w:rPr>
              <w:t>●</w:t>
            </w:r>
            <w:r>
              <w:rPr>
                <w:color w:val="auto"/>
              </w:rPr>
              <w:t>未</w:t>
            </w:r>
            <w:r>
              <w:rPr>
                <w:rFonts w:hint="eastAsia"/>
                <w:color w:val="auto"/>
              </w:rPr>
              <w:t>利用</w:t>
            </w:r>
            <w:r>
              <w:rPr>
                <w:color w:val="auto"/>
              </w:rPr>
              <w:t>建筑编制保护</w:t>
            </w:r>
            <w:r>
              <w:rPr>
                <w:rFonts w:hint="eastAsia"/>
                <w:color w:val="auto"/>
              </w:rPr>
              <w:t>展示利用方案，措施可同步进行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3</w:t>
            </w:r>
          </w:p>
        </w:tc>
        <w:tc>
          <w:tcPr>
            <w:tcW w:w="1696" w:type="dxa"/>
          </w:tcPr>
          <w:p>
            <w:pPr>
              <w:rPr>
                <w:color w:val="auto"/>
              </w:rPr>
            </w:pPr>
            <w:r>
              <w:rPr>
                <w:rFonts w:hint="eastAsia"/>
                <w:color w:val="auto"/>
              </w:rPr>
              <w:t xml:space="preserve">“空谈误国，实干兴邦”标语牌  </w:t>
            </w:r>
          </w:p>
        </w:tc>
        <w:tc>
          <w:tcPr>
            <w:tcW w:w="2074" w:type="dxa"/>
          </w:tcPr>
          <w:p>
            <w:pPr>
              <w:rPr>
                <w:color w:val="auto"/>
              </w:rPr>
            </w:pPr>
          </w:p>
        </w:tc>
        <w:tc>
          <w:tcPr>
            <w:tcW w:w="1513" w:type="dxa"/>
          </w:tcPr>
          <w:p>
            <w:pPr>
              <w:rPr>
                <w:rFonts w:asciiTheme="minorEastAsia" w:hAnsiTheme="minorEastAsia"/>
                <w:color w:val="auto"/>
              </w:rPr>
            </w:pPr>
            <w:r>
              <w:rPr>
                <w:rFonts w:hint="eastAsia" w:asciiTheme="minorEastAsia" w:hAnsiTheme="minorEastAsia"/>
                <w:color w:val="auto"/>
              </w:rPr>
              <w:t>●一般</w:t>
            </w:r>
          </w:p>
        </w:tc>
        <w:tc>
          <w:tcPr>
            <w:tcW w:w="1219" w:type="dxa"/>
          </w:tcPr>
          <w:p>
            <w:pPr>
              <w:rPr>
                <w:color w:val="auto"/>
              </w:rPr>
            </w:pPr>
          </w:p>
        </w:tc>
        <w:tc>
          <w:tcPr>
            <w:tcW w:w="1106" w:type="dxa"/>
          </w:tcPr>
          <w:p>
            <w:pPr>
              <w:rPr>
                <w:color w:val="auto"/>
              </w:rPr>
            </w:pP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●基座局部残坏</w:t>
            </w:r>
          </w:p>
          <w:p>
            <w:pPr>
              <w:rPr>
                <w:rFonts w:asciiTheme="minorEastAsia" w:hAnsiTheme="minorEastAsia"/>
                <w:color w:val="auto"/>
              </w:rPr>
            </w:pPr>
          </w:p>
        </w:tc>
        <w:tc>
          <w:tcPr>
            <w:tcW w:w="2241" w:type="dxa"/>
          </w:tcPr>
          <w:p>
            <w:pPr>
              <w:rPr>
                <w:rFonts w:asciiTheme="minorEastAsia" w:hAnsiTheme="minorEastAsia"/>
                <w:color w:val="auto"/>
              </w:rPr>
            </w:pPr>
          </w:p>
        </w:tc>
        <w:tc>
          <w:tcPr>
            <w:tcW w:w="1121" w:type="dxa"/>
            <w:vAlign w:val="center"/>
          </w:tcPr>
          <w:p>
            <w:pPr>
              <w:jc w:val="cente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tcPr>
          <w:p>
            <w:pPr>
              <w:rPr>
                <w:color w:val="auto"/>
              </w:rPr>
            </w:pPr>
            <w:r>
              <w:rPr>
                <w:rFonts w:hint="eastAsia" w:asciiTheme="minorEastAsia" w:hAnsiTheme="minorEastAsia"/>
                <w:color w:val="auto"/>
              </w:rPr>
              <w:t>●</w:t>
            </w:r>
            <w:r>
              <w:rPr>
                <w:rFonts w:hint="eastAsia"/>
                <w:color w:val="auto"/>
              </w:rPr>
              <w:t>修建地铁</w:t>
            </w:r>
          </w:p>
          <w:p>
            <w:pPr>
              <w:rPr>
                <w:color w:val="auto"/>
              </w:rPr>
            </w:pPr>
            <w:r>
              <w:rPr>
                <w:rFonts w:hint="eastAsia" w:asciiTheme="minorEastAsia" w:hAnsiTheme="minorEastAsia"/>
                <w:color w:val="auto"/>
              </w:rPr>
              <w:t>●</w:t>
            </w:r>
            <w:r>
              <w:rPr>
                <w:rFonts w:hint="eastAsia"/>
                <w:color w:val="auto"/>
              </w:rPr>
              <w:t>自然破坏</w:t>
            </w:r>
          </w:p>
        </w:tc>
        <w:tc>
          <w:tcPr>
            <w:tcW w:w="2826" w:type="dxa"/>
          </w:tcPr>
          <w:p>
            <w:pPr>
              <w:rPr>
                <w:color w:val="auto"/>
              </w:rPr>
            </w:pPr>
            <w:r>
              <w:rPr>
                <w:rFonts w:hint="eastAsia" w:asciiTheme="minorEastAsia" w:hAnsiTheme="minorEastAsia"/>
                <w:color w:val="auto"/>
              </w:rPr>
              <w:t>●</w:t>
            </w:r>
            <w:r>
              <w:rPr>
                <w:rFonts w:hint="eastAsia" w:ascii="宋体" w:hAnsi="宋体"/>
                <w:color w:val="auto"/>
                <w:szCs w:val="18"/>
              </w:rPr>
              <w:t>开展环境整治，留出参观展示空间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4</w:t>
            </w:r>
          </w:p>
        </w:tc>
        <w:tc>
          <w:tcPr>
            <w:tcW w:w="1696" w:type="dxa"/>
          </w:tcPr>
          <w:p>
            <w:pPr>
              <w:rPr>
                <w:color w:val="auto"/>
              </w:rPr>
            </w:pPr>
            <w:r>
              <w:rPr>
                <w:rFonts w:hint="eastAsia"/>
                <w:color w:val="auto"/>
              </w:rPr>
              <w:t>明华轮</w:t>
            </w:r>
          </w:p>
        </w:tc>
        <w:tc>
          <w:tcPr>
            <w:tcW w:w="2074" w:type="dxa"/>
          </w:tcPr>
          <w:p>
            <w:pPr>
              <w:rPr>
                <w:color w:val="auto"/>
              </w:rPr>
            </w:pPr>
            <w:r>
              <w:rPr>
                <w:rFonts w:hint="eastAsia" w:asciiTheme="minorEastAsia" w:hAnsiTheme="minorEastAsia"/>
                <w:color w:val="auto"/>
              </w:rPr>
              <w:t>●</w:t>
            </w:r>
            <w:r>
              <w:rPr>
                <w:rFonts w:hint="eastAsia"/>
                <w:color w:val="auto"/>
              </w:rPr>
              <w:t>使用</w:t>
            </w:r>
            <w:r>
              <w:rPr>
                <w:color w:val="auto"/>
              </w:rPr>
              <w:t>中</w:t>
            </w:r>
          </w:p>
          <w:p>
            <w:pPr>
              <w:rPr>
                <w:color w:val="auto"/>
              </w:rPr>
            </w:pPr>
            <w:r>
              <w:rPr>
                <w:rFonts w:hint="eastAsia" w:asciiTheme="minorEastAsia" w:hAnsiTheme="minorEastAsia"/>
                <w:color w:val="auto"/>
              </w:rPr>
              <w:t>●集</w:t>
            </w:r>
            <w:r>
              <w:rPr>
                <w:rFonts w:hint="eastAsia" w:ascii="宋体" w:hAnsi="宋体"/>
                <w:color w:val="auto"/>
                <w:szCs w:val="21"/>
              </w:rPr>
              <w:t>酒店、娱乐为一体的综合性海上旅游中心</w:t>
            </w:r>
          </w:p>
        </w:tc>
        <w:tc>
          <w:tcPr>
            <w:tcW w:w="1513" w:type="dxa"/>
          </w:tcPr>
          <w:p>
            <w:pPr>
              <w:rPr>
                <w:rFonts w:asciiTheme="minorEastAsia" w:hAnsiTheme="minorEastAsia"/>
                <w:color w:val="auto"/>
              </w:rPr>
            </w:pPr>
            <w:r>
              <w:rPr>
                <w:rFonts w:hint="eastAsia" w:asciiTheme="minorEastAsia" w:hAnsiTheme="minorEastAsia"/>
                <w:color w:val="auto"/>
              </w:rPr>
              <w:t>●较好</w:t>
            </w:r>
          </w:p>
        </w:tc>
        <w:tc>
          <w:tcPr>
            <w:tcW w:w="1219" w:type="dxa"/>
          </w:tcPr>
          <w:p>
            <w:pPr>
              <w:rPr>
                <w:color w:val="auto"/>
              </w:rPr>
            </w:pPr>
            <w:r>
              <w:rPr>
                <w:rFonts w:hint="eastAsia" w:asciiTheme="minorEastAsia" w:hAnsiTheme="minorEastAsia"/>
                <w:color w:val="auto"/>
              </w:rPr>
              <w:t>●基本未改变</w:t>
            </w:r>
          </w:p>
          <w:p>
            <w:pPr>
              <w:rPr>
                <w:color w:val="auto"/>
              </w:rPr>
            </w:pPr>
          </w:p>
        </w:tc>
        <w:tc>
          <w:tcPr>
            <w:tcW w:w="1106" w:type="dxa"/>
          </w:tcPr>
          <w:p>
            <w:pPr>
              <w:rPr>
                <w:color w:val="auto"/>
              </w:rPr>
            </w:pPr>
            <w:r>
              <w:rPr>
                <w:rFonts w:hint="eastAsia" w:asciiTheme="minorEastAsia" w:hAnsiTheme="minorEastAsia"/>
                <w:color w:val="auto"/>
              </w:rPr>
              <w:t>●未改变</w:t>
            </w: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●立面未改变</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●室内装修改变</w:t>
            </w:r>
          </w:p>
        </w:tc>
        <w:tc>
          <w:tcPr>
            <w:tcW w:w="1121" w:type="dxa"/>
            <w:vAlign w:val="center"/>
          </w:tcPr>
          <w:p>
            <w:pPr>
              <w:jc w:val="cente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游客</w:t>
            </w:r>
          </w:p>
          <w:p>
            <w:pPr>
              <w:rPr>
                <w:color w:val="auto"/>
              </w:rPr>
            </w:pPr>
            <w:r>
              <w:rPr>
                <w:rFonts w:hint="eastAsia" w:asciiTheme="minorEastAsia" w:hAnsiTheme="minorEastAsia"/>
                <w:color w:val="auto"/>
              </w:rPr>
              <w:t>●</w:t>
            </w:r>
            <w:r>
              <w:rPr>
                <w:rFonts w:hint="eastAsia"/>
                <w:color w:val="auto"/>
              </w:rPr>
              <w:t>海水、海浪</w:t>
            </w:r>
          </w:p>
        </w:tc>
        <w:tc>
          <w:tcPr>
            <w:tcW w:w="2826" w:type="dxa"/>
          </w:tcPr>
          <w:p>
            <w:pPr>
              <w:rPr>
                <w:color w:val="auto"/>
              </w:rPr>
            </w:pPr>
            <w:r>
              <w:rPr>
                <w:rFonts w:hint="eastAsia" w:asciiTheme="minorEastAsia" w:hAnsiTheme="minorEastAsia"/>
                <w:color w:val="auto"/>
              </w:rPr>
              <w:t>●</w:t>
            </w:r>
            <w:r>
              <w:rPr>
                <w:rFonts w:hint="eastAsia"/>
                <w:color w:val="auto"/>
              </w:rPr>
              <w:t>日常维护与保养</w:t>
            </w:r>
          </w:p>
          <w:p>
            <w:pPr>
              <w:rPr>
                <w:color w:val="auto"/>
              </w:rPr>
            </w:pPr>
            <w:r>
              <w:rPr>
                <w:rFonts w:hint="eastAsia"/>
                <w:color w:val="auto"/>
              </w:rPr>
              <w:t>●专设展览空间</w:t>
            </w: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5</w:t>
            </w:r>
          </w:p>
        </w:tc>
        <w:tc>
          <w:tcPr>
            <w:tcW w:w="1696" w:type="dxa"/>
          </w:tcPr>
          <w:p>
            <w:pPr>
              <w:rPr>
                <w:color w:val="auto"/>
              </w:rPr>
            </w:pPr>
            <w:r>
              <w:rPr>
                <w:rFonts w:hint="eastAsia"/>
                <w:color w:val="auto"/>
              </w:rPr>
              <w:t>南海酒店（希尔顿酒店）</w:t>
            </w:r>
          </w:p>
        </w:tc>
        <w:tc>
          <w:tcPr>
            <w:tcW w:w="2074" w:type="dxa"/>
          </w:tcPr>
          <w:p>
            <w:pPr>
              <w:rPr>
                <w:color w:val="auto"/>
              </w:rPr>
            </w:pPr>
            <w:r>
              <w:rPr>
                <w:rFonts w:hint="eastAsia" w:asciiTheme="minorEastAsia" w:hAnsiTheme="minorEastAsia"/>
                <w:color w:val="auto"/>
              </w:rPr>
              <w:t>●</w:t>
            </w:r>
            <w:r>
              <w:rPr>
                <w:rFonts w:hint="eastAsia"/>
                <w:color w:val="auto"/>
              </w:rPr>
              <w:t>使用</w:t>
            </w:r>
            <w:r>
              <w:rPr>
                <w:color w:val="auto"/>
              </w:rPr>
              <w:t>中</w:t>
            </w:r>
          </w:p>
          <w:p>
            <w:pPr>
              <w:rPr>
                <w:color w:val="auto"/>
              </w:rPr>
            </w:pPr>
          </w:p>
        </w:tc>
        <w:tc>
          <w:tcPr>
            <w:tcW w:w="1513" w:type="dxa"/>
          </w:tcPr>
          <w:p>
            <w:pPr>
              <w:rPr>
                <w:rFonts w:asciiTheme="minorEastAsia" w:hAnsiTheme="minorEastAsia"/>
                <w:color w:val="auto"/>
              </w:rPr>
            </w:pPr>
            <w:r>
              <w:rPr>
                <w:rFonts w:hint="eastAsia" w:asciiTheme="minorEastAsia" w:hAnsiTheme="minorEastAsia"/>
                <w:color w:val="auto"/>
              </w:rPr>
              <w:t>●较好</w:t>
            </w:r>
          </w:p>
        </w:tc>
        <w:tc>
          <w:tcPr>
            <w:tcW w:w="1219" w:type="dxa"/>
          </w:tcPr>
          <w:p>
            <w:pPr>
              <w:rPr>
                <w:color w:val="auto"/>
              </w:rPr>
            </w:pPr>
            <w:r>
              <w:rPr>
                <w:rFonts w:hint="eastAsia" w:asciiTheme="minorEastAsia" w:hAnsiTheme="minorEastAsia"/>
                <w:color w:val="auto"/>
              </w:rPr>
              <w:t>●未改变</w:t>
            </w:r>
          </w:p>
          <w:p>
            <w:pPr>
              <w:rPr>
                <w:color w:val="auto"/>
              </w:rPr>
            </w:pPr>
          </w:p>
        </w:tc>
        <w:tc>
          <w:tcPr>
            <w:tcW w:w="1106" w:type="dxa"/>
          </w:tcPr>
          <w:p>
            <w:pPr>
              <w:rPr>
                <w:color w:val="auto"/>
              </w:rPr>
            </w:pPr>
            <w:r>
              <w:rPr>
                <w:rFonts w:hint="eastAsia" w:asciiTheme="minorEastAsia" w:hAnsiTheme="minorEastAsia"/>
                <w:color w:val="auto"/>
              </w:rPr>
              <w:t>●未改变</w:t>
            </w: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●立面未改变</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●室内改造升级</w:t>
            </w:r>
          </w:p>
        </w:tc>
        <w:tc>
          <w:tcPr>
            <w:tcW w:w="1121" w:type="dxa"/>
            <w:vAlign w:val="center"/>
          </w:tcPr>
          <w:p>
            <w:pPr>
              <w:jc w:val="cente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rFonts w:hint="eastAsia"/>
                <w:color w:val="auto"/>
              </w:rPr>
              <w:t>日常维护与保养</w:t>
            </w:r>
          </w:p>
          <w:p>
            <w:pPr>
              <w:rPr>
                <w:color w:val="auto"/>
              </w:rPr>
            </w:pPr>
            <w:r>
              <w:rPr>
                <w:rFonts w:hint="eastAsia"/>
                <w:color w:val="auto"/>
              </w:rPr>
              <w:t>●专设展览空间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496" w:type="dxa"/>
          </w:tcPr>
          <w:p>
            <w:pPr>
              <w:rPr>
                <w:color w:val="auto"/>
              </w:rPr>
            </w:pPr>
            <w:r>
              <w:rPr>
                <w:rFonts w:hint="eastAsia"/>
                <w:color w:val="auto"/>
              </w:rPr>
              <w:t>6</w:t>
            </w:r>
          </w:p>
        </w:tc>
        <w:tc>
          <w:tcPr>
            <w:tcW w:w="1696" w:type="dxa"/>
          </w:tcPr>
          <w:p>
            <w:pPr>
              <w:rPr>
                <w:color w:val="auto"/>
              </w:rPr>
            </w:pPr>
            <w:r>
              <w:rPr>
                <w:rFonts w:hint="eastAsia"/>
                <w:color w:val="auto"/>
              </w:rPr>
              <w:t>三洋厂房（南海意库）</w:t>
            </w:r>
          </w:p>
        </w:tc>
        <w:tc>
          <w:tcPr>
            <w:tcW w:w="2074" w:type="dxa"/>
          </w:tcPr>
          <w:p>
            <w:pPr>
              <w:rPr>
                <w:color w:val="auto"/>
              </w:rPr>
            </w:pPr>
            <w:r>
              <w:rPr>
                <w:rFonts w:hint="eastAsia" w:asciiTheme="minorEastAsia" w:hAnsiTheme="minorEastAsia"/>
                <w:color w:val="auto"/>
              </w:rPr>
              <w:t>●大部分建筑在</w:t>
            </w:r>
            <w:r>
              <w:rPr>
                <w:rFonts w:hint="eastAsia"/>
                <w:color w:val="auto"/>
              </w:rPr>
              <w:t>使用</w:t>
            </w:r>
            <w:r>
              <w:rPr>
                <w:color w:val="auto"/>
              </w:rPr>
              <w:t>中</w:t>
            </w:r>
            <w:r>
              <w:rPr>
                <w:rFonts w:hint="eastAsia"/>
                <w:color w:val="auto"/>
              </w:rPr>
              <w:t>，</w:t>
            </w:r>
            <w:r>
              <w:rPr>
                <w:color w:val="auto"/>
              </w:rPr>
              <w:t>部分待使用</w:t>
            </w:r>
          </w:p>
          <w:p>
            <w:pPr>
              <w:rPr>
                <w:color w:val="auto"/>
              </w:rPr>
            </w:pPr>
            <w:r>
              <w:rPr>
                <w:rFonts w:hint="eastAsia" w:asciiTheme="minorEastAsia" w:hAnsiTheme="minorEastAsia"/>
                <w:color w:val="auto"/>
              </w:rPr>
              <w:t>●</w:t>
            </w:r>
            <w:r>
              <w:rPr>
                <w:rFonts w:ascii="宋体" w:hAnsi="宋体" w:cs="Arial"/>
                <w:color w:val="auto"/>
                <w:shd w:val="clear" w:color="auto" w:fill="FFFFFF"/>
              </w:rPr>
              <w:t>整体改造为创意产业园</w:t>
            </w:r>
          </w:p>
        </w:tc>
        <w:tc>
          <w:tcPr>
            <w:tcW w:w="1513" w:type="dxa"/>
          </w:tcPr>
          <w:p>
            <w:pPr>
              <w:rPr>
                <w:rFonts w:asciiTheme="minorEastAsia" w:hAnsiTheme="minorEastAsia"/>
                <w:color w:val="auto"/>
              </w:rPr>
            </w:pPr>
            <w:r>
              <w:rPr>
                <w:rFonts w:hint="eastAsia" w:asciiTheme="minorEastAsia" w:hAnsiTheme="minorEastAsia"/>
                <w:color w:val="auto"/>
              </w:rPr>
              <w:t>●被改造利用的建筑保护管理状况良好</w:t>
            </w:r>
          </w:p>
          <w:p>
            <w:pPr>
              <w:rPr>
                <w:rFonts w:asciiTheme="minorEastAsia" w:hAnsiTheme="minorEastAsia"/>
                <w:color w:val="auto"/>
              </w:rPr>
            </w:pPr>
            <w:r>
              <w:rPr>
                <w:rFonts w:hint="eastAsia" w:asciiTheme="minorEastAsia" w:hAnsiTheme="minorEastAsia"/>
                <w:color w:val="auto"/>
              </w:rPr>
              <w:t>●未被改造利用的建筑保护管理状况一般</w:t>
            </w:r>
          </w:p>
        </w:tc>
        <w:tc>
          <w:tcPr>
            <w:tcW w:w="1219" w:type="dxa"/>
          </w:tcPr>
          <w:p>
            <w:pPr>
              <w:rPr>
                <w:color w:val="auto"/>
              </w:rPr>
            </w:pPr>
            <w:r>
              <w:rPr>
                <w:rFonts w:hint="eastAsia" w:asciiTheme="minorEastAsia" w:hAnsiTheme="minorEastAsia"/>
                <w:color w:val="auto"/>
              </w:rPr>
              <w:t>●局部改变</w:t>
            </w:r>
          </w:p>
          <w:p>
            <w:pPr>
              <w:rPr>
                <w:color w:val="auto"/>
              </w:rPr>
            </w:pPr>
          </w:p>
        </w:tc>
        <w:tc>
          <w:tcPr>
            <w:tcW w:w="1106" w:type="dxa"/>
          </w:tcPr>
          <w:p>
            <w:pPr>
              <w:rPr>
                <w:color w:val="auto"/>
              </w:rPr>
            </w:pPr>
            <w:r>
              <w:rPr>
                <w:rFonts w:hint="eastAsia" w:asciiTheme="minorEastAsia" w:hAnsiTheme="minorEastAsia"/>
                <w:color w:val="auto"/>
              </w:rPr>
              <w:t>●基本未改变</w:t>
            </w:r>
          </w:p>
          <w:p>
            <w:pPr>
              <w:rPr>
                <w:color w:val="auto"/>
              </w:rPr>
            </w:pPr>
          </w:p>
        </w:tc>
        <w:tc>
          <w:tcPr>
            <w:tcW w:w="2190" w:type="dxa"/>
          </w:tcPr>
          <w:p>
            <w:pPr>
              <w:rPr>
                <w:rFonts w:asciiTheme="minorEastAsia" w:hAnsiTheme="minorEastAsia"/>
                <w:color w:val="auto"/>
              </w:rPr>
            </w:pPr>
            <w:r>
              <w:rPr>
                <w:rFonts w:hint="eastAsia" w:asciiTheme="minorEastAsia" w:hAnsiTheme="minorEastAsia"/>
                <w:color w:val="auto"/>
              </w:rPr>
              <w:t>●因改造利用，融入现代意元素，部分建筑立面改变</w:t>
            </w:r>
          </w:p>
          <w:p>
            <w:pPr>
              <w:rPr>
                <w:rFonts w:ascii="宋体" w:hAnsi="宋体" w:eastAsia="宋体" w:cs="Times New Roman"/>
                <w:color w:val="auto"/>
                <w:szCs w:val="21"/>
              </w:rPr>
            </w:pPr>
            <w:r>
              <w:rPr>
                <w:rFonts w:hint="eastAsia" w:asciiTheme="minorEastAsia" w:hAnsiTheme="minorEastAsia"/>
                <w:color w:val="auto"/>
              </w:rPr>
              <w:t>●外立面“三洋”LOGO清晰可见</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●融入现代创意元素改造利用</w:t>
            </w:r>
          </w:p>
        </w:tc>
        <w:tc>
          <w:tcPr>
            <w:tcW w:w="1121"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rFonts w:hint="eastAsia"/>
                <w:color w:val="auto"/>
              </w:rPr>
              <w:t>日常维护与保养</w:t>
            </w:r>
          </w:p>
          <w:p>
            <w:pPr>
              <w:rPr>
                <w:color w:val="auto"/>
              </w:rPr>
            </w:pPr>
            <w:r>
              <w:rPr>
                <w:rFonts w:hint="eastAsia" w:asciiTheme="minorEastAsia" w:hAnsiTheme="minorEastAsia"/>
                <w:color w:val="auto"/>
              </w:rPr>
              <w:t>●</w:t>
            </w:r>
            <w:r>
              <w:rPr>
                <w:color w:val="auto"/>
              </w:rPr>
              <w:t>未</w:t>
            </w:r>
            <w:r>
              <w:rPr>
                <w:rFonts w:hint="eastAsia"/>
                <w:color w:val="auto"/>
              </w:rPr>
              <w:t>利用</w:t>
            </w:r>
            <w:r>
              <w:rPr>
                <w:color w:val="auto"/>
              </w:rPr>
              <w:t>建筑编制保护</w:t>
            </w:r>
            <w:r>
              <w:rPr>
                <w:rFonts w:hint="eastAsia"/>
                <w:color w:val="auto"/>
              </w:rPr>
              <w:t>展示利用方案，措施可同步进行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7</w:t>
            </w:r>
          </w:p>
        </w:tc>
        <w:tc>
          <w:tcPr>
            <w:tcW w:w="1696" w:type="dxa"/>
          </w:tcPr>
          <w:p>
            <w:pPr>
              <w:rPr>
                <w:color w:val="auto"/>
              </w:rPr>
            </w:pPr>
            <w:r>
              <w:rPr>
                <w:rFonts w:hint="eastAsia"/>
                <w:color w:val="auto"/>
              </w:rPr>
              <w:t>深圳大学（汇元楼、汇典楼与汇紫楼）</w:t>
            </w:r>
          </w:p>
        </w:tc>
        <w:tc>
          <w:tcPr>
            <w:tcW w:w="2074" w:type="dxa"/>
          </w:tcPr>
          <w:p>
            <w:pPr>
              <w:rPr>
                <w:color w:val="auto"/>
              </w:rPr>
            </w:pPr>
            <w:r>
              <w:rPr>
                <w:rFonts w:hint="eastAsia" w:asciiTheme="minorEastAsia" w:hAnsiTheme="minorEastAsia"/>
                <w:color w:val="auto"/>
              </w:rPr>
              <w:t>●</w:t>
            </w:r>
            <w:r>
              <w:rPr>
                <w:rFonts w:hint="eastAsia"/>
                <w:color w:val="auto"/>
              </w:rPr>
              <w:t>使用</w:t>
            </w:r>
            <w:r>
              <w:rPr>
                <w:color w:val="auto"/>
              </w:rPr>
              <w:t>中</w:t>
            </w:r>
          </w:p>
        </w:tc>
        <w:tc>
          <w:tcPr>
            <w:tcW w:w="1513" w:type="dxa"/>
          </w:tcPr>
          <w:p>
            <w:pPr>
              <w:rPr>
                <w:rFonts w:asciiTheme="minorEastAsia" w:hAnsiTheme="minorEastAsia"/>
                <w:color w:val="auto"/>
              </w:rPr>
            </w:pPr>
            <w:r>
              <w:rPr>
                <w:rFonts w:hint="eastAsia" w:asciiTheme="minorEastAsia" w:hAnsiTheme="minorEastAsia"/>
                <w:color w:val="auto"/>
              </w:rPr>
              <w:t>●较好</w:t>
            </w:r>
          </w:p>
        </w:tc>
        <w:tc>
          <w:tcPr>
            <w:tcW w:w="1219" w:type="dxa"/>
          </w:tcPr>
          <w:p>
            <w:pPr>
              <w:rPr>
                <w:color w:val="auto"/>
              </w:rPr>
            </w:pPr>
            <w:r>
              <w:rPr>
                <w:rFonts w:hint="eastAsia" w:asciiTheme="minorEastAsia" w:hAnsiTheme="minorEastAsia"/>
                <w:color w:val="auto"/>
              </w:rPr>
              <w:t>●未改变</w:t>
            </w:r>
          </w:p>
          <w:p>
            <w:pPr>
              <w:rPr>
                <w:color w:val="auto"/>
              </w:rPr>
            </w:pPr>
          </w:p>
        </w:tc>
        <w:tc>
          <w:tcPr>
            <w:tcW w:w="1106" w:type="dxa"/>
          </w:tcPr>
          <w:p>
            <w:pPr>
              <w:rPr>
                <w:color w:val="auto"/>
              </w:rPr>
            </w:pPr>
            <w:r>
              <w:rPr>
                <w:rFonts w:hint="eastAsia" w:asciiTheme="minorEastAsia" w:hAnsiTheme="minorEastAsia"/>
                <w:color w:val="auto"/>
              </w:rPr>
              <w:t>●未改变</w:t>
            </w: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●未改变</w:t>
            </w:r>
          </w:p>
        </w:tc>
        <w:tc>
          <w:tcPr>
            <w:tcW w:w="1121" w:type="dxa"/>
            <w:vAlign w:val="center"/>
          </w:tcPr>
          <w:p>
            <w:pPr>
              <w:jc w:val="cente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rFonts w:hint="eastAsia"/>
                <w:color w:val="auto"/>
              </w:rPr>
              <w:t>日常维护与保养</w:t>
            </w:r>
          </w:p>
          <w:p>
            <w:pPr>
              <w:rPr>
                <w:color w:val="auto"/>
              </w:rPr>
            </w:pPr>
            <w:r>
              <w:rPr>
                <w:rFonts w:hint="eastAsia"/>
                <w:color w:val="auto"/>
              </w:rPr>
              <w:t>●专设展览空间</w:t>
            </w:r>
          </w:p>
          <w:p>
            <w:pPr>
              <w:rPr>
                <w:color w:val="auto"/>
              </w:rPr>
            </w:pP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8</w:t>
            </w:r>
          </w:p>
        </w:tc>
        <w:tc>
          <w:tcPr>
            <w:tcW w:w="1696" w:type="dxa"/>
          </w:tcPr>
          <w:p>
            <w:pPr>
              <w:rPr>
                <w:color w:val="auto"/>
              </w:rPr>
            </w:pPr>
            <w:r>
              <w:rPr>
                <w:rFonts w:hint="eastAsia"/>
                <w:color w:val="auto"/>
              </w:rPr>
              <w:t>微波山时间广场</w:t>
            </w:r>
          </w:p>
        </w:tc>
        <w:tc>
          <w:tcPr>
            <w:tcW w:w="2074" w:type="dxa"/>
          </w:tcPr>
          <w:p>
            <w:pPr>
              <w:rPr>
                <w:color w:val="auto"/>
              </w:rPr>
            </w:pPr>
            <w:r>
              <w:rPr>
                <w:rFonts w:hint="eastAsia" w:asciiTheme="minorEastAsia" w:hAnsiTheme="minorEastAsia"/>
                <w:color w:val="auto"/>
              </w:rPr>
              <w:t>●</w:t>
            </w:r>
            <w:r>
              <w:rPr>
                <w:rFonts w:hint="eastAsia" w:ascii="宋体" w:hAnsi="宋体"/>
                <w:color w:val="auto"/>
                <w:szCs w:val="21"/>
              </w:rPr>
              <w:t>微波通讯站废弃后曾做餐厅使用，现闲置，</w:t>
            </w:r>
            <w:r>
              <w:rPr>
                <w:rFonts w:hint="eastAsia" w:asciiTheme="minorEastAsia" w:hAnsiTheme="minorEastAsia"/>
                <w:color w:val="auto"/>
              </w:rPr>
              <w:t>待</w:t>
            </w:r>
            <w:r>
              <w:rPr>
                <w:rFonts w:hint="eastAsia"/>
                <w:color w:val="auto"/>
              </w:rPr>
              <w:t>改造利用</w:t>
            </w:r>
          </w:p>
        </w:tc>
        <w:tc>
          <w:tcPr>
            <w:tcW w:w="1513" w:type="dxa"/>
          </w:tcPr>
          <w:p>
            <w:pPr>
              <w:rPr>
                <w:rFonts w:asciiTheme="minorEastAsia" w:hAnsiTheme="minorEastAsia"/>
                <w:color w:val="auto"/>
              </w:rPr>
            </w:pPr>
            <w:r>
              <w:rPr>
                <w:rFonts w:hint="eastAsia" w:asciiTheme="minorEastAsia" w:hAnsiTheme="minorEastAsia"/>
                <w:color w:val="auto"/>
              </w:rPr>
              <w:t>●一般</w:t>
            </w:r>
          </w:p>
        </w:tc>
        <w:tc>
          <w:tcPr>
            <w:tcW w:w="1219" w:type="dxa"/>
          </w:tcPr>
          <w:p>
            <w:pPr>
              <w:rPr>
                <w:color w:val="auto"/>
              </w:rPr>
            </w:pPr>
            <w:r>
              <w:rPr>
                <w:rFonts w:hint="eastAsia" w:asciiTheme="minorEastAsia" w:hAnsiTheme="minorEastAsia"/>
                <w:color w:val="auto"/>
              </w:rPr>
              <w:t>●基本未改变</w:t>
            </w:r>
          </w:p>
          <w:p>
            <w:pPr>
              <w:rPr>
                <w:color w:val="auto"/>
              </w:rPr>
            </w:pPr>
          </w:p>
        </w:tc>
        <w:tc>
          <w:tcPr>
            <w:tcW w:w="1106" w:type="dxa"/>
          </w:tcPr>
          <w:p>
            <w:pPr>
              <w:rPr>
                <w:color w:val="auto"/>
              </w:rPr>
            </w:pPr>
            <w:r>
              <w:rPr>
                <w:rFonts w:hint="eastAsia" w:asciiTheme="minorEastAsia" w:hAnsiTheme="minorEastAsia"/>
                <w:color w:val="auto"/>
              </w:rPr>
              <w:t>●未改变</w:t>
            </w: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●室内装修改变</w:t>
            </w:r>
          </w:p>
        </w:tc>
        <w:tc>
          <w:tcPr>
            <w:tcW w:w="1121"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color w:val="auto"/>
              </w:rPr>
              <w:t>编制</w:t>
            </w:r>
            <w:r>
              <w:rPr>
                <w:rFonts w:hint="eastAsia" w:ascii="宋体" w:hAnsi="宋体"/>
                <w:color w:val="auto"/>
                <w:szCs w:val="21"/>
              </w:rPr>
              <w:t>微波通讯站</w:t>
            </w:r>
            <w:r>
              <w:rPr>
                <w:color w:val="auto"/>
              </w:rPr>
              <w:t>保护</w:t>
            </w:r>
            <w:r>
              <w:rPr>
                <w:rFonts w:hint="eastAsia"/>
                <w:color w:val="auto"/>
              </w:rPr>
              <w:t>展示利用方案，措施可同步进行</w:t>
            </w:r>
          </w:p>
          <w:p>
            <w:pPr>
              <w:rPr>
                <w:color w:val="auto"/>
              </w:rPr>
            </w:pPr>
            <w:r>
              <w:rPr>
                <w:rFonts w:hint="eastAsia" w:asciiTheme="minorEastAsia" w:hAnsiTheme="minorEastAsia"/>
                <w:color w:val="auto"/>
              </w:rPr>
              <w:t>●</w:t>
            </w:r>
            <w:r>
              <w:rPr>
                <w:rFonts w:hint="eastAsia"/>
                <w:color w:val="auto"/>
              </w:rPr>
              <w:t>日常维护与保养</w:t>
            </w:r>
            <w:r>
              <w:rPr>
                <w:rFonts w:hint="eastAsia" w:ascii="宋体" w:hAnsi="宋体"/>
                <w:color w:val="auto"/>
                <w:szCs w:val="21"/>
              </w:rPr>
              <w:t>圆形坐标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9</w:t>
            </w:r>
          </w:p>
        </w:tc>
        <w:tc>
          <w:tcPr>
            <w:tcW w:w="1696" w:type="dxa"/>
          </w:tcPr>
          <w:p>
            <w:pPr>
              <w:rPr>
                <w:color w:val="auto"/>
              </w:rPr>
            </w:pPr>
            <w:r>
              <w:rPr>
                <w:rFonts w:hint="eastAsia"/>
                <w:color w:val="auto"/>
              </w:rPr>
              <w:t>袁庚像</w:t>
            </w:r>
          </w:p>
        </w:tc>
        <w:tc>
          <w:tcPr>
            <w:tcW w:w="2074" w:type="dxa"/>
          </w:tcPr>
          <w:p>
            <w:pPr>
              <w:rPr>
                <w:color w:val="auto"/>
              </w:rPr>
            </w:pPr>
          </w:p>
        </w:tc>
        <w:tc>
          <w:tcPr>
            <w:tcW w:w="1513" w:type="dxa"/>
          </w:tcPr>
          <w:p>
            <w:pPr>
              <w:rPr>
                <w:rFonts w:asciiTheme="minorEastAsia" w:hAnsiTheme="minorEastAsia"/>
                <w:color w:val="auto"/>
              </w:rPr>
            </w:pPr>
            <w:r>
              <w:rPr>
                <w:rFonts w:hint="eastAsia" w:asciiTheme="minorEastAsia" w:hAnsiTheme="minorEastAsia"/>
                <w:color w:val="auto"/>
              </w:rPr>
              <w:t>●较好</w:t>
            </w:r>
          </w:p>
        </w:tc>
        <w:tc>
          <w:tcPr>
            <w:tcW w:w="1219" w:type="dxa"/>
          </w:tcPr>
          <w:p>
            <w:pPr>
              <w:rPr>
                <w:color w:val="auto"/>
              </w:rPr>
            </w:pPr>
          </w:p>
        </w:tc>
        <w:tc>
          <w:tcPr>
            <w:tcW w:w="1106" w:type="dxa"/>
          </w:tcPr>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p>
            <w:pPr>
              <w:rPr>
                <w:rFonts w:asciiTheme="minorEastAsia" w:hAnsiTheme="minorEastAsia"/>
                <w:color w:val="auto"/>
              </w:rPr>
            </w:pPr>
          </w:p>
        </w:tc>
        <w:tc>
          <w:tcPr>
            <w:tcW w:w="2241" w:type="dxa"/>
          </w:tcPr>
          <w:p>
            <w:pPr>
              <w:rPr>
                <w:rFonts w:asciiTheme="minorEastAsia" w:hAnsiTheme="minorEastAsia"/>
                <w:color w:val="auto"/>
              </w:rPr>
            </w:pPr>
          </w:p>
        </w:tc>
        <w:tc>
          <w:tcPr>
            <w:tcW w:w="1121" w:type="dxa"/>
            <w:vAlign w:val="center"/>
          </w:tcPr>
          <w:p>
            <w:pPr>
              <w:jc w:val="center"/>
              <w:rPr>
                <w:color w:val="auto"/>
              </w:rPr>
            </w:pPr>
          </w:p>
        </w:tc>
        <w:tc>
          <w:tcPr>
            <w:tcW w:w="704" w:type="dxa"/>
            <w:vAlign w:val="center"/>
          </w:tcPr>
          <w:p>
            <w:pPr>
              <w:jc w:val="center"/>
              <w:rPr>
                <w:color w:val="auto"/>
              </w:rPr>
            </w:pPr>
          </w:p>
        </w:tc>
        <w:tc>
          <w:tcPr>
            <w:tcW w:w="1542" w:type="dxa"/>
            <w:vAlign w:val="center"/>
          </w:tcPr>
          <w:p>
            <w:pPr>
              <w:jc w:val="center"/>
              <w:rPr>
                <w:color w:val="auto"/>
              </w:rPr>
            </w:pP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自然破坏</w:t>
            </w:r>
          </w:p>
        </w:tc>
        <w:tc>
          <w:tcPr>
            <w:tcW w:w="2826" w:type="dxa"/>
          </w:tcPr>
          <w:p>
            <w:pPr>
              <w:rPr>
                <w:color w:val="auto"/>
              </w:rPr>
            </w:pPr>
            <w:r>
              <w:rPr>
                <w:rFonts w:hint="eastAsia" w:asciiTheme="minorEastAsia" w:hAnsiTheme="minorEastAsia"/>
                <w:color w:val="auto"/>
              </w:rPr>
              <w:t>●</w:t>
            </w:r>
            <w:r>
              <w:rPr>
                <w:rFonts w:hint="eastAsia"/>
                <w:color w:val="auto"/>
              </w:rPr>
              <w:t>日常维护与保养</w:t>
            </w: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10</w:t>
            </w:r>
          </w:p>
        </w:tc>
        <w:tc>
          <w:tcPr>
            <w:tcW w:w="1696" w:type="dxa"/>
          </w:tcPr>
          <w:p>
            <w:pPr>
              <w:rPr>
                <w:color w:val="auto"/>
              </w:rPr>
            </w:pPr>
            <w:r>
              <w:rPr>
                <w:rFonts w:hint="eastAsia"/>
                <w:color w:val="auto"/>
              </w:rPr>
              <w:t>锦绣中华民俗村（华侨城）</w:t>
            </w:r>
          </w:p>
        </w:tc>
        <w:tc>
          <w:tcPr>
            <w:tcW w:w="2074" w:type="dxa"/>
          </w:tcPr>
          <w:p>
            <w:pPr>
              <w:rPr>
                <w:color w:val="auto"/>
              </w:rPr>
            </w:pPr>
            <w:r>
              <w:rPr>
                <w:rFonts w:hint="eastAsia" w:asciiTheme="minorEastAsia" w:hAnsiTheme="minorEastAsia"/>
                <w:color w:val="auto"/>
              </w:rPr>
              <w:t>●</w:t>
            </w:r>
            <w:r>
              <w:rPr>
                <w:rFonts w:hint="eastAsia" w:ascii="宋体" w:hAnsi="宋体"/>
                <w:color w:val="auto"/>
                <w:szCs w:val="21"/>
              </w:rPr>
              <w:t>营业中</w:t>
            </w:r>
          </w:p>
        </w:tc>
        <w:tc>
          <w:tcPr>
            <w:tcW w:w="1513" w:type="dxa"/>
          </w:tcPr>
          <w:p>
            <w:pPr>
              <w:rPr>
                <w:rFonts w:asciiTheme="minorEastAsia" w:hAnsiTheme="minorEastAsia"/>
                <w:color w:val="auto"/>
              </w:rPr>
            </w:pPr>
            <w:r>
              <w:rPr>
                <w:rFonts w:hint="eastAsia" w:asciiTheme="minorEastAsia" w:hAnsiTheme="minorEastAsia"/>
                <w:color w:val="auto"/>
              </w:rPr>
              <w:t>●较好</w:t>
            </w:r>
          </w:p>
        </w:tc>
        <w:tc>
          <w:tcPr>
            <w:tcW w:w="1219" w:type="dxa"/>
          </w:tcPr>
          <w:p>
            <w:pPr>
              <w:rPr>
                <w:color w:val="auto"/>
              </w:rPr>
            </w:pPr>
            <w:r>
              <w:rPr>
                <w:rFonts w:hint="eastAsia" w:asciiTheme="minorEastAsia" w:hAnsiTheme="minorEastAsia"/>
                <w:color w:val="auto"/>
              </w:rPr>
              <w:t>●未改变</w:t>
            </w:r>
          </w:p>
          <w:p>
            <w:pPr>
              <w:rPr>
                <w:color w:val="auto"/>
              </w:rPr>
            </w:pPr>
          </w:p>
        </w:tc>
        <w:tc>
          <w:tcPr>
            <w:tcW w:w="1106" w:type="dxa"/>
          </w:tcPr>
          <w:p>
            <w:pPr>
              <w:rPr>
                <w:color w:val="auto"/>
              </w:rPr>
            </w:pPr>
            <w:r>
              <w:rPr>
                <w:rFonts w:hint="eastAsia" w:asciiTheme="minorEastAsia" w:hAnsiTheme="minorEastAsia"/>
                <w:color w:val="auto"/>
              </w:rPr>
              <w:t>●未改变</w:t>
            </w: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●未改变</w:t>
            </w:r>
          </w:p>
        </w:tc>
        <w:tc>
          <w:tcPr>
            <w:tcW w:w="1121" w:type="dxa"/>
            <w:vAlign w:val="center"/>
          </w:tcPr>
          <w:p>
            <w:pPr>
              <w:jc w:val="cente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rFonts w:hint="eastAsia"/>
                <w:color w:val="auto"/>
              </w:rPr>
              <w:t>日常维护与保养</w:t>
            </w: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11</w:t>
            </w:r>
          </w:p>
        </w:tc>
        <w:tc>
          <w:tcPr>
            <w:tcW w:w="1696" w:type="dxa"/>
          </w:tcPr>
          <w:p>
            <w:pPr>
              <w:rPr>
                <w:color w:val="auto"/>
              </w:rPr>
            </w:pPr>
            <w:r>
              <w:rPr>
                <w:rFonts w:hint="eastAsia"/>
                <w:color w:val="auto"/>
              </w:rPr>
              <w:t>前海石公园</w:t>
            </w:r>
          </w:p>
        </w:tc>
        <w:tc>
          <w:tcPr>
            <w:tcW w:w="2074" w:type="dxa"/>
          </w:tcPr>
          <w:p>
            <w:pPr>
              <w:rPr>
                <w:color w:val="auto"/>
              </w:rPr>
            </w:pPr>
          </w:p>
        </w:tc>
        <w:tc>
          <w:tcPr>
            <w:tcW w:w="1513" w:type="dxa"/>
          </w:tcPr>
          <w:p>
            <w:pPr>
              <w:rPr>
                <w:rFonts w:asciiTheme="minorEastAsia" w:hAnsiTheme="minorEastAsia"/>
                <w:color w:val="auto"/>
              </w:rPr>
            </w:pPr>
            <w:r>
              <w:rPr>
                <w:rFonts w:hint="eastAsia" w:asciiTheme="minorEastAsia" w:hAnsiTheme="minorEastAsia"/>
                <w:color w:val="auto"/>
              </w:rPr>
              <w:t>●较好</w:t>
            </w:r>
          </w:p>
        </w:tc>
        <w:tc>
          <w:tcPr>
            <w:tcW w:w="1219" w:type="dxa"/>
          </w:tcPr>
          <w:p>
            <w:pPr>
              <w:rPr>
                <w:color w:val="auto"/>
              </w:rPr>
            </w:pPr>
          </w:p>
        </w:tc>
        <w:tc>
          <w:tcPr>
            <w:tcW w:w="1106" w:type="dxa"/>
          </w:tcPr>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tc>
        <w:tc>
          <w:tcPr>
            <w:tcW w:w="2241" w:type="dxa"/>
          </w:tcPr>
          <w:p>
            <w:pPr>
              <w:rPr>
                <w:color w:val="auto"/>
              </w:rPr>
            </w:pPr>
          </w:p>
        </w:tc>
        <w:tc>
          <w:tcPr>
            <w:tcW w:w="1121" w:type="dxa"/>
          </w:tcPr>
          <w:p>
            <w:pPr>
              <w:rPr>
                <w:color w:val="auto"/>
              </w:rPr>
            </w:pPr>
          </w:p>
        </w:tc>
        <w:tc>
          <w:tcPr>
            <w:tcW w:w="704" w:type="dxa"/>
          </w:tcPr>
          <w:p>
            <w:pPr>
              <w:rPr>
                <w:color w:val="auto"/>
              </w:rPr>
            </w:pPr>
          </w:p>
        </w:tc>
        <w:tc>
          <w:tcPr>
            <w:tcW w:w="1542" w:type="dxa"/>
          </w:tcPr>
          <w:p>
            <w:pPr>
              <w:rPr>
                <w:color w:val="auto"/>
              </w:rPr>
            </w:pPr>
          </w:p>
        </w:tc>
        <w:tc>
          <w:tcPr>
            <w:tcW w:w="704" w:type="dxa"/>
          </w:tcPr>
          <w:p>
            <w:pPr>
              <w:rPr>
                <w:color w:val="auto"/>
              </w:rPr>
            </w:pPr>
          </w:p>
        </w:tc>
        <w:tc>
          <w:tcPr>
            <w:tcW w:w="1542" w:type="dxa"/>
          </w:tcPr>
          <w:p>
            <w:pPr>
              <w:rPr>
                <w:color w:val="auto"/>
              </w:rPr>
            </w:pPr>
            <w:r>
              <w:rPr>
                <w:rFonts w:hint="eastAsia" w:asciiTheme="minorEastAsia" w:hAnsiTheme="minorEastAsia"/>
                <w:color w:val="auto"/>
              </w:rPr>
              <w:t>●</w:t>
            </w:r>
            <w:r>
              <w:rPr>
                <w:rFonts w:hint="eastAsia"/>
                <w:color w:val="auto"/>
              </w:rPr>
              <w:t>自然破坏</w:t>
            </w:r>
          </w:p>
        </w:tc>
        <w:tc>
          <w:tcPr>
            <w:tcW w:w="2826" w:type="dxa"/>
          </w:tcPr>
          <w:p>
            <w:pPr>
              <w:rPr>
                <w:color w:val="auto"/>
              </w:rPr>
            </w:pPr>
            <w:r>
              <w:rPr>
                <w:rFonts w:hint="eastAsia" w:asciiTheme="minorEastAsia" w:hAnsiTheme="minorEastAsia"/>
                <w:color w:val="auto"/>
              </w:rPr>
              <w:t>●</w:t>
            </w:r>
            <w:r>
              <w:rPr>
                <w:rFonts w:hint="eastAsia"/>
                <w:color w:val="auto"/>
              </w:rPr>
              <w:t>日常维护与保养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12</w:t>
            </w:r>
          </w:p>
        </w:tc>
        <w:tc>
          <w:tcPr>
            <w:tcW w:w="1696" w:type="dxa"/>
          </w:tcPr>
          <w:p>
            <w:pPr>
              <w:rPr>
                <w:color w:val="auto"/>
              </w:rPr>
            </w:pPr>
            <w:r>
              <w:rPr>
                <w:rFonts w:hint="eastAsia"/>
                <w:color w:val="auto"/>
              </w:rPr>
              <w:t>深圳市南头中学（校史馆）</w:t>
            </w:r>
          </w:p>
        </w:tc>
        <w:tc>
          <w:tcPr>
            <w:tcW w:w="2074" w:type="dxa"/>
          </w:tcPr>
          <w:p>
            <w:pPr>
              <w:rPr>
                <w:color w:val="auto"/>
              </w:rPr>
            </w:pPr>
            <w:r>
              <w:rPr>
                <w:rFonts w:hint="eastAsia" w:asciiTheme="minorEastAsia" w:hAnsiTheme="minorEastAsia"/>
                <w:color w:val="auto"/>
              </w:rPr>
              <w:t>●</w:t>
            </w:r>
            <w:r>
              <w:rPr>
                <w:rFonts w:hint="eastAsia"/>
                <w:color w:val="auto"/>
              </w:rPr>
              <w:t>使用</w:t>
            </w:r>
            <w:r>
              <w:rPr>
                <w:color w:val="auto"/>
              </w:rPr>
              <w:t>中</w:t>
            </w:r>
          </w:p>
        </w:tc>
        <w:tc>
          <w:tcPr>
            <w:tcW w:w="1513" w:type="dxa"/>
          </w:tcPr>
          <w:p>
            <w:pPr>
              <w:rPr>
                <w:rFonts w:asciiTheme="minorEastAsia" w:hAnsiTheme="minorEastAsia"/>
                <w:color w:val="auto"/>
              </w:rPr>
            </w:pPr>
            <w:r>
              <w:rPr>
                <w:rFonts w:hint="eastAsia" w:asciiTheme="minorEastAsia" w:hAnsiTheme="minorEastAsia"/>
                <w:color w:val="auto"/>
              </w:rPr>
              <w:t>●较好</w:t>
            </w:r>
          </w:p>
        </w:tc>
        <w:tc>
          <w:tcPr>
            <w:tcW w:w="1219" w:type="dxa"/>
          </w:tcPr>
          <w:p>
            <w:pPr>
              <w:rPr>
                <w:color w:val="auto"/>
              </w:rPr>
            </w:pPr>
            <w:r>
              <w:rPr>
                <w:rFonts w:hint="eastAsia" w:asciiTheme="minorEastAsia" w:hAnsiTheme="minorEastAsia"/>
                <w:color w:val="auto"/>
              </w:rPr>
              <w:t>●未改变</w:t>
            </w:r>
          </w:p>
          <w:p>
            <w:pPr>
              <w:rPr>
                <w:color w:val="auto"/>
              </w:rPr>
            </w:pPr>
          </w:p>
        </w:tc>
        <w:tc>
          <w:tcPr>
            <w:tcW w:w="1106" w:type="dxa"/>
          </w:tcPr>
          <w:p>
            <w:pPr>
              <w:rPr>
                <w:color w:val="auto"/>
              </w:rPr>
            </w:pPr>
            <w:r>
              <w:rPr>
                <w:rFonts w:hint="eastAsia" w:asciiTheme="minorEastAsia" w:hAnsiTheme="minorEastAsia"/>
                <w:color w:val="auto"/>
              </w:rPr>
              <w:t>●未改变</w:t>
            </w: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●未改变</w:t>
            </w:r>
          </w:p>
        </w:tc>
        <w:tc>
          <w:tcPr>
            <w:tcW w:w="1121" w:type="dxa"/>
            <w:vAlign w:val="center"/>
          </w:tcPr>
          <w:p>
            <w:pPr>
              <w:jc w:val="cente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rFonts w:hint="eastAsia"/>
                <w:color w:val="auto"/>
              </w:rPr>
              <w:t>日常维护与保养</w:t>
            </w:r>
          </w:p>
          <w:p>
            <w:pPr>
              <w:rPr>
                <w:color w:val="auto"/>
              </w:rPr>
            </w:pPr>
            <w:r>
              <w:rPr>
                <w:rFonts w:hint="eastAsia"/>
                <w:color w:val="auto"/>
              </w:rPr>
              <w:t>●专设展览空间</w:t>
            </w: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13</w:t>
            </w:r>
          </w:p>
        </w:tc>
        <w:tc>
          <w:tcPr>
            <w:tcW w:w="1696" w:type="dxa"/>
          </w:tcPr>
          <w:p>
            <w:pPr>
              <w:rPr>
                <w:color w:val="auto"/>
              </w:rPr>
            </w:pPr>
            <w:r>
              <w:rPr>
                <w:rFonts w:hint="eastAsia"/>
                <w:color w:val="auto"/>
              </w:rPr>
              <w:t>二线关同乐检查站</w:t>
            </w:r>
          </w:p>
        </w:tc>
        <w:tc>
          <w:tcPr>
            <w:tcW w:w="2074" w:type="dxa"/>
          </w:tcPr>
          <w:p>
            <w:pPr>
              <w:rPr>
                <w:color w:val="auto"/>
              </w:rPr>
            </w:pPr>
            <w:r>
              <w:rPr>
                <w:rFonts w:hint="eastAsia" w:asciiTheme="minorEastAsia" w:hAnsiTheme="minorEastAsia"/>
                <w:color w:val="auto"/>
              </w:rPr>
              <w:t>●</w:t>
            </w:r>
            <w:r>
              <w:rPr>
                <w:rFonts w:hint="eastAsia"/>
                <w:color w:val="auto"/>
              </w:rPr>
              <w:t>闲置</w:t>
            </w:r>
          </w:p>
        </w:tc>
        <w:tc>
          <w:tcPr>
            <w:tcW w:w="1513" w:type="dxa"/>
          </w:tcPr>
          <w:p>
            <w:pPr>
              <w:rPr>
                <w:rFonts w:asciiTheme="minorEastAsia" w:hAnsiTheme="minorEastAsia"/>
                <w:color w:val="auto"/>
              </w:rPr>
            </w:pPr>
            <w:r>
              <w:rPr>
                <w:rFonts w:hint="eastAsia" w:asciiTheme="minorEastAsia" w:hAnsiTheme="minorEastAsia"/>
                <w:color w:val="auto"/>
              </w:rPr>
              <w:t>●一般</w:t>
            </w:r>
          </w:p>
        </w:tc>
        <w:tc>
          <w:tcPr>
            <w:tcW w:w="1219" w:type="dxa"/>
          </w:tcPr>
          <w:p>
            <w:pPr>
              <w:rPr>
                <w:color w:val="auto"/>
              </w:rPr>
            </w:pPr>
            <w:r>
              <w:rPr>
                <w:rFonts w:hint="eastAsia" w:asciiTheme="minorEastAsia" w:hAnsiTheme="minorEastAsia"/>
                <w:color w:val="auto"/>
              </w:rPr>
              <w:t>●未改变</w:t>
            </w:r>
          </w:p>
          <w:p>
            <w:pPr>
              <w:rPr>
                <w:color w:val="auto"/>
              </w:rPr>
            </w:pPr>
          </w:p>
        </w:tc>
        <w:tc>
          <w:tcPr>
            <w:tcW w:w="1106" w:type="dxa"/>
          </w:tcPr>
          <w:p>
            <w:pPr>
              <w:rPr>
                <w:color w:val="auto"/>
              </w:rPr>
            </w:pPr>
            <w:r>
              <w:rPr>
                <w:rFonts w:hint="eastAsia" w:asciiTheme="minorEastAsia" w:hAnsiTheme="minorEastAsia"/>
                <w:color w:val="auto"/>
              </w:rPr>
              <w:t>●未改变</w:t>
            </w: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●2016年曾改造利用</w:t>
            </w:r>
          </w:p>
        </w:tc>
        <w:tc>
          <w:tcPr>
            <w:tcW w:w="1121" w:type="dxa"/>
            <w:vAlign w:val="center"/>
          </w:tcPr>
          <w:p>
            <w:pPr>
              <w:jc w:val="cente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r>
              <w:rPr>
                <w:rFonts w:hint="eastAsia" w:asciiTheme="minorEastAsia" w:hAnsiTheme="minorEastAsia"/>
                <w:color w:val="auto"/>
              </w:rPr>
              <w:t>√</w:t>
            </w:r>
          </w:p>
        </w:tc>
        <w:tc>
          <w:tcPr>
            <w:tcW w:w="1542" w:type="dxa"/>
          </w:tcPr>
          <w:p>
            <w:pPr>
              <w:rPr>
                <w:color w:val="auto"/>
              </w:rPr>
            </w:pPr>
            <w:r>
              <w:rPr>
                <w:rFonts w:hint="eastAsia" w:asciiTheme="minorEastAsia" w:hAnsiTheme="minorEastAsia"/>
                <w:color w:val="auto"/>
              </w:rPr>
              <w:t>●</w:t>
            </w:r>
            <w:r>
              <w:rPr>
                <w:rFonts w:hint="eastAsia"/>
                <w:color w:val="auto"/>
              </w:rPr>
              <w:t>存在被拆除风险</w:t>
            </w:r>
          </w:p>
        </w:tc>
        <w:tc>
          <w:tcPr>
            <w:tcW w:w="2826" w:type="dxa"/>
          </w:tcPr>
          <w:p>
            <w:pPr>
              <w:rPr>
                <w:color w:val="auto"/>
              </w:rPr>
            </w:pPr>
            <w:r>
              <w:rPr>
                <w:rFonts w:hint="eastAsia" w:asciiTheme="minorEastAsia" w:hAnsiTheme="minorEastAsia"/>
                <w:color w:val="auto"/>
              </w:rPr>
              <w:t>●</w:t>
            </w:r>
            <w:r>
              <w:rPr>
                <w:rFonts w:hint="eastAsia"/>
                <w:color w:val="auto"/>
              </w:rPr>
              <w:t>可做博物馆使用</w:t>
            </w:r>
          </w:p>
          <w:p>
            <w:pPr>
              <w:rPr>
                <w:color w:val="auto"/>
              </w:rPr>
            </w:pPr>
            <w:r>
              <w:rPr>
                <w:rFonts w:hint="eastAsia" w:asciiTheme="minorEastAsia" w:hAnsiTheme="minorEastAsia"/>
                <w:color w:val="auto"/>
              </w:rPr>
              <w:t>●</w:t>
            </w:r>
            <w:r>
              <w:rPr>
                <w:color w:val="auto"/>
              </w:rPr>
              <w:t>编制保护</w:t>
            </w:r>
            <w:r>
              <w:rPr>
                <w:rFonts w:hint="eastAsia"/>
                <w:color w:val="auto"/>
              </w:rPr>
              <w:t>展示利用及周边环境整治方案，措施可同步进行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14</w:t>
            </w:r>
          </w:p>
        </w:tc>
        <w:tc>
          <w:tcPr>
            <w:tcW w:w="1696" w:type="dxa"/>
          </w:tcPr>
          <w:p>
            <w:pPr>
              <w:rPr>
                <w:color w:val="auto"/>
              </w:rPr>
            </w:pPr>
            <w:r>
              <w:rPr>
                <w:rFonts w:hint="eastAsia"/>
                <w:color w:val="auto"/>
              </w:rPr>
              <w:t>深圳大学城</w:t>
            </w:r>
          </w:p>
        </w:tc>
        <w:tc>
          <w:tcPr>
            <w:tcW w:w="2074" w:type="dxa"/>
          </w:tcPr>
          <w:p>
            <w:pPr>
              <w:rPr>
                <w:color w:val="auto"/>
              </w:rPr>
            </w:pPr>
            <w:r>
              <w:rPr>
                <w:rFonts w:hint="eastAsia" w:asciiTheme="minorEastAsia" w:hAnsiTheme="minorEastAsia"/>
                <w:color w:val="auto"/>
              </w:rPr>
              <w:t>●</w:t>
            </w:r>
            <w:r>
              <w:rPr>
                <w:rFonts w:hint="eastAsia"/>
                <w:color w:val="auto"/>
              </w:rPr>
              <w:t>使用</w:t>
            </w:r>
            <w:r>
              <w:rPr>
                <w:color w:val="auto"/>
              </w:rPr>
              <w:t>中</w:t>
            </w:r>
          </w:p>
        </w:tc>
        <w:tc>
          <w:tcPr>
            <w:tcW w:w="1513" w:type="dxa"/>
          </w:tcPr>
          <w:p>
            <w:pPr>
              <w:rPr>
                <w:rFonts w:asciiTheme="minorEastAsia" w:hAnsiTheme="minorEastAsia"/>
                <w:color w:val="auto"/>
              </w:rPr>
            </w:pPr>
            <w:r>
              <w:rPr>
                <w:rFonts w:hint="eastAsia" w:asciiTheme="minorEastAsia" w:hAnsiTheme="minorEastAsia"/>
                <w:color w:val="auto"/>
              </w:rPr>
              <w:t>●较好</w:t>
            </w:r>
          </w:p>
        </w:tc>
        <w:tc>
          <w:tcPr>
            <w:tcW w:w="1219" w:type="dxa"/>
          </w:tcPr>
          <w:p>
            <w:pPr>
              <w:rPr>
                <w:color w:val="auto"/>
              </w:rPr>
            </w:pPr>
            <w:r>
              <w:rPr>
                <w:rFonts w:hint="eastAsia" w:asciiTheme="minorEastAsia" w:hAnsiTheme="minorEastAsia"/>
                <w:color w:val="auto"/>
              </w:rPr>
              <w:t>●未改变</w:t>
            </w:r>
          </w:p>
          <w:p>
            <w:pPr>
              <w:rPr>
                <w:color w:val="auto"/>
              </w:rPr>
            </w:pPr>
          </w:p>
        </w:tc>
        <w:tc>
          <w:tcPr>
            <w:tcW w:w="1106" w:type="dxa"/>
          </w:tcPr>
          <w:p>
            <w:pPr>
              <w:rPr>
                <w:color w:val="auto"/>
              </w:rPr>
            </w:pPr>
            <w:r>
              <w:rPr>
                <w:rFonts w:hint="eastAsia" w:asciiTheme="minorEastAsia" w:hAnsiTheme="minorEastAsia"/>
                <w:color w:val="auto"/>
              </w:rPr>
              <w:t>●未改变</w:t>
            </w: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●未改变</w:t>
            </w:r>
          </w:p>
        </w:tc>
        <w:tc>
          <w:tcPr>
            <w:tcW w:w="1121" w:type="dxa"/>
            <w:vAlign w:val="center"/>
          </w:tcPr>
          <w:p>
            <w:pPr>
              <w:jc w:val="cente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rFonts w:hint="eastAsia"/>
                <w:color w:val="auto"/>
              </w:rPr>
              <w:t>日常维护与保养</w:t>
            </w:r>
          </w:p>
          <w:p>
            <w:pPr>
              <w:rPr>
                <w:color w:val="auto"/>
              </w:rPr>
            </w:pPr>
            <w:r>
              <w:rPr>
                <w:rFonts w:hint="eastAsia"/>
                <w:color w:val="auto"/>
              </w:rPr>
              <w:t>●专设展览空间</w:t>
            </w: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15</w:t>
            </w:r>
          </w:p>
        </w:tc>
        <w:tc>
          <w:tcPr>
            <w:tcW w:w="1696" w:type="dxa"/>
          </w:tcPr>
          <w:p>
            <w:pPr>
              <w:rPr>
                <w:color w:val="auto"/>
              </w:rPr>
            </w:pPr>
            <w:r>
              <w:rPr>
                <w:rFonts w:hint="eastAsia"/>
                <w:color w:val="auto"/>
              </w:rPr>
              <w:t>地王大厦</w:t>
            </w:r>
          </w:p>
        </w:tc>
        <w:tc>
          <w:tcPr>
            <w:tcW w:w="2074" w:type="dxa"/>
          </w:tcPr>
          <w:p>
            <w:pPr>
              <w:rPr>
                <w:color w:val="auto"/>
              </w:rPr>
            </w:pPr>
            <w:r>
              <w:rPr>
                <w:rFonts w:hint="eastAsia" w:asciiTheme="minorEastAsia" w:hAnsiTheme="minorEastAsia"/>
                <w:color w:val="auto"/>
              </w:rPr>
              <w:t>●</w:t>
            </w:r>
            <w:r>
              <w:rPr>
                <w:rFonts w:hint="eastAsia"/>
                <w:color w:val="auto"/>
              </w:rPr>
              <w:t>使用</w:t>
            </w:r>
            <w:r>
              <w:rPr>
                <w:color w:val="auto"/>
              </w:rPr>
              <w:t>中</w:t>
            </w:r>
          </w:p>
        </w:tc>
        <w:tc>
          <w:tcPr>
            <w:tcW w:w="1513" w:type="dxa"/>
          </w:tcPr>
          <w:p>
            <w:pPr>
              <w:rPr>
                <w:rFonts w:asciiTheme="minorEastAsia" w:hAnsiTheme="minorEastAsia"/>
                <w:color w:val="auto"/>
              </w:rPr>
            </w:pPr>
            <w:r>
              <w:rPr>
                <w:rFonts w:hint="eastAsia" w:asciiTheme="minorEastAsia" w:hAnsiTheme="minorEastAsia"/>
                <w:color w:val="auto"/>
              </w:rPr>
              <w:t>●较好</w:t>
            </w:r>
          </w:p>
        </w:tc>
        <w:tc>
          <w:tcPr>
            <w:tcW w:w="1219" w:type="dxa"/>
          </w:tcPr>
          <w:p>
            <w:pPr>
              <w:rPr>
                <w:color w:val="auto"/>
              </w:rPr>
            </w:pPr>
            <w:r>
              <w:rPr>
                <w:rFonts w:hint="eastAsia" w:asciiTheme="minorEastAsia" w:hAnsiTheme="minorEastAsia"/>
                <w:color w:val="auto"/>
              </w:rPr>
              <w:t>●未改变</w:t>
            </w:r>
          </w:p>
          <w:p>
            <w:pPr>
              <w:rPr>
                <w:color w:val="auto"/>
              </w:rPr>
            </w:pPr>
          </w:p>
        </w:tc>
        <w:tc>
          <w:tcPr>
            <w:tcW w:w="1106" w:type="dxa"/>
          </w:tcPr>
          <w:p>
            <w:pPr>
              <w:rPr>
                <w:color w:val="auto"/>
              </w:rPr>
            </w:pPr>
            <w:r>
              <w:rPr>
                <w:rFonts w:hint="eastAsia" w:asciiTheme="minorEastAsia" w:hAnsiTheme="minorEastAsia"/>
                <w:color w:val="auto"/>
              </w:rPr>
              <w:t>●未改变</w:t>
            </w: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●基本未改变</w:t>
            </w:r>
          </w:p>
        </w:tc>
        <w:tc>
          <w:tcPr>
            <w:tcW w:w="1121" w:type="dxa"/>
            <w:vAlign w:val="center"/>
          </w:tcPr>
          <w:p>
            <w:pPr>
              <w:jc w:val="cente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rFonts w:hint="eastAsia"/>
                <w:color w:val="auto"/>
              </w:rPr>
              <w:t>日常维护与保养</w:t>
            </w:r>
          </w:p>
          <w:p>
            <w:pPr>
              <w:rPr>
                <w:color w:val="auto"/>
              </w:rPr>
            </w:pPr>
            <w:r>
              <w:rPr>
                <w:rFonts w:hint="eastAsia"/>
                <w:color w:val="auto"/>
              </w:rPr>
              <w:t>●专设展览空间</w:t>
            </w: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16</w:t>
            </w:r>
          </w:p>
        </w:tc>
        <w:tc>
          <w:tcPr>
            <w:tcW w:w="1696" w:type="dxa"/>
          </w:tcPr>
          <w:p>
            <w:pPr>
              <w:rPr>
                <w:color w:val="auto"/>
              </w:rPr>
            </w:pPr>
            <w:r>
              <w:rPr>
                <w:rFonts w:hint="eastAsia"/>
                <w:color w:val="auto"/>
              </w:rPr>
              <w:t>深圳迎宾馆（桂园、兰园别墅）</w:t>
            </w:r>
          </w:p>
        </w:tc>
        <w:tc>
          <w:tcPr>
            <w:tcW w:w="2074" w:type="dxa"/>
          </w:tcPr>
          <w:p>
            <w:pPr>
              <w:rPr>
                <w:color w:val="auto"/>
              </w:rPr>
            </w:pPr>
            <w:r>
              <w:rPr>
                <w:rFonts w:hint="eastAsia" w:asciiTheme="minorEastAsia" w:hAnsiTheme="minorEastAsia"/>
                <w:color w:val="auto"/>
              </w:rPr>
              <w:t>●</w:t>
            </w:r>
            <w:r>
              <w:rPr>
                <w:rFonts w:hint="eastAsia"/>
                <w:color w:val="auto"/>
              </w:rPr>
              <w:t>使用</w:t>
            </w:r>
            <w:r>
              <w:rPr>
                <w:color w:val="auto"/>
              </w:rPr>
              <w:t>中</w:t>
            </w:r>
          </w:p>
        </w:tc>
        <w:tc>
          <w:tcPr>
            <w:tcW w:w="1513" w:type="dxa"/>
          </w:tcPr>
          <w:p>
            <w:pPr>
              <w:rPr>
                <w:rFonts w:asciiTheme="minorEastAsia" w:hAnsiTheme="minorEastAsia"/>
                <w:color w:val="auto"/>
              </w:rPr>
            </w:pPr>
            <w:r>
              <w:rPr>
                <w:rFonts w:hint="eastAsia" w:asciiTheme="minorEastAsia" w:hAnsiTheme="minorEastAsia"/>
                <w:color w:val="auto"/>
              </w:rPr>
              <w:t>●较好</w:t>
            </w:r>
          </w:p>
        </w:tc>
        <w:tc>
          <w:tcPr>
            <w:tcW w:w="1219" w:type="dxa"/>
          </w:tcPr>
          <w:p>
            <w:pPr>
              <w:rPr>
                <w:color w:val="auto"/>
              </w:rPr>
            </w:pPr>
            <w:r>
              <w:rPr>
                <w:rFonts w:hint="eastAsia" w:asciiTheme="minorEastAsia" w:hAnsiTheme="minorEastAsia"/>
                <w:color w:val="auto"/>
              </w:rPr>
              <w:t>●未改变</w:t>
            </w:r>
          </w:p>
          <w:p>
            <w:pPr>
              <w:rPr>
                <w:color w:val="auto"/>
              </w:rPr>
            </w:pPr>
          </w:p>
        </w:tc>
        <w:tc>
          <w:tcPr>
            <w:tcW w:w="1106" w:type="dxa"/>
          </w:tcPr>
          <w:p>
            <w:pPr>
              <w:rPr>
                <w:color w:val="auto"/>
              </w:rPr>
            </w:pPr>
            <w:r>
              <w:rPr>
                <w:rFonts w:hint="eastAsia" w:asciiTheme="minorEastAsia" w:hAnsiTheme="minorEastAsia"/>
                <w:color w:val="auto"/>
              </w:rPr>
              <w:t>●未改变</w:t>
            </w: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●内饰曾翻修</w:t>
            </w:r>
          </w:p>
        </w:tc>
        <w:tc>
          <w:tcPr>
            <w:tcW w:w="1121" w:type="dxa"/>
            <w:vAlign w:val="center"/>
          </w:tcPr>
          <w:p>
            <w:pPr>
              <w:jc w:val="cente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rFonts w:hint="eastAsia"/>
                <w:color w:val="auto"/>
              </w:rPr>
              <w:t>日常维护与保养</w:t>
            </w:r>
          </w:p>
          <w:p>
            <w:pPr>
              <w:rPr>
                <w:color w:val="auto"/>
              </w:rPr>
            </w:pPr>
            <w:r>
              <w:rPr>
                <w:rFonts w:hint="eastAsia"/>
                <w:color w:val="auto"/>
              </w:rPr>
              <w:t>●专设展览空间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17</w:t>
            </w:r>
          </w:p>
        </w:tc>
        <w:tc>
          <w:tcPr>
            <w:tcW w:w="1696" w:type="dxa"/>
          </w:tcPr>
          <w:p>
            <w:pPr>
              <w:rPr>
                <w:color w:val="auto"/>
              </w:rPr>
            </w:pPr>
            <w:r>
              <w:rPr>
                <w:rFonts w:hint="eastAsia"/>
                <w:color w:val="auto"/>
              </w:rPr>
              <w:t>深圳证券交易所（老楼）</w:t>
            </w:r>
          </w:p>
        </w:tc>
        <w:tc>
          <w:tcPr>
            <w:tcW w:w="2074" w:type="dxa"/>
          </w:tcPr>
          <w:p>
            <w:pPr>
              <w:rPr>
                <w:color w:val="auto"/>
              </w:rPr>
            </w:pPr>
            <w:r>
              <w:rPr>
                <w:rFonts w:hint="eastAsia" w:asciiTheme="minorEastAsia" w:hAnsiTheme="minorEastAsia"/>
                <w:color w:val="auto"/>
              </w:rPr>
              <w:t>●</w:t>
            </w:r>
            <w:r>
              <w:rPr>
                <w:rFonts w:hint="eastAsia"/>
                <w:color w:val="auto"/>
              </w:rPr>
              <w:t>使用</w:t>
            </w:r>
            <w:r>
              <w:rPr>
                <w:color w:val="auto"/>
              </w:rPr>
              <w:t>中</w:t>
            </w:r>
          </w:p>
        </w:tc>
        <w:tc>
          <w:tcPr>
            <w:tcW w:w="1513" w:type="dxa"/>
          </w:tcPr>
          <w:p>
            <w:pPr>
              <w:rPr>
                <w:rFonts w:asciiTheme="minorEastAsia" w:hAnsiTheme="minorEastAsia"/>
                <w:color w:val="auto"/>
              </w:rPr>
            </w:pPr>
            <w:r>
              <w:rPr>
                <w:rFonts w:hint="eastAsia" w:asciiTheme="minorEastAsia" w:hAnsiTheme="minorEastAsia"/>
                <w:color w:val="auto"/>
              </w:rPr>
              <w:t>●较好</w:t>
            </w:r>
          </w:p>
        </w:tc>
        <w:tc>
          <w:tcPr>
            <w:tcW w:w="1219" w:type="dxa"/>
          </w:tcPr>
          <w:p>
            <w:pPr>
              <w:rPr>
                <w:color w:val="auto"/>
              </w:rPr>
            </w:pPr>
            <w:r>
              <w:rPr>
                <w:rFonts w:hint="eastAsia" w:asciiTheme="minorEastAsia" w:hAnsiTheme="minorEastAsia"/>
                <w:color w:val="auto"/>
              </w:rPr>
              <w:t>●未改变</w:t>
            </w:r>
          </w:p>
          <w:p>
            <w:pPr>
              <w:rPr>
                <w:color w:val="auto"/>
              </w:rPr>
            </w:pPr>
          </w:p>
        </w:tc>
        <w:tc>
          <w:tcPr>
            <w:tcW w:w="1106" w:type="dxa"/>
          </w:tcPr>
          <w:p>
            <w:pPr>
              <w:rPr>
                <w:color w:val="auto"/>
              </w:rPr>
            </w:pPr>
            <w:r>
              <w:rPr>
                <w:rFonts w:hint="eastAsia" w:asciiTheme="minorEastAsia" w:hAnsiTheme="minorEastAsia"/>
                <w:color w:val="auto"/>
              </w:rPr>
              <w:t>●未改变</w:t>
            </w: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●内饰曾翻修</w:t>
            </w:r>
          </w:p>
        </w:tc>
        <w:tc>
          <w:tcPr>
            <w:tcW w:w="1121" w:type="dxa"/>
            <w:vAlign w:val="center"/>
          </w:tcPr>
          <w:p>
            <w:pPr>
              <w:jc w:val="cente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rFonts w:hint="eastAsia"/>
                <w:color w:val="auto"/>
              </w:rPr>
              <w:t>日常维护与保养</w:t>
            </w:r>
          </w:p>
          <w:p>
            <w:pPr>
              <w:rPr>
                <w:color w:val="auto"/>
              </w:rPr>
            </w:pPr>
            <w:r>
              <w:rPr>
                <w:rFonts w:hint="eastAsia"/>
                <w:color w:val="auto"/>
              </w:rPr>
              <w:t>●专设展览空间</w:t>
            </w: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18</w:t>
            </w:r>
          </w:p>
        </w:tc>
        <w:tc>
          <w:tcPr>
            <w:tcW w:w="1696" w:type="dxa"/>
          </w:tcPr>
          <w:p>
            <w:pPr>
              <w:rPr>
                <w:color w:val="auto"/>
              </w:rPr>
            </w:pPr>
            <w:r>
              <w:rPr>
                <w:rFonts w:hint="eastAsia"/>
                <w:color w:val="auto"/>
              </w:rPr>
              <w:t>竹园宾馆</w:t>
            </w:r>
          </w:p>
        </w:tc>
        <w:tc>
          <w:tcPr>
            <w:tcW w:w="2074" w:type="dxa"/>
          </w:tcPr>
          <w:p>
            <w:pPr>
              <w:rPr>
                <w:color w:val="auto"/>
              </w:rPr>
            </w:pPr>
            <w:r>
              <w:rPr>
                <w:rFonts w:hint="eastAsia"/>
                <w:color w:val="auto"/>
              </w:rPr>
              <w:t>●使用中</w:t>
            </w:r>
          </w:p>
        </w:tc>
        <w:tc>
          <w:tcPr>
            <w:tcW w:w="1513" w:type="dxa"/>
          </w:tcPr>
          <w:p>
            <w:pPr>
              <w:rPr>
                <w:color w:val="auto"/>
              </w:rPr>
            </w:pPr>
            <w:r>
              <w:rPr>
                <w:rFonts w:hint="eastAsia"/>
                <w:color w:val="auto"/>
              </w:rPr>
              <w:t>●较好</w:t>
            </w:r>
          </w:p>
        </w:tc>
        <w:tc>
          <w:tcPr>
            <w:tcW w:w="1219" w:type="dxa"/>
          </w:tcPr>
          <w:p>
            <w:pPr>
              <w:rPr>
                <w:color w:val="auto"/>
              </w:rPr>
            </w:pPr>
            <w:r>
              <w:rPr>
                <w:rFonts w:hint="eastAsia"/>
                <w:color w:val="auto"/>
              </w:rPr>
              <w:t>●未改变</w:t>
            </w:r>
          </w:p>
        </w:tc>
        <w:tc>
          <w:tcPr>
            <w:tcW w:w="1106" w:type="dxa"/>
          </w:tcPr>
          <w:p>
            <w:pPr>
              <w:rPr>
                <w:color w:val="auto"/>
              </w:rPr>
            </w:pPr>
            <w:r>
              <w:rPr>
                <w:rFonts w:hint="eastAsia" w:asciiTheme="minorEastAsia" w:hAnsiTheme="minorEastAsia"/>
                <w:color w:val="auto"/>
              </w:rPr>
              <w:t>●未改变</w:t>
            </w: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●基础设施老旧</w:t>
            </w:r>
          </w:p>
        </w:tc>
        <w:tc>
          <w:tcPr>
            <w:tcW w:w="1121" w:type="dxa"/>
          </w:tcPr>
          <w:p>
            <w:pPr>
              <w:rPr>
                <w:color w:val="auto"/>
              </w:rPr>
            </w:pPr>
          </w:p>
        </w:tc>
        <w:tc>
          <w:tcPr>
            <w:tcW w:w="704" w:type="dxa"/>
          </w:tcPr>
          <w:p>
            <w:pPr>
              <w:rPr>
                <w:color w:val="auto"/>
              </w:rPr>
            </w:pPr>
          </w:p>
        </w:tc>
        <w:tc>
          <w:tcPr>
            <w:tcW w:w="1542" w:type="dxa"/>
            <w:vAlign w:val="center"/>
          </w:tcPr>
          <w:p>
            <w:pPr>
              <w:jc w:val="center"/>
              <w:rPr>
                <w:color w:val="auto"/>
              </w:rPr>
            </w:pPr>
            <w:r>
              <w:rPr>
                <w:rFonts w:hint="eastAsia" w:asciiTheme="minorEastAsia" w:hAnsiTheme="minorEastAsia"/>
                <w:color w:val="auto"/>
              </w:rPr>
              <w:t>√</w:t>
            </w:r>
          </w:p>
        </w:tc>
        <w:tc>
          <w:tcPr>
            <w:tcW w:w="704" w:type="dxa"/>
          </w:tcPr>
          <w:p>
            <w:pPr>
              <w:rPr>
                <w:color w:val="auto"/>
              </w:rPr>
            </w:pP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rFonts w:hint="eastAsia"/>
                <w:color w:val="auto"/>
              </w:rPr>
              <w:t>日常维护与保养</w:t>
            </w:r>
          </w:p>
          <w:p>
            <w:pPr>
              <w:rPr>
                <w:color w:val="auto"/>
              </w:rPr>
            </w:pPr>
            <w:r>
              <w:rPr>
                <w:rFonts w:hint="eastAsia"/>
                <w:color w:val="auto"/>
              </w:rPr>
              <w:t>●专设展览空间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19</w:t>
            </w:r>
          </w:p>
        </w:tc>
        <w:tc>
          <w:tcPr>
            <w:tcW w:w="1696" w:type="dxa"/>
          </w:tcPr>
          <w:p>
            <w:pPr>
              <w:rPr>
                <w:color w:val="auto"/>
              </w:rPr>
            </w:pPr>
            <w:r>
              <w:rPr>
                <w:rFonts w:hint="eastAsia"/>
                <w:color w:val="auto"/>
              </w:rPr>
              <w:t>深圳国贸大厦</w:t>
            </w:r>
          </w:p>
        </w:tc>
        <w:tc>
          <w:tcPr>
            <w:tcW w:w="2074" w:type="dxa"/>
          </w:tcPr>
          <w:p>
            <w:pPr>
              <w:rPr>
                <w:color w:val="auto"/>
              </w:rPr>
            </w:pPr>
            <w:r>
              <w:rPr>
                <w:rFonts w:hint="eastAsia"/>
                <w:color w:val="auto"/>
              </w:rPr>
              <w:t>●使用中</w:t>
            </w:r>
          </w:p>
        </w:tc>
        <w:tc>
          <w:tcPr>
            <w:tcW w:w="1513" w:type="dxa"/>
          </w:tcPr>
          <w:p>
            <w:pPr>
              <w:rPr>
                <w:color w:val="auto"/>
              </w:rPr>
            </w:pPr>
            <w:r>
              <w:rPr>
                <w:rFonts w:hint="eastAsia"/>
                <w:color w:val="auto"/>
              </w:rPr>
              <w:t>●较好</w:t>
            </w:r>
          </w:p>
        </w:tc>
        <w:tc>
          <w:tcPr>
            <w:tcW w:w="1219" w:type="dxa"/>
          </w:tcPr>
          <w:p>
            <w:pPr>
              <w:rPr>
                <w:color w:val="auto"/>
              </w:rPr>
            </w:pPr>
            <w:r>
              <w:rPr>
                <w:rFonts w:hint="eastAsia"/>
                <w:color w:val="auto"/>
              </w:rPr>
              <w:t>●局部改变</w:t>
            </w:r>
          </w:p>
        </w:tc>
        <w:tc>
          <w:tcPr>
            <w:tcW w:w="1106" w:type="dxa"/>
          </w:tcPr>
          <w:p>
            <w:pPr>
              <w:rPr>
                <w:color w:val="auto"/>
              </w:rPr>
            </w:pPr>
            <w:r>
              <w:rPr>
                <w:rFonts w:hint="eastAsia" w:asciiTheme="minorEastAsia" w:hAnsiTheme="minorEastAsia"/>
                <w:color w:val="auto"/>
              </w:rPr>
              <w:t>●未改变</w:t>
            </w: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●基本未改变</w:t>
            </w:r>
          </w:p>
          <w:p>
            <w:pPr>
              <w:rPr>
                <w:rFonts w:asciiTheme="minorEastAsia" w:hAnsiTheme="minorEastAsia"/>
                <w:color w:val="auto"/>
              </w:rPr>
            </w:pPr>
            <w:r>
              <w:rPr>
                <w:rFonts w:hint="eastAsia" w:asciiTheme="minorEastAsia" w:hAnsiTheme="minorEastAsia"/>
                <w:color w:val="auto"/>
              </w:rPr>
              <w:t>●内设邓公厅及展厅</w:t>
            </w:r>
          </w:p>
        </w:tc>
        <w:tc>
          <w:tcPr>
            <w:tcW w:w="1121" w:type="dxa"/>
            <w:vAlign w:val="center"/>
          </w:tcPr>
          <w:p>
            <w:pPr>
              <w:jc w:val="center"/>
              <w:rPr>
                <w:color w:val="auto"/>
              </w:rPr>
            </w:pPr>
            <w:r>
              <w:rPr>
                <w:rFonts w:hint="eastAsia" w:asciiTheme="minorEastAsia" w:hAnsiTheme="minorEastAsia"/>
                <w:color w:val="auto"/>
              </w:rPr>
              <w:t>√</w:t>
            </w:r>
          </w:p>
        </w:tc>
        <w:tc>
          <w:tcPr>
            <w:tcW w:w="704" w:type="dxa"/>
          </w:tcPr>
          <w:p>
            <w:pPr>
              <w:rPr>
                <w:color w:val="auto"/>
              </w:rPr>
            </w:pPr>
          </w:p>
        </w:tc>
        <w:tc>
          <w:tcPr>
            <w:tcW w:w="1542" w:type="dxa"/>
            <w:vAlign w:val="center"/>
          </w:tcPr>
          <w:p>
            <w:pPr>
              <w:jc w:val="center"/>
              <w:rPr>
                <w:color w:val="auto"/>
              </w:rPr>
            </w:pPr>
            <w:r>
              <w:rPr>
                <w:rFonts w:hint="eastAsia" w:asciiTheme="minorEastAsia" w:hAnsiTheme="minorEastAsia"/>
                <w:color w:val="auto"/>
              </w:rPr>
              <w:t>√</w:t>
            </w:r>
          </w:p>
        </w:tc>
        <w:tc>
          <w:tcPr>
            <w:tcW w:w="704" w:type="dxa"/>
          </w:tcPr>
          <w:p>
            <w:pPr>
              <w:rPr>
                <w:color w:val="auto"/>
              </w:rPr>
            </w:pP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color w:val="auto"/>
              </w:rPr>
              <w:t>消防</w:t>
            </w:r>
            <w:r>
              <w:rPr>
                <w:rFonts w:hint="eastAsia"/>
                <w:color w:val="auto"/>
              </w:rPr>
              <w:t>、</w:t>
            </w:r>
            <w:r>
              <w:rPr>
                <w:color w:val="auto"/>
              </w:rPr>
              <w:t>交通体系等均升级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20</w:t>
            </w:r>
          </w:p>
        </w:tc>
        <w:tc>
          <w:tcPr>
            <w:tcW w:w="1696" w:type="dxa"/>
          </w:tcPr>
          <w:p>
            <w:pPr>
              <w:rPr>
                <w:color w:val="auto"/>
              </w:rPr>
            </w:pPr>
            <w:r>
              <w:rPr>
                <w:rFonts w:hint="eastAsia"/>
                <w:color w:val="auto"/>
              </w:rPr>
              <w:t>深圳渔民村</w:t>
            </w:r>
          </w:p>
        </w:tc>
        <w:tc>
          <w:tcPr>
            <w:tcW w:w="2074" w:type="dxa"/>
          </w:tcPr>
          <w:p>
            <w:pPr>
              <w:rPr>
                <w:color w:val="auto"/>
              </w:rPr>
            </w:pPr>
            <w:r>
              <w:rPr>
                <w:rFonts w:hint="eastAsia"/>
                <w:color w:val="auto"/>
              </w:rPr>
              <w:t>●使用中</w:t>
            </w:r>
          </w:p>
        </w:tc>
        <w:tc>
          <w:tcPr>
            <w:tcW w:w="1513" w:type="dxa"/>
          </w:tcPr>
          <w:p>
            <w:pPr>
              <w:rPr>
                <w:color w:val="auto"/>
              </w:rPr>
            </w:pPr>
            <w:r>
              <w:rPr>
                <w:rFonts w:hint="eastAsia"/>
                <w:color w:val="auto"/>
              </w:rPr>
              <w:t>●较好</w:t>
            </w:r>
          </w:p>
        </w:tc>
        <w:tc>
          <w:tcPr>
            <w:tcW w:w="1219" w:type="dxa"/>
          </w:tcPr>
          <w:p>
            <w:pPr>
              <w:rPr>
                <w:color w:val="auto"/>
              </w:rPr>
            </w:pPr>
            <w:r>
              <w:rPr>
                <w:rFonts w:hint="eastAsia"/>
                <w:color w:val="auto"/>
              </w:rPr>
              <w:t>●未改变</w:t>
            </w:r>
          </w:p>
        </w:tc>
        <w:tc>
          <w:tcPr>
            <w:tcW w:w="1106" w:type="dxa"/>
          </w:tcPr>
          <w:p>
            <w:pPr>
              <w:rPr>
                <w:color w:val="auto"/>
              </w:rPr>
            </w:pPr>
            <w:r>
              <w:rPr>
                <w:rFonts w:hint="eastAsia" w:asciiTheme="minorEastAsia" w:hAnsiTheme="minorEastAsia"/>
                <w:color w:val="auto"/>
              </w:rPr>
              <w:t>●未改变</w:t>
            </w: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●未改变</w:t>
            </w:r>
          </w:p>
        </w:tc>
        <w:tc>
          <w:tcPr>
            <w:tcW w:w="1121" w:type="dxa"/>
          </w:tcPr>
          <w:p>
            <w:pPr>
              <w:rPr>
                <w:color w:val="auto"/>
              </w:rPr>
            </w:pPr>
          </w:p>
        </w:tc>
        <w:tc>
          <w:tcPr>
            <w:tcW w:w="704" w:type="dxa"/>
          </w:tcPr>
          <w:p>
            <w:pPr>
              <w:rPr>
                <w:color w:val="auto"/>
              </w:rPr>
            </w:pPr>
          </w:p>
        </w:tc>
        <w:tc>
          <w:tcPr>
            <w:tcW w:w="1542" w:type="dxa"/>
            <w:vAlign w:val="center"/>
          </w:tcPr>
          <w:p>
            <w:pPr>
              <w:jc w:val="center"/>
              <w:rPr>
                <w:color w:val="auto"/>
              </w:rPr>
            </w:pPr>
            <w:r>
              <w:rPr>
                <w:rFonts w:hint="eastAsia" w:asciiTheme="minorEastAsia" w:hAnsiTheme="minorEastAsia"/>
                <w:color w:val="auto"/>
              </w:rPr>
              <w:t>√</w:t>
            </w:r>
          </w:p>
        </w:tc>
        <w:tc>
          <w:tcPr>
            <w:tcW w:w="704" w:type="dxa"/>
          </w:tcPr>
          <w:p>
            <w:pPr>
              <w:rPr>
                <w:color w:val="auto"/>
              </w:rPr>
            </w:pP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21</w:t>
            </w:r>
          </w:p>
        </w:tc>
        <w:tc>
          <w:tcPr>
            <w:tcW w:w="1696" w:type="dxa"/>
          </w:tcPr>
          <w:p>
            <w:pPr>
              <w:rPr>
                <w:color w:val="auto"/>
              </w:rPr>
            </w:pPr>
            <w:r>
              <w:rPr>
                <w:rFonts w:hint="eastAsia"/>
                <w:color w:val="auto"/>
              </w:rPr>
              <w:t>深圳火车站</w:t>
            </w:r>
          </w:p>
        </w:tc>
        <w:tc>
          <w:tcPr>
            <w:tcW w:w="2074" w:type="dxa"/>
          </w:tcPr>
          <w:p>
            <w:pPr>
              <w:rPr>
                <w:color w:val="auto"/>
              </w:rPr>
            </w:pPr>
            <w:r>
              <w:rPr>
                <w:rFonts w:hint="eastAsia"/>
                <w:color w:val="auto"/>
              </w:rPr>
              <w:t>●使用中</w:t>
            </w:r>
          </w:p>
        </w:tc>
        <w:tc>
          <w:tcPr>
            <w:tcW w:w="1513" w:type="dxa"/>
          </w:tcPr>
          <w:p>
            <w:pPr>
              <w:rPr>
                <w:color w:val="auto"/>
              </w:rPr>
            </w:pPr>
            <w:r>
              <w:rPr>
                <w:rFonts w:hint="eastAsia"/>
                <w:color w:val="auto"/>
              </w:rPr>
              <w:t>●较好</w:t>
            </w:r>
          </w:p>
        </w:tc>
        <w:tc>
          <w:tcPr>
            <w:tcW w:w="1219" w:type="dxa"/>
          </w:tcPr>
          <w:p>
            <w:pPr>
              <w:rPr>
                <w:color w:val="auto"/>
              </w:rPr>
            </w:pPr>
            <w:r>
              <w:rPr>
                <w:rFonts w:hint="eastAsia"/>
                <w:color w:val="auto"/>
              </w:rPr>
              <w:t>●未改变</w:t>
            </w:r>
          </w:p>
        </w:tc>
        <w:tc>
          <w:tcPr>
            <w:tcW w:w="1106" w:type="dxa"/>
          </w:tcPr>
          <w:p>
            <w:pPr>
              <w:rPr>
                <w:color w:val="auto"/>
              </w:rPr>
            </w:pPr>
            <w:r>
              <w:rPr>
                <w:rFonts w:hint="eastAsia" w:asciiTheme="minorEastAsia" w:hAnsiTheme="minorEastAsia"/>
                <w:color w:val="auto"/>
              </w:rPr>
              <w:t>●未改变</w:t>
            </w: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●未改变</w:t>
            </w:r>
          </w:p>
        </w:tc>
        <w:tc>
          <w:tcPr>
            <w:tcW w:w="1121" w:type="dxa"/>
          </w:tcPr>
          <w:p>
            <w:pP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rFonts w:hint="eastAsia"/>
                <w:color w:val="auto"/>
              </w:rPr>
              <w:t>日常维护与保养</w:t>
            </w:r>
          </w:p>
          <w:p>
            <w:pPr>
              <w:rPr>
                <w:color w:val="auto"/>
              </w:rPr>
            </w:pPr>
            <w:r>
              <w:rPr>
                <w:rFonts w:hint="eastAsia"/>
                <w:color w:val="auto"/>
              </w:rPr>
              <w:t>●专设展览空间</w:t>
            </w: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22</w:t>
            </w:r>
          </w:p>
        </w:tc>
        <w:tc>
          <w:tcPr>
            <w:tcW w:w="1696" w:type="dxa"/>
          </w:tcPr>
          <w:p>
            <w:pPr>
              <w:rPr>
                <w:color w:val="auto"/>
              </w:rPr>
            </w:pPr>
            <w:r>
              <w:rPr>
                <w:rFonts w:hint="eastAsia"/>
                <w:color w:val="auto"/>
              </w:rPr>
              <w:t>深圳罗湖口岸联检大楼</w:t>
            </w:r>
          </w:p>
        </w:tc>
        <w:tc>
          <w:tcPr>
            <w:tcW w:w="2074" w:type="dxa"/>
          </w:tcPr>
          <w:p>
            <w:pPr>
              <w:rPr>
                <w:color w:val="auto"/>
              </w:rPr>
            </w:pPr>
            <w:r>
              <w:rPr>
                <w:rFonts w:hint="eastAsia"/>
                <w:color w:val="auto"/>
              </w:rPr>
              <w:t>●闲置</w:t>
            </w:r>
          </w:p>
        </w:tc>
        <w:tc>
          <w:tcPr>
            <w:tcW w:w="1513" w:type="dxa"/>
          </w:tcPr>
          <w:p>
            <w:pPr>
              <w:rPr>
                <w:color w:val="auto"/>
              </w:rPr>
            </w:pPr>
            <w:r>
              <w:rPr>
                <w:rFonts w:hint="eastAsia"/>
                <w:color w:val="auto"/>
              </w:rPr>
              <w:t>●一般</w:t>
            </w:r>
          </w:p>
        </w:tc>
        <w:tc>
          <w:tcPr>
            <w:tcW w:w="1219" w:type="dxa"/>
          </w:tcPr>
          <w:p>
            <w:pPr>
              <w:rPr>
                <w:color w:val="auto"/>
              </w:rPr>
            </w:pPr>
            <w:r>
              <w:rPr>
                <w:rFonts w:hint="eastAsia"/>
                <w:color w:val="auto"/>
              </w:rPr>
              <w:t>●未改变</w:t>
            </w:r>
          </w:p>
        </w:tc>
        <w:tc>
          <w:tcPr>
            <w:tcW w:w="1106" w:type="dxa"/>
          </w:tcPr>
          <w:p>
            <w:pPr>
              <w:rPr>
                <w:color w:val="auto"/>
              </w:rPr>
            </w:pPr>
            <w:r>
              <w:rPr>
                <w:rFonts w:hint="eastAsia" w:asciiTheme="minorEastAsia" w:hAnsiTheme="minorEastAsia"/>
                <w:color w:val="auto"/>
              </w:rPr>
              <w:t>●未改变</w:t>
            </w: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●未改变</w:t>
            </w:r>
          </w:p>
        </w:tc>
        <w:tc>
          <w:tcPr>
            <w:tcW w:w="1121"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r>
              <w:rPr>
                <w:rFonts w:hint="eastAsia" w:asciiTheme="minorEastAsia" w:hAnsiTheme="minorEastAsia"/>
                <w:color w:val="auto"/>
              </w:rPr>
              <w:t>√</w:t>
            </w: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color w:val="auto"/>
              </w:rPr>
              <w:t>编制保护</w:t>
            </w:r>
            <w:r>
              <w:rPr>
                <w:rFonts w:hint="eastAsia"/>
                <w:color w:val="auto"/>
              </w:rPr>
              <w:t>展示利用及周边环境整治方案，措施可同步进行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23</w:t>
            </w:r>
          </w:p>
        </w:tc>
        <w:tc>
          <w:tcPr>
            <w:tcW w:w="1696" w:type="dxa"/>
          </w:tcPr>
          <w:p>
            <w:pPr>
              <w:rPr>
                <w:color w:val="auto"/>
              </w:rPr>
            </w:pPr>
            <w:r>
              <w:rPr>
                <w:rFonts w:hint="eastAsia"/>
                <w:color w:val="auto"/>
              </w:rPr>
              <w:t>莲花山公园（</w:t>
            </w:r>
            <w:r>
              <w:rPr>
                <w:rFonts w:hint="eastAsia" w:eastAsia="宋体"/>
                <w:color w:val="auto"/>
                <w:lang w:eastAsia="zh-CN"/>
              </w:rPr>
              <w:t>邓小平铜像</w:t>
            </w:r>
            <w:r>
              <w:rPr>
                <w:rFonts w:hint="eastAsia"/>
                <w:color w:val="auto"/>
              </w:rPr>
              <w:t>）</w:t>
            </w:r>
          </w:p>
        </w:tc>
        <w:tc>
          <w:tcPr>
            <w:tcW w:w="2074" w:type="dxa"/>
          </w:tcPr>
          <w:p>
            <w:pPr>
              <w:rPr>
                <w:color w:val="auto"/>
              </w:rPr>
            </w:pPr>
          </w:p>
        </w:tc>
        <w:tc>
          <w:tcPr>
            <w:tcW w:w="1513" w:type="dxa"/>
          </w:tcPr>
          <w:p>
            <w:pPr>
              <w:rPr>
                <w:color w:val="auto"/>
              </w:rPr>
            </w:pPr>
            <w:r>
              <w:rPr>
                <w:rFonts w:hint="eastAsia"/>
                <w:color w:val="auto"/>
              </w:rPr>
              <w:t>●日常清洗除尘，保存较好</w:t>
            </w:r>
          </w:p>
        </w:tc>
        <w:tc>
          <w:tcPr>
            <w:tcW w:w="1219" w:type="dxa"/>
          </w:tcPr>
          <w:p>
            <w:pPr>
              <w:rPr>
                <w:color w:val="auto"/>
              </w:rPr>
            </w:pPr>
          </w:p>
        </w:tc>
        <w:tc>
          <w:tcPr>
            <w:tcW w:w="1106" w:type="dxa"/>
          </w:tcPr>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p>
            <w:pPr>
              <w:rPr>
                <w:rFonts w:asciiTheme="minorEastAsia" w:hAnsiTheme="minorEastAsia"/>
                <w:color w:val="auto"/>
              </w:rPr>
            </w:pPr>
          </w:p>
        </w:tc>
        <w:tc>
          <w:tcPr>
            <w:tcW w:w="2241" w:type="dxa"/>
          </w:tcPr>
          <w:p>
            <w:pPr>
              <w:rPr>
                <w:rFonts w:asciiTheme="minorEastAsia" w:hAnsiTheme="minorEastAsia"/>
                <w:color w:val="auto"/>
              </w:rPr>
            </w:pPr>
          </w:p>
        </w:tc>
        <w:tc>
          <w:tcPr>
            <w:tcW w:w="1121" w:type="dxa"/>
            <w:vAlign w:val="center"/>
          </w:tcPr>
          <w:p>
            <w:pPr>
              <w:jc w:val="cente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自然破坏</w:t>
            </w:r>
          </w:p>
        </w:tc>
        <w:tc>
          <w:tcPr>
            <w:tcW w:w="2826" w:type="dxa"/>
          </w:tcPr>
          <w:p>
            <w:pPr>
              <w:rPr>
                <w:color w:val="auto"/>
              </w:rPr>
            </w:pPr>
            <w:r>
              <w:rPr>
                <w:rFonts w:hint="eastAsia" w:asciiTheme="minorEastAsia" w:hAnsiTheme="minorEastAsia"/>
                <w:color w:val="auto"/>
              </w:rPr>
              <w:t>●</w:t>
            </w:r>
            <w:r>
              <w:rPr>
                <w:rFonts w:hint="eastAsia"/>
                <w:color w:val="auto"/>
              </w:rPr>
              <w:t>日常维护与保养</w:t>
            </w: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24</w:t>
            </w:r>
          </w:p>
        </w:tc>
        <w:tc>
          <w:tcPr>
            <w:tcW w:w="1696" w:type="dxa"/>
          </w:tcPr>
          <w:p>
            <w:pPr>
              <w:rPr>
                <w:color w:val="auto"/>
              </w:rPr>
            </w:pPr>
            <w:r>
              <w:rPr>
                <w:rFonts w:hint="eastAsia"/>
                <w:color w:val="auto"/>
              </w:rPr>
              <w:t>电子大厦</w:t>
            </w:r>
          </w:p>
        </w:tc>
        <w:tc>
          <w:tcPr>
            <w:tcW w:w="2074" w:type="dxa"/>
          </w:tcPr>
          <w:p>
            <w:pPr>
              <w:rPr>
                <w:color w:val="auto"/>
              </w:rPr>
            </w:pPr>
            <w:r>
              <w:rPr>
                <w:rFonts w:hint="eastAsia"/>
                <w:color w:val="auto"/>
              </w:rPr>
              <w:t>●使用中</w:t>
            </w:r>
          </w:p>
        </w:tc>
        <w:tc>
          <w:tcPr>
            <w:tcW w:w="1513" w:type="dxa"/>
          </w:tcPr>
          <w:p>
            <w:pPr>
              <w:rPr>
                <w:color w:val="auto"/>
              </w:rPr>
            </w:pPr>
            <w:r>
              <w:rPr>
                <w:rFonts w:hint="eastAsia"/>
                <w:color w:val="auto"/>
              </w:rPr>
              <w:t>●较好</w:t>
            </w:r>
          </w:p>
        </w:tc>
        <w:tc>
          <w:tcPr>
            <w:tcW w:w="1219" w:type="dxa"/>
          </w:tcPr>
          <w:p>
            <w:pPr>
              <w:rPr>
                <w:color w:val="auto"/>
              </w:rPr>
            </w:pPr>
            <w:r>
              <w:rPr>
                <w:rFonts w:hint="eastAsia"/>
                <w:color w:val="auto"/>
              </w:rPr>
              <w:t>●局部改变</w:t>
            </w:r>
          </w:p>
        </w:tc>
        <w:tc>
          <w:tcPr>
            <w:tcW w:w="1106" w:type="dxa"/>
          </w:tcPr>
          <w:p>
            <w:pPr>
              <w:rPr>
                <w:color w:val="auto"/>
              </w:rPr>
            </w:pPr>
            <w:r>
              <w:rPr>
                <w:rFonts w:hint="eastAsia" w:asciiTheme="minorEastAsia" w:hAnsiTheme="minorEastAsia"/>
                <w:color w:val="auto"/>
              </w:rPr>
              <w:t>●局部改变</w:t>
            </w: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●门头改变</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●内部全部改造</w:t>
            </w:r>
          </w:p>
        </w:tc>
        <w:tc>
          <w:tcPr>
            <w:tcW w:w="1121" w:type="dxa"/>
          </w:tcPr>
          <w:p>
            <w:pP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rFonts w:hint="eastAsia"/>
                <w:color w:val="auto"/>
              </w:rPr>
              <w:t>专设展览空间</w:t>
            </w:r>
          </w:p>
          <w:p>
            <w:pPr>
              <w:rPr>
                <w:color w:val="auto"/>
              </w:rPr>
            </w:pPr>
            <w:r>
              <w:rPr>
                <w:rFonts w:hint="eastAsia" w:asciiTheme="minorEastAsia" w:hAnsiTheme="minorEastAsia"/>
                <w:color w:val="auto"/>
              </w:rPr>
              <w:t>●</w:t>
            </w:r>
            <w:r>
              <w:rPr>
                <w:rFonts w:hint="eastAsia"/>
                <w:color w:val="auto"/>
              </w:rPr>
              <w:t>日常维护与保养</w:t>
            </w: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25</w:t>
            </w:r>
          </w:p>
        </w:tc>
        <w:tc>
          <w:tcPr>
            <w:tcW w:w="1696" w:type="dxa"/>
          </w:tcPr>
          <w:p>
            <w:pPr>
              <w:rPr>
                <w:color w:val="auto"/>
              </w:rPr>
            </w:pPr>
            <w:r>
              <w:rPr>
                <w:rFonts w:hint="eastAsia"/>
                <w:color w:val="auto"/>
              </w:rPr>
              <w:t>深圳科学馆旧馆</w:t>
            </w:r>
          </w:p>
        </w:tc>
        <w:tc>
          <w:tcPr>
            <w:tcW w:w="2074" w:type="dxa"/>
          </w:tcPr>
          <w:p>
            <w:pPr>
              <w:rPr>
                <w:color w:val="auto"/>
              </w:rPr>
            </w:pPr>
            <w:r>
              <w:rPr>
                <w:rFonts w:hint="eastAsia"/>
                <w:color w:val="auto"/>
              </w:rPr>
              <w:t>●使用中</w:t>
            </w:r>
          </w:p>
        </w:tc>
        <w:tc>
          <w:tcPr>
            <w:tcW w:w="1513" w:type="dxa"/>
          </w:tcPr>
          <w:p>
            <w:pPr>
              <w:rPr>
                <w:color w:val="auto"/>
              </w:rPr>
            </w:pPr>
            <w:r>
              <w:rPr>
                <w:rFonts w:hint="eastAsia"/>
                <w:color w:val="auto"/>
              </w:rPr>
              <w:t>●较好</w:t>
            </w:r>
          </w:p>
        </w:tc>
        <w:tc>
          <w:tcPr>
            <w:tcW w:w="1219" w:type="dxa"/>
          </w:tcPr>
          <w:p>
            <w:pPr>
              <w:rPr>
                <w:color w:val="auto"/>
              </w:rPr>
            </w:pPr>
            <w:r>
              <w:rPr>
                <w:rFonts w:hint="eastAsia"/>
                <w:color w:val="auto"/>
              </w:rPr>
              <w:t>●未改变</w:t>
            </w:r>
          </w:p>
        </w:tc>
        <w:tc>
          <w:tcPr>
            <w:tcW w:w="1106" w:type="dxa"/>
          </w:tcPr>
          <w:p>
            <w:pPr>
              <w:rPr>
                <w:color w:val="auto"/>
              </w:rPr>
            </w:pPr>
            <w:r>
              <w:rPr>
                <w:rFonts w:hint="eastAsia" w:asciiTheme="minorEastAsia" w:hAnsiTheme="minorEastAsia"/>
                <w:color w:val="auto"/>
              </w:rPr>
              <w:t>●未改变</w:t>
            </w: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●未改变</w:t>
            </w:r>
          </w:p>
        </w:tc>
        <w:tc>
          <w:tcPr>
            <w:tcW w:w="1121" w:type="dxa"/>
          </w:tcPr>
          <w:p>
            <w:pP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rFonts w:hint="eastAsia"/>
                <w:color w:val="auto"/>
              </w:rPr>
              <w:t>日常维护与保养</w:t>
            </w:r>
          </w:p>
          <w:p>
            <w:pPr>
              <w:rPr>
                <w:color w:val="auto"/>
              </w:rPr>
            </w:pPr>
            <w:r>
              <w:rPr>
                <w:rFonts w:hint="eastAsia" w:asciiTheme="minorEastAsia" w:hAnsiTheme="minorEastAsia"/>
                <w:color w:val="auto"/>
              </w:rPr>
              <w:t>●</w:t>
            </w:r>
            <w:r>
              <w:rPr>
                <w:rFonts w:hint="eastAsia"/>
                <w:color w:val="auto"/>
              </w:rPr>
              <w:t>专设展览空间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26</w:t>
            </w:r>
          </w:p>
        </w:tc>
        <w:tc>
          <w:tcPr>
            <w:tcW w:w="1696" w:type="dxa"/>
          </w:tcPr>
          <w:p>
            <w:pPr>
              <w:rPr>
                <w:color w:val="auto"/>
              </w:rPr>
            </w:pPr>
            <w:r>
              <w:rPr>
                <w:rFonts w:hint="eastAsia"/>
                <w:color w:val="auto"/>
              </w:rPr>
              <w:t>深圳新闻大厦</w:t>
            </w:r>
          </w:p>
        </w:tc>
        <w:tc>
          <w:tcPr>
            <w:tcW w:w="2074" w:type="dxa"/>
          </w:tcPr>
          <w:p>
            <w:pPr>
              <w:rPr>
                <w:color w:val="auto"/>
              </w:rPr>
            </w:pPr>
            <w:r>
              <w:rPr>
                <w:rFonts w:hint="eastAsia"/>
                <w:color w:val="auto"/>
              </w:rPr>
              <w:t>●使用中</w:t>
            </w:r>
          </w:p>
        </w:tc>
        <w:tc>
          <w:tcPr>
            <w:tcW w:w="1513" w:type="dxa"/>
          </w:tcPr>
          <w:p>
            <w:pPr>
              <w:rPr>
                <w:color w:val="auto"/>
              </w:rPr>
            </w:pPr>
            <w:r>
              <w:rPr>
                <w:rFonts w:hint="eastAsia"/>
                <w:color w:val="auto"/>
              </w:rPr>
              <w:t>●较好</w:t>
            </w:r>
          </w:p>
        </w:tc>
        <w:tc>
          <w:tcPr>
            <w:tcW w:w="1219" w:type="dxa"/>
          </w:tcPr>
          <w:p>
            <w:pPr>
              <w:rPr>
                <w:color w:val="auto"/>
              </w:rPr>
            </w:pPr>
            <w:r>
              <w:rPr>
                <w:rFonts w:hint="eastAsia"/>
                <w:color w:val="auto"/>
              </w:rPr>
              <w:t>●未改变</w:t>
            </w:r>
          </w:p>
        </w:tc>
        <w:tc>
          <w:tcPr>
            <w:tcW w:w="1106" w:type="dxa"/>
          </w:tcPr>
          <w:p>
            <w:pPr>
              <w:rPr>
                <w:color w:val="auto"/>
              </w:rPr>
            </w:pPr>
            <w:r>
              <w:rPr>
                <w:rFonts w:hint="eastAsia" w:asciiTheme="minorEastAsia" w:hAnsiTheme="minorEastAsia"/>
                <w:color w:val="auto"/>
              </w:rPr>
              <w:t>●未改变</w:t>
            </w: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●未改变</w:t>
            </w:r>
          </w:p>
        </w:tc>
        <w:tc>
          <w:tcPr>
            <w:tcW w:w="1121" w:type="dxa"/>
          </w:tcPr>
          <w:p>
            <w:pP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局部公共空间狭小，存在安全隐患</w:t>
            </w:r>
          </w:p>
        </w:tc>
        <w:tc>
          <w:tcPr>
            <w:tcW w:w="2826" w:type="dxa"/>
          </w:tcPr>
          <w:p>
            <w:pPr>
              <w:rPr>
                <w:color w:val="auto"/>
              </w:rPr>
            </w:pPr>
            <w:r>
              <w:rPr>
                <w:rFonts w:hint="eastAsia" w:asciiTheme="minorEastAsia" w:hAnsiTheme="minorEastAsia"/>
                <w:color w:val="auto"/>
              </w:rPr>
              <w:t>●</w:t>
            </w:r>
            <w:r>
              <w:rPr>
                <w:rFonts w:hint="eastAsia"/>
                <w:color w:val="auto"/>
              </w:rPr>
              <w:t>结合</w:t>
            </w:r>
            <w:r>
              <w:rPr>
                <w:color w:val="auto"/>
              </w:rPr>
              <w:t>维修</w:t>
            </w:r>
            <w:r>
              <w:rPr>
                <w:rFonts w:hint="eastAsia"/>
                <w:color w:val="auto"/>
              </w:rPr>
              <w:t>、</w:t>
            </w:r>
            <w:r>
              <w:rPr>
                <w:color w:val="auto"/>
              </w:rPr>
              <w:t>改造</w:t>
            </w:r>
            <w:r>
              <w:rPr>
                <w:rFonts w:hint="eastAsia"/>
                <w:color w:val="auto"/>
              </w:rPr>
              <w:t>，</w:t>
            </w:r>
            <w:r>
              <w:rPr>
                <w:color w:val="auto"/>
              </w:rPr>
              <w:t>解决安全隐患</w:t>
            </w:r>
          </w:p>
          <w:p>
            <w:pPr>
              <w:rPr>
                <w:color w:val="auto"/>
              </w:rPr>
            </w:pPr>
            <w:r>
              <w:rPr>
                <w:rFonts w:hint="eastAsia" w:asciiTheme="minorEastAsia" w:hAnsiTheme="minorEastAsia"/>
                <w:color w:val="auto"/>
              </w:rPr>
              <w:t>●</w:t>
            </w:r>
            <w:r>
              <w:rPr>
                <w:rFonts w:hint="eastAsia"/>
                <w:color w:val="auto"/>
              </w:rPr>
              <w:t>专设展览空间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27</w:t>
            </w:r>
          </w:p>
        </w:tc>
        <w:tc>
          <w:tcPr>
            <w:tcW w:w="1696" w:type="dxa"/>
          </w:tcPr>
          <w:p>
            <w:pPr>
              <w:rPr>
                <w:color w:val="auto"/>
              </w:rPr>
            </w:pPr>
            <w:r>
              <w:rPr>
                <w:rFonts w:hint="eastAsia"/>
                <w:color w:val="auto"/>
              </w:rPr>
              <w:t>深圳图书馆旧馆</w:t>
            </w:r>
          </w:p>
        </w:tc>
        <w:tc>
          <w:tcPr>
            <w:tcW w:w="2074" w:type="dxa"/>
          </w:tcPr>
          <w:p>
            <w:pPr>
              <w:rPr>
                <w:color w:val="auto"/>
              </w:rPr>
            </w:pPr>
            <w:r>
              <w:rPr>
                <w:rFonts w:hint="eastAsia"/>
                <w:color w:val="auto"/>
              </w:rPr>
              <w:t>●使用中</w:t>
            </w:r>
          </w:p>
        </w:tc>
        <w:tc>
          <w:tcPr>
            <w:tcW w:w="1513" w:type="dxa"/>
          </w:tcPr>
          <w:p>
            <w:pPr>
              <w:rPr>
                <w:color w:val="auto"/>
              </w:rPr>
            </w:pPr>
            <w:r>
              <w:rPr>
                <w:rFonts w:hint="eastAsia"/>
                <w:color w:val="auto"/>
              </w:rPr>
              <w:t>●较好</w:t>
            </w:r>
          </w:p>
        </w:tc>
        <w:tc>
          <w:tcPr>
            <w:tcW w:w="1219" w:type="dxa"/>
          </w:tcPr>
          <w:p>
            <w:pPr>
              <w:rPr>
                <w:color w:val="auto"/>
              </w:rPr>
            </w:pPr>
            <w:r>
              <w:rPr>
                <w:rFonts w:hint="eastAsia"/>
                <w:color w:val="auto"/>
              </w:rPr>
              <w:t>●局部改变</w:t>
            </w:r>
          </w:p>
        </w:tc>
        <w:tc>
          <w:tcPr>
            <w:tcW w:w="1106" w:type="dxa"/>
          </w:tcPr>
          <w:p>
            <w:pPr>
              <w:rPr>
                <w:color w:val="auto"/>
              </w:rPr>
            </w:pPr>
            <w:r>
              <w:rPr>
                <w:rFonts w:hint="eastAsia" w:asciiTheme="minorEastAsia" w:hAnsiTheme="minorEastAsia"/>
                <w:color w:val="auto"/>
              </w:rPr>
              <w:t>●2007年局部结构曾进行加固</w:t>
            </w: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●2007年局部改造</w:t>
            </w:r>
          </w:p>
        </w:tc>
        <w:tc>
          <w:tcPr>
            <w:tcW w:w="1121"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rFonts w:hint="eastAsia"/>
                <w:color w:val="auto"/>
              </w:rPr>
              <w:t>日常维护与保养</w:t>
            </w:r>
          </w:p>
          <w:p>
            <w:pPr>
              <w:rPr>
                <w:color w:val="auto"/>
              </w:rPr>
            </w:pPr>
            <w:r>
              <w:rPr>
                <w:rFonts w:hint="eastAsia" w:asciiTheme="minorEastAsia" w:hAnsiTheme="minorEastAsia"/>
                <w:color w:val="auto"/>
              </w:rPr>
              <w:t>●</w:t>
            </w:r>
            <w:r>
              <w:rPr>
                <w:rFonts w:hint="eastAsia"/>
                <w:color w:val="auto"/>
              </w:rPr>
              <w:t>专设展览空间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28</w:t>
            </w:r>
          </w:p>
        </w:tc>
        <w:tc>
          <w:tcPr>
            <w:tcW w:w="1696" w:type="dxa"/>
          </w:tcPr>
          <w:p>
            <w:pPr>
              <w:rPr>
                <w:color w:val="auto"/>
              </w:rPr>
            </w:pPr>
            <w:r>
              <w:rPr>
                <w:rFonts w:hint="eastAsia"/>
                <w:color w:val="auto"/>
              </w:rPr>
              <w:t>孺子牛雕像</w:t>
            </w:r>
          </w:p>
        </w:tc>
        <w:tc>
          <w:tcPr>
            <w:tcW w:w="2074" w:type="dxa"/>
          </w:tcPr>
          <w:p>
            <w:pPr>
              <w:rPr>
                <w:color w:val="auto"/>
              </w:rPr>
            </w:pPr>
          </w:p>
        </w:tc>
        <w:tc>
          <w:tcPr>
            <w:tcW w:w="1513" w:type="dxa"/>
          </w:tcPr>
          <w:p>
            <w:pPr>
              <w:rPr>
                <w:color w:val="auto"/>
              </w:rPr>
            </w:pPr>
            <w:r>
              <w:rPr>
                <w:rFonts w:hint="eastAsia"/>
                <w:color w:val="auto"/>
              </w:rPr>
              <w:t>●日常清洗除尘，保存较好</w:t>
            </w:r>
          </w:p>
        </w:tc>
        <w:tc>
          <w:tcPr>
            <w:tcW w:w="1219" w:type="dxa"/>
          </w:tcPr>
          <w:p>
            <w:pPr>
              <w:rPr>
                <w:color w:val="auto"/>
              </w:rPr>
            </w:pPr>
          </w:p>
        </w:tc>
        <w:tc>
          <w:tcPr>
            <w:tcW w:w="1106" w:type="dxa"/>
          </w:tcPr>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p>
            <w:pPr>
              <w:rPr>
                <w:rFonts w:asciiTheme="minorEastAsia" w:hAnsiTheme="minorEastAsia"/>
                <w:color w:val="auto"/>
              </w:rPr>
            </w:pPr>
          </w:p>
        </w:tc>
        <w:tc>
          <w:tcPr>
            <w:tcW w:w="2241" w:type="dxa"/>
          </w:tcPr>
          <w:p>
            <w:pPr>
              <w:rPr>
                <w:color w:val="auto"/>
              </w:rPr>
            </w:pPr>
          </w:p>
        </w:tc>
        <w:tc>
          <w:tcPr>
            <w:tcW w:w="1121" w:type="dxa"/>
          </w:tcPr>
          <w:p>
            <w:pP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tcPr>
          <w:p>
            <w:pPr>
              <w:rPr>
                <w:color w:val="auto"/>
              </w:rPr>
            </w:pPr>
          </w:p>
        </w:tc>
        <w:tc>
          <w:tcPr>
            <w:tcW w:w="704" w:type="dxa"/>
          </w:tcPr>
          <w:p>
            <w:pPr>
              <w:rPr>
                <w:color w:val="auto"/>
              </w:rPr>
            </w:pPr>
          </w:p>
        </w:tc>
        <w:tc>
          <w:tcPr>
            <w:tcW w:w="1542" w:type="dxa"/>
          </w:tcPr>
          <w:p>
            <w:pPr>
              <w:rPr>
                <w:color w:val="auto"/>
              </w:rPr>
            </w:pPr>
            <w:r>
              <w:rPr>
                <w:rFonts w:hint="eastAsia" w:asciiTheme="minorEastAsia" w:hAnsiTheme="minorEastAsia"/>
                <w:color w:val="auto"/>
              </w:rPr>
              <w:t>●</w:t>
            </w:r>
            <w:r>
              <w:rPr>
                <w:rFonts w:hint="eastAsia"/>
                <w:color w:val="auto"/>
              </w:rPr>
              <w:t>自然破坏</w:t>
            </w:r>
          </w:p>
        </w:tc>
        <w:tc>
          <w:tcPr>
            <w:tcW w:w="2826" w:type="dxa"/>
          </w:tcPr>
          <w:p>
            <w:pPr>
              <w:rPr>
                <w:color w:val="auto"/>
              </w:rPr>
            </w:pPr>
            <w:r>
              <w:rPr>
                <w:rFonts w:hint="eastAsia" w:asciiTheme="minorEastAsia" w:hAnsiTheme="minorEastAsia"/>
                <w:color w:val="auto"/>
              </w:rPr>
              <w:t>●</w:t>
            </w:r>
            <w:r>
              <w:rPr>
                <w:rFonts w:hint="eastAsia"/>
                <w:color w:val="auto"/>
              </w:rPr>
              <w:t>日常维护与保养</w:t>
            </w: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29</w:t>
            </w:r>
          </w:p>
        </w:tc>
        <w:tc>
          <w:tcPr>
            <w:tcW w:w="1696" w:type="dxa"/>
          </w:tcPr>
          <w:p>
            <w:pPr>
              <w:rPr>
                <w:color w:val="auto"/>
              </w:rPr>
            </w:pPr>
            <w:r>
              <w:rPr>
                <w:rFonts w:hint="eastAsia"/>
                <w:color w:val="auto"/>
              </w:rPr>
              <w:t>深圳博物馆旧馆</w:t>
            </w:r>
          </w:p>
        </w:tc>
        <w:tc>
          <w:tcPr>
            <w:tcW w:w="2074" w:type="dxa"/>
          </w:tcPr>
          <w:p>
            <w:pPr>
              <w:rPr>
                <w:color w:val="auto"/>
              </w:rPr>
            </w:pPr>
            <w:r>
              <w:rPr>
                <w:rFonts w:hint="eastAsia"/>
                <w:color w:val="auto"/>
              </w:rPr>
              <w:t>●使用中</w:t>
            </w:r>
          </w:p>
        </w:tc>
        <w:tc>
          <w:tcPr>
            <w:tcW w:w="1513" w:type="dxa"/>
          </w:tcPr>
          <w:p>
            <w:pPr>
              <w:rPr>
                <w:color w:val="auto"/>
              </w:rPr>
            </w:pPr>
            <w:r>
              <w:rPr>
                <w:rFonts w:hint="eastAsia"/>
                <w:color w:val="auto"/>
              </w:rPr>
              <w:t>●较好</w:t>
            </w:r>
          </w:p>
        </w:tc>
        <w:tc>
          <w:tcPr>
            <w:tcW w:w="1219" w:type="dxa"/>
          </w:tcPr>
          <w:p>
            <w:pPr>
              <w:rPr>
                <w:color w:val="auto"/>
              </w:rPr>
            </w:pPr>
            <w:r>
              <w:rPr>
                <w:rFonts w:hint="eastAsia"/>
                <w:color w:val="auto"/>
              </w:rPr>
              <w:t>●未改变</w:t>
            </w:r>
          </w:p>
        </w:tc>
        <w:tc>
          <w:tcPr>
            <w:tcW w:w="1106" w:type="dxa"/>
          </w:tcPr>
          <w:p>
            <w:pPr>
              <w:rPr>
                <w:color w:val="auto"/>
              </w:rPr>
            </w:pPr>
            <w:r>
              <w:rPr>
                <w:rFonts w:hint="eastAsia"/>
                <w:color w:val="auto"/>
              </w:rPr>
              <w:t>●未改变</w:t>
            </w: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●部分展馆改造</w:t>
            </w:r>
          </w:p>
        </w:tc>
        <w:tc>
          <w:tcPr>
            <w:tcW w:w="1121" w:type="dxa"/>
            <w:vAlign w:val="center"/>
          </w:tcPr>
          <w:p>
            <w:pPr>
              <w:jc w:val="cente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rFonts w:hint="eastAsia"/>
                <w:color w:val="auto"/>
              </w:rPr>
              <w:t>日常维护与保养</w:t>
            </w:r>
          </w:p>
          <w:p>
            <w:pPr>
              <w:rPr>
                <w:color w:val="auto"/>
              </w:rPr>
            </w:pPr>
            <w:r>
              <w:rPr>
                <w:rFonts w:hint="eastAsia" w:asciiTheme="minorEastAsia" w:hAnsiTheme="minorEastAsia"/>
                <w:color w:val="auto"/>
              </w:rPr>
              <w:t>●</w:t>
            </w:r>
            <w:r>
              <w:rPr>
                <w:rFonts w:hint="eastAsia"/>
                <w:color w:val="auto"/>
              </w:rPr>
              <w:t>专设展览空间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30</w:t>
            </w:r>
          </w:p>
        </w:tc>
        <w:tc>
          <w:tcPr>
            <w:tcW w:w="1696" w:type="dxa"/>
          </w:tcPr>
          <w:p>
            <w:pPr>
              <w:rPr>
                <w:color w:val="auto"/>
              </w:rPr>
            </w:pPr>
            <w:r>
              <w:rPr>
                <w:rFonts w:hint="eastAsia"/>
                <w:color w:val="auto"/>
              </w:rPr>
              <w:t>艺象ID TOWN（原鸿华印染厂）</w:t>
            </w:r>
          </w:p>
        </w:tc>
        <w:tc>
          <w:tcPr>
            <w:tcW w:w="2074" w:type="dxa"/>
          </w:tcPr>
          <w:p>
            <w:pPr>
              <w:rPr>
                <w:color w:val="auto"/>
              </w:rPr>
            </w:pPr>
            <w:r>
              <w:rPr>
                <w:rFonts w:hint="eastAsia"/>
                <w:color w:val="auto"/>
              </w:rPr>
              <w:t>●使用中</w:t>
            </w:r>
          </w:p>
        </w:tc>
        <w:tc>
          <w:tcPr>
            <w:tcW w:w="1513" w:type="dxa"/>
          </w:tcPr>
          <w:p>
            <w:pPr>
              <w:rPr>
                <w:color w:val="auto"/>
              </w:rPr>
            </w:pPr>
            <w:r>
              <w:rPr>
                <w:rFonts w:hint="eastAsia"/>
                <w:color w:val="auto"/>
              </w:rPr>
              <w:t>●较好</w:t>
            </w:r>
          </w:p>
        </w:tc>
        <w:tc>
          <w:tcPr>
            <w:tcW w:w="1219" w:type="dxa"/>
          </w:tcPr>
          <w:p>
            <w:pPr>
              <w:rPr>
                <w:color w:val="auto"/>
              </w:rPr>
            </w:pPr>
            <w:r>
              <w:rPr>
                <w:rFonts w:hint="eastAsia"/>
                <w:color w:val="auto"/>
              </w:rPr>
              <w:t>●结合展示利用，部分建筑局部改变</w:t>
            </w:r>
          </w:p>
        </w:tc>
        <w:tc>
          <w:tcPr>
            <w:tcW w:w="1106" w:type="dxa"/>
          </w:tcPr>
          <w:p>
            <w:pPr>
              <w:rPr>
                <w:color w:val="auto"/>
              </w:rPr>
            </w:pPr>
            <w:r>
              <w:rPr>
                <w:rFonts w:hint="eastAsia"/>
                <w:color w:val="auto"/>
              </w:rPr>
              <w:t>●结合展示利用，部分建筑局部改变</w:t>
            </w:r>
          </w:p>
        </w:tc>
        <w:tc>
          <w:tcPr>
            <w:tcW w:w="2190" w:type="dxa"/>
          </w:tcPr>
          <w:p>
            <w:pPr>
              <w:rPr>
                <w:color w:val="auto"/>
              </w:rPr>
            </w:pPr>
            <w:r>
              <w:rPr>
                <w:rFonts w:hint="eastAsia"/>
                <w:color w:val="auto"/>
              </w:rPr>
              <w:t>●结合展示利用，部分立面局部改变</w:t>
            </w:r>
          </w:p>
        </w:tc>
        <w:tc>
          <w:tcPr>
            <w:tcW w:w="2241" w:type="dxa"/>
          </w:tcPr>
          <w:p>
            <w:pPr>
              <w:rPr>
                <w:rFonts w:asciiTheme="minorEastAsia" w:hAnsiTheme="minorEastAsia"/>
                <w:color w:val="auto"/>
              </w:rPr>
            </w:pPr>
            <w:r>
              <w:rPr>
                <w:rFonts w:hint="eastAsia" w:asciiTheme="minorEastAsia" w:hAnsiTheme="minorEastAsia"/>
                <w:color w:val="auto"/>
              </w:rPr>
              <w:t>●</w:t>
            </w:r>
            <w:r>
              <w:rPr>
                <w:rFonts w:hint="eastAsia"/>
                <w:color w:val="auto"/>
              </w:rPr>
              <w:t>结合展示利用，部分建筑室内</w:t>
            </w:r>
            <w:r>
              <w:rPr>
                <w:rFonts w:hint="eastAsia" w:asciiTheme="minorEastAsia" w:hAnsiTheme="minorEastAsia"/>
                <w:color w:val="auto"/>
              </w:rPr>
              <w:t>改造</w:t>
            </w:r>
          </w:p>
        </w:tc>
        <w:tc>
          <w:tcPr>
            <w:tcW w:w="1121"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r>
              <w:rPr>
                <w:rFonts w:hint="eastAsia" w:asciiTheme="minorEastAsia" w:hAnsiTheme="minorEastAsia"/>
                <w:color w:val="auto"/>
              </w:rPr>
              <w:t>√</w:t>
            </w:r>
          </w:p>
        </w:tc>
        <w:tc>
          <w:tcPr>
            <w:tcW w:w="1542" w:type="dxa"/>
          </w:tcPr>
          <w:p>
            <w:pPr>
              <w:rPr>
                <w:color w:val="auto"/>
              </w:rPr>
            </w:pPr>
            <w:r>
              <w:rPr>
                <w:rFonts w:hint="eastAsia" w:asciiTheme="minorEastAsia" w:hAnsiTheme="minorEastAsia"/>
                <w:color w:val="auto"/>
              </w:rPr>
              <w:t>●</w:t>
            </w:r>
            <w:r>
              <w:rPr>
                <w:rFonts w:hint="eastAsia"/>
                <w:color w:val="auto"/>
              </w:rPr>
              <w:t>部分建筑闲置</w:t>
            </w:r>
          </w:p>
          <w:p>
            <w:pPr>
              <w:rPr>
                <w:color w:val="auto"/>
              </w:rPr>
            </w:pPr>
            <w:r>
              <w:rPr>
                <w:rFonts w:hint="eastAsia" w:asciiTheme="minorEastAsia" w:hAnsiTheme="minorEastAsia"/>
                <w:color w:val="auto"/>
              </w:rPr>
              <w:t>●</w:t>
            </w:r>
            <w:r>
              <w:rPr>
                <w:rFonts w:hint="eastAsia"/>
                <w:color w:val="auto"/>
              </w:rPr>
              <w:t>自然破坏</w:t>
            </w:r>
          </w:p>
        </w:tc>
        <w:tc>
          <w:tcPr>
            <w:tcW w:w="2826" w:type="dxa"/>
          </w:tcPr>
          <w:p>
            <w:pPr>
              <w:rPr>
                <w:color w:val="auto"/>
              </w:rPr>
            </w:pPr>
            <w:r>
              <w:rPr>
                <w:rFonts w:hint="eastAsia" w:asciiTheme="minorEastAsia" w:hAnsiTheme="minorEastAsia"/>
                <w:color w:val="auto"/>
              </w:rPr>
              <w:t>●编制片区整体保护展示利用及环境整治方案，实施</w:t>
            </w:r>
            <w:r>
              <w:rPr>
                <w:rFonts w:hint="eastAsia"/>
                <w:color w:val="auto"/>
              </w:rPr>
              <w:t>措施可分期进行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31</w:t>
            </w:r>
          </w:p>
        </w:tc>
        <w:tc>
          <w:tcPr>
            <w:tcW w:w="1696" w:type="dxa"/>
          </w:tcPr>
          <w:p>
            <w:pPr>
              <w:rPr>
                <w:color w:val="auto"/>
              </w:rPr>
            </w:pPr>
            <w:r>
              <w:rPr>
                <w:rFonts w:hint="eastAsia"/>
                <w:color w:val="auto"/>
              </w:rPr>
              <w:t>袁庚祖居</w:t>
            </w:r>
          </w:p>
        </w:tc>
        <w:tc>
          <w:tcPr>
            <w:tcW w:w="2074" w:type="dxa"/>
          </w:tcPr>
          <w:p>
            <w:pPr>
              <w:rPr>
                <w:color w:val="auto"/>
              </w:rPr>
            </w:pPr>
            <w:r>
              <w:rPr>
                <w:rFonts w:hint="eastAsia"/>
                <w:color w:val="auto"/>
              </w:rPr>
              <w:t>●参观展示</w:t>
            </w:r>
          </w:p>
        </w:tc>
        <w:tc>
          <w:tcPr>
            <w:tcW w:w="1513" w:type="dxa"/>
          </w:tcPr>
          <w:p>
            <w:pPr>
              <w:rPr>
                <w:color w:val="auto"/>
              </w:rPr>
            </w:pPr>
            <w:r>
              <w:rPr>
                <w:rFonts w:hint="eastAsia"/>
                <w:color w:val="auto"/>
              </w:rPr>
              <w:t>●较好</w:t>
            </w:r>
          </w:p>
        </w:tc>
        <w:tc>
          <w:tcPr>
            <w:tcW w:w="1219" w:type="dxa"/>
          </w:tcPr>
          <w:p>
            <w:pPr>
              <w:rPr>
                <w:color w:val="auto"/>
              </w:rPr>
            </w:pPr>
            <w:r>
              <w:rPr>
                <w:rFonts w:hint="eastAsia"/>
                <w:color w:val="auto"/>
              </w:rPr>
              <w:t>●未改变</w:t>
            </w:r>
          </w:p>
        </w:tc>
        <w:tc>
          <w:tcPr>
            <w:tcW w:w="1106" w:type="dxa"/>
          </w:tcPr>
          <w:p>
            <w:pPr>
              <w:rPr>
                <w:color w:val="auto"/>
              </w:rPr>
            </w:pPr>
            <w:r>
              <w:rPr>
                <w:rFonts w:hint="eastAsia"/>
                <w:color w:val="auto"/>
              </w:rPr>
              <w:t>●未改变</w:t>
            </w:r>
          </w:p>
        </w:tc>
        <w:tc>
          <w:tcPr>
            <w:tcW w:w="2190" w:type="dxa"/>
          </w:tcPr>
          <w:p>
            <w:pPr>
              <w:rPr>
                <w:color w:val="auto"/>
              </w:rPr>
            </w:pPr>
            <w:r>
              <w:rPr>
                <w:rFonts w:hint="eastAsia"/>
                <w:color w:val="auto"/>
              </w:rPr>
              <w:t>●未改变</w:t>
            </w:r>
          </w:p>
        </w:tc>
        <w:tc>
          <w:tcPr>
            <w:tcW w:w="2241" w:type="dxa"/>
          </w:tcPr>
          <w:p>
            <w:pPr>
              <w:rPr>
                <w:color w:val="auto"/>
              </w:rPr>
            </w:pPr>
            <w:r>
              <w:rPr>
                <w:rFonts w:hint="eastAsia"/>
                <w:color w:val="auto"/>
              </w:rPr>
              <w:t>●未改变</w:t>
            </w:r>
          </w:p>
        </w:tc>
        <w:tc>
          <w:tcPr>
            <w:tcW w:w="1121"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r>
              <w:rPr>
                <w:rFonts w:hint="eastAsia" w:asciiTheme="minorEastAsia" w:hAnsiTheme="minorEastAsia"/>
                <w:color w:val="auto"/>
              </w:rPr>
              <w:t>√</w:t>
            </w:r>
          </w:p>
        </w:tc>
        <w:tc>
          <w:tcPr>
            <w:tcW w:w="1542" w:type="dxa"/>
          </w:tcPr>
          <w:p>
            <w:pPr>
              <w:rPr>
                <w:color w:val="auto"/>
              </w:rPr>
            </w:pPr>
            <w:r>
              <w:rPr>
                <w:rFonts w:hint="eastAsia" w:asciiTheme="minorEastAsia" w:hAnsiTheme="minorEastAsia"/>
                <w:color w:val="auto"/>
              </w:rPr>
              <w:t>●</w:t>
            </w:r>
            <w:r>
              <w:rPr>
                <w:rFonts w:hint="eastAsia"/>
                <w:color w:val="auto"/>
              </w:rPr>
              <w:t>自然破坏</w:t>
            </w:r>
          </w:p>
          <w:p>
            <w:pPr>
              <w:rPr>
                <w:color w:val="auto"/>
              </w:rPr>
            </w:pPr>
            <w:r>
              <w:rPr>
                <w:rFonts w:hint="eastAsia" w:asciiTheme="minorEastAsia" w:hAnsiTheme="minorEastAsia"/>
                <w:color w:val="auto"/>
              </w:rPr>
              <w:t>●</w:t>
            </w:r>
            <w:r>
              <w:rPr>
                <w:rFonts w:hint="eastAsia"/>
                <w:color w:val="auto"/>
              </w:rPr>
              <w:t>年久失修</w:t>
            </w:r>
          </w:p>
          <w:p>
            <w:pPr>
              <w:rPr>
                <w:color w:val="auto"/>
              </w:rPr>
            </w:pPr>
            <w:r>
              <w:rPr>
                <w:rFonts w:hint="eastAsia" w:asciiTheme="minorEastAsia" w:hAnsiTheme="minorEastAsia"/>
                <w:color w:val="auto"/>
              </w:rPr>
              <w:t>●</w:t>
            </w:r>
            <w:r>
              <w:rPr>
                <w:rFonts w:hint="eastAsia"/>
                <w:color w:val="auto"/>
              </w:rPr>
              <w:t>人为拆改</w:t>
            </w:r>
          </w:p>
        </w:tc>
        <w:tc>
          <w:tcPr>
            <w:tcW w:w="2826" w:type="dxa"/>
          </w:tcPr>
          <w:p>
            <w:pPr>
              <w:rPr>
                <w:color w:val="auto"/>
              </w:rPr>
            </w:pPr>
            <w:r>
              <w:rPr>
                <w:rFonts w:hint="eastAsia" w:asciiTheme="minorEastAsia" w:hAnsiTheme="minorEastAsia"/>
                <w:color w:val="auto"/>
              </w:rPr>
              <w:t>●编制维修方案及保护规划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32</w:t>
            </w:r>
          </w:p>
        </w:tc>
        <w:tc>
          <w:tcPr>
            <w:tcW w:w="1696" w:type="dxa"/>
          </w:tcPr>
          <w:p>
            <w:pPr>
              <w:rPr>
                <w:color w:val="auto"/>
              </w:rPr>
            </w:pPr>
            <w:r>
              <w:rPr>
                <w:rFonts w:hint="eastAsia"/>
                <w:color w:val="auto"/>
              </w:rPr>
              <w:t>大亚湾核电站</w:t>
            </w:r>
          </w:p>
        </w:tc>
        <w:tc>
          <w:tcPr>
            <w:tcW w:w="2074" w:type="dxa"/>
          </w:tcPr>
          <w:p>
            <w:pPr>
              <w:rPr>
                <w:color w:val="auto"/>
              </w:rPr>
            </w:pPr>
            <w:r>
              <w:rPr>
                <w:rFonts w:hint="eastAsia"/>
                <w:color w:val="auto"/>
              </w:rPr>
              <w:t>●使用中</w:t>
            </w:r>
          </w:p>
        </w:tc>
        <w:tc>
          <w:tcPr>
            <w:tcW w:w="1513" w:type="dxa"/>
          </w:tcPr>
          <w:p>
            <w:pPr>
              <w:rPr>
                <w:color w:val="auto"/>
              </w:rPr>
            </w:pPr>
            <w:r>
              <w:rPr>
                <w:rFonts w:hint="eastAsia"/>
                <w:color w:val="auto"/>
              </w:rPr>
              <w:t>●较好</w:t>
            </w:r>
          </w:p>
        </w:tc>
        <w:tc>
          <w:tcPr>
            <w:tcW w:w="1219" w:type="dxa"/>
          </w:tcPr>
          <w:p>
            <w:pPr>
              <w:rPr>
                <w:color w:val="auto"/>
              </w:rPr>
            </w:pPr>
            <w:r>
              <w:rPr>
                <w:rFonts w:hint="eastAsia"/>
                <w:color w:val="auto"/>
              </w:rPr>
              <w:t>●未改变</w:t>
            </w:r>
          </w:p>
        </w:tc>
        <w:tc>
          <w:tcPr>
            <w:tcW w:w="1106" w:type="dxa"/>
          </w:tcPr>
          <w:p>
            <w:pPr>
              <w:rPr>
                <w:color w:val="auto"/>
              </w:rPr>
            </w:pPr>
            <w:r>
              <w:rPr>
                <w:rFonts w:hint="eastAsia"/>
                <w:color w:val="auto"/>
              </w:rPr>
              <w:t>●未改变</w:t>
            </w:r>
          </w:p>
        </w:tc>
        <w:tc>
          <w:tcPr>
            <w:tcW w:w="2190" w:type="dxa"/>
          </w:tcPr>
          <w:p>
            <w:pPr>
              <w:rPr>
                <w:color w:val="auto"/>
              </w:rPr>
            </w:pPr>
            <w:r>
              <w:rPr>
                <w:rFonts w:hint="eastAsia"/>
                <w:color w:val="auto"/>
              </w:rPr>
              <w:t>●未改变</w:t>
            </w:r>
          </w:p>
        </w:tc>
        <w:tc>
          <w:tcPr>
            <w:tcW w:w="2241" w:type="dxa"/>
          </w:tcPr>
          <w:p>
            <w:pPr>
              <w:rPr>
                <w:color w:val="auto"/>
              </w:rPr>
            </w:pPr>
            <w:r>
              <w:rPr>
                <w:rFonts w:hint="eastAsia"/>
                <w:color w:val="auto"/>
              </w:rPr>
              <w:t>●未改变</w:t>
            </w:r>
          </w:p>
        </w:tc>
        <w:tc>
          <w:tcPr>
            <w:tcW w:w="1121"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使用升级致使结构体系变化</w:t>
            </w:r>
          </w:p>
        </w:tc>
        <w:tc>
          <w:tcPr>
            <w:tcW w:w="2826" w:type="dxa"/>
          </w:tcPr>
          <w:p>
            <w:pPr>
              <w:rPr>
                <w:color w:val="auto"/>
              </w:rPr>
            </w:pPr>
            <w:r>
              <w:rPr>
                <w:rFonts w:hint="eastAsia" w:asciiTheme="minorEastAsia" w:hAnsiTheme="minorEastAsia"/>
                <w:color w:val="auto"/>
              </w:rPr>
              <w:t>●使用升级改造时进行安全性评估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33</w:t>
            </w:r>
          </w:p>
        </w:tc>
        <w:tc>
          <w:tcPr>
            <w:tcW w:w="1696" w:type="dxa"/>
          </w:tcPr>
          <w:p>
            <w:pPr>
              <w:rPr>
                <w:color w:val="auto"/>
              </w:rPr>
            </w:pPr>
            <w:r>
              <w:rPr>
                <w:rFonts w:hint="eastAsia"/>
                <w:color w:val="auto"/>
              </w:rPr>
              <w:t>鹤薮小学</w:t>
            </w:r>
          </w:p>
        </w:tc>
        <w:tc>
          <w:tcPr>
            <w:tcW w:w="2074" w:type="dxa"/>
          </w:tcPr>
          <w:p>
            <w:pPr>
              <w:rPr>
                <w:color w:val="auto"/>
              </w:rPr>
            </w:pPr>
            <w:r>
              <w:rPr>
                <w:rFonts w:hint="eastAsia"/>
                <w:color w:val="auto"/>
              </w:rPr>
              <w:t>●使用中</w:t>
            </w:r>
          </w:p>
        </w:tc>
        <w:tc>
          <w:tcPr>
            <w:tcW w:w="1513" w:type="dxa"/>
          </w:tcPr>
          <w:p>
            <w:pPr>
              <w:rPr>
                <w:color w:val="auto"/>
              </w:rPr>
            </w:pPr>
            <w:r>
              <w:rPr>
                <w:rFonts w:hint="eastAsia"/>
                <w:color w:val="auto"/>
              </w:rPr>
              <w:t>●较好</w:t>
            </w:r>
          </w:p>
        </w:tc>
        <w:tc>
          <w:tcPr>
            <w:tcW w:w="1219" w:type="dxa"/>
          </w:tcPr>
          <w:p>
            <w:pPr>
              <w:rPr>
                <w:color w:val="auto"/>
              </w:rPr>
            </w:pPr>
            <w:r>
              <w:rPr>
                <w:rFonts w:hint="eastAsia"/>
                <w:color w:val="auto"/>
              </w:rPr>
              <w:t>●未改变</w:t>
            </w:r>
          </w:p>
        </w:tc>
        <w:tc>
          <w:tcPr>
            <w:tcW w:w="1106" w:type="dxa"/>
          </w:tcPr>
          <w:p>
            <w:pPr>
              <w:rPr>
                <w:color w:val="auto"/>
              </w:rPr>
            </w:pPr>
            <w:r>
              <w:rPr>
                <w:rFonts w:hint="eastAsia"/>
                <w:color w:val="auto"/>
              </w:rPr>
              <w:t>●未改变</w:t>
            </w:r>
          </w:p>
        </w:tc>
        <w:tc>
          <w:tcPr>
            <w:tcW w:w="2190" w:type="dxa"/>
          </w:tcPr>
          <w:p>
            <w:pPr>
              <w:rPr>
                <w:color w:val="auto"/>
              </w:rPr>
            </w:pPr>
            <w:r>
              <w:rPr>
                <w:rFonts w:hint="eastAsia"/>
                <w:color w:val="auto"/>
              </w:rPr>
              <w:t>●未改变</w:t>
            </w:r>
          </w:p>
        </w:tc>
        <w:tc>
          <w:tcPr>
            <w:tcW w:w="2241" w:type="dxa"/>
          </w:tcPr>
          <w:p>
            <w:pPr>
              <w:rPr>
                <w:color w:val="auto"/>
              </w:rPr>
            </w:pPr>
            <w:r>
              <w:rPr>
                <w:rFonts w:hint="eastAsia"/>
                <w:color w:val="auto"/>
              </w:rPr>
              <w:t>●未改变</w:t>
            </w:r>
          </w:p>
        </w:tc>
        <w:tc>
          <w:tcPr>
            <w:tcW w:w="1121" w:type="dxa"/>
            <w:vAlign w:val="center"/>
          </w:tcPr>
          <w:p>
            <w:pPr>
              <w:jc w:val="cente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自然破坏</w:t>
            </w:r>
          </w:p>
          <w:p>
            <w:pPr>
              <w:rPr>
                <w:color w:val="auto"/>
              </w:rPr>
            </w:pPr>
            <w:r>
              <w:rPr>
                <w:rFonts w:hint="eastAsia" w:asciiTheme="minorEastAsia" w:hAnsiTheme="minorEastAsia"/>
                <w:color w:val="auto"/>
              </w:rPr>
              <w:t>●</w:t>
            </w:r>
            <w:r>
              <w:rPr>
                <w:rFonts w:hint="eastAsia"/>
                <w:color w:val="auto"/>
              </w:rPr>
              <w:t>年久失修</w:t>
            </w:r>
          </w:p>
          <w:p>
            <w:pPr>
              <w:rPr>
                <w:color w:val="auto"/>
              </w:rPr>
            </w:pPr>
            <w:r>
              <w:rPr>
                <w:rFonts w:hint="eastAsia" w:asciiTheme="minorEastAsia" w:hAnsiTheme="minorEastAsia"/>
                <w:color w:val="auto"/>
              </w:rPr>
              <w:t>●</w:t>
            </w:r>
            <w:r>
              <w:rPr>
                <w:rFonts w:hint="eastAsia"/>
                <w:color w:val="auto"/>
              </w:rPr>
              <w:t>人为拆改</w:t>
            </w:r>
          </w:p>
        </w:tc>
        <w:tc>
          <w:tcPr>
            <w:tcW w:w="2826" w:type="dxa"/>
          </w:tcPr>
          <w:p>
            <w:pPr>
              <w:rPr>
                <w:color w:val="auto"/>
              </w:rPr>
            </w:pPr>
            <w:r>
              <w:rPr>
                <w:rFonts w:hint="eastAsia" w:asciiTheme="minorEastAsia" w:hAnsiTheme="minorEastAsia"/>
                <w:color w:val="auto"/>
              </w:rPr>
              <w:t>●维修与展示同步进行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34</w:t>
            </w:r>
          </w:p>
        </w:tc>
        <w:tc>
          <w:tcPr>
            <w:tcW w:w="1696" w:type="dxa"/>
          </w:tcPr>
          <w:p>
            <w:pPr>
              <w:rPr>
                <w:color w:val="auto"/>
              </w:rPr>
            </w:pPr>
            <w:r>
              <w:rPr>
                <w:rFonts w:hint="eastAsia"/>
                <w:color w:val="auto"/>
              </w:rPr>
              <w:t>中英街历史博物馆</w:t>
            </w:r>
          </w:p>
        </w:tc>
        <w:tc>
          <w:tcPr>
            <w:tcW w:w="2074" w:type="dxa"/>
          </w:tcPr>
          <w:p>
            <w:pPr>
              <w:rPr>
                <w:color w:val="auto"/>
              </w:rPr>
            </w:pPr>
            <w:r>
              <w:rPr>
                <w:rFonts w:hint="eastAsia"/>
                <w:color w:val="auto"/>
              </w:rPr>
              <w:t>●使用中</w:t>
            </w:r>
          </w:p>
        </w:tc>
        <w:tc>
          <w:tcPr>
            <w:tcW w:w="1513" w:type="dxa"/>
          </w:tcPr>
          <w:p>
            <w:pPr>
              <w:rPr>
                <w:color w:val="auto"/>
              </w:rPr>
            </w:pPr>
            <w:r>
              <w:rPr>
                <w:rFonts w:hint="eastAsia"/>
                <w:color w:val="auto"/>
              </w:rPr>
              <w:t>●较好</w:t>
            </w:r>
          </w:p>
        </w:tc>
        <w:tc>
          <w:tcPr>
            <w:tcW w:w="1219" w:type="dxa"/>
          </w:tcPr>
          <w:p>
            <w:pPr>
              <w:rPr>
                <w:color w:val="auto"/>
              </w:rPr>
            </w:pPr>
            <w:r>
              <w:rPr>
                <w:rFonts w:hint="eastAsia"/>
                <w:color w:val="auto"/>
              </w:rPr>
              <w:t>●未改变</w:t>
            </w:r>
          </w:p>
        </w:tc>
        <w:tc>
          <w:tcPr>
            <w:tcW w:w="1106" w:type="dxa"/>
          </w:tcPr>
          <w:p>
            <w:pPr>
              <w:rPr>
                <w:color w:val="auto"/>
              </w:rPr>
            </w:pPr>
            <w:r>
              <w:rPr>
                <w:rFonts w:hint="eastAsia"/>
                <w:color w:val="auto"/>
              </w:rPr>
              <w:t>●未改变</w:t>
            </w:r>
          </w:p>
        </w:tc>
        <w:tc>
          <w:tcPr>
            <w:tcW w:w="2190" w:type="dxa"/>
          </w:tcPr>
          <w:p>
            <w:pPr>
              <w:rPr>
                <w:color w:val="auto"/>
              </w:rPr>
            </w:pPr>
            <w:r>
              <w:rPr>
                <w:rFonts w:hint="eastAsia"/>
                <w:color w:val="auto"/>
              </w:rPr>
              <w:t>●未改变</w:t>
            </w:r>
          </w:p>
        </w:tc>
        <w:tc>
          <w:tcPr>
            <w:tcW w:w="2241" w:type="dxa"/>
          </w:tcPr>
          <w:p>
            <w:pPr>
              <w:rPr>
                <w:color w:val="auto"/>
              </w:rPr>
            </w:pPr>
            <w:r>
              <w:rPr>
                <w:rFonts w:hint="eastAsia"/>
                <w:color w:val="auto"/>
              </w:rPr>
              <w:t>●未改变</w:t>
            </w:r>
          </w:p>
        </w:tc>
        <w:tc>
          <w:tcPr>
            <w:tcW w:w="1121" w:type="dxa"/>
            <w:vAlign w:val="center"/>
          </w:tcPr>
          <w:p>
            <w:pPr>
              <w:jc w:val="cente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rFonts w:hint="eastAsia"/>
                <w:color w:val="auto"/>
              </w:rPr>
              <w:t>日常维护与保养</w:t>
            </w:r>
          </w:p>
          <w:p>
            <w:pPr>
              <w:rPr>
                <w:color w:val="auto"/>
              </w:rPr>
            </w:pPr>
            <w:r>
              <w:rPr>
                <w:rFonts w:hint="eastAsia" w:asciiTheme="minorEastAsia" w:hAnsiTheme="minorEastAsia"/>
                <w:color w:val="auto"/>
              </w:rPr>
              <w:t>●</w:t>
            </w:r>
            <w:r>
              <w:rPr>
                <w:rFonts w:hint="eastAsia"/>
                <w:color w:val="auto"/>
              </w:rPr>
              <w:t>专设展览空间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35</w:t>
            </w:r>
          </w:p>
        </w:tc>
        <w:tc>
          <w:tcPr>
            <w:tcW w:w="1696" w:type="dxa"/>
          </w:tcPr>
          <w:p>
            <w:pPr>
              <w:rPr>
                <w:color w:val="auto"/>
              </w:rPr>
            </w:pPr>
            <w:r>
              <w:rPr>
                <w:rFonts w:hint="eastAsia"/>
                <w:color w:val="auto"/>
              </w:rPr>
              <w:t>盐田港国际集装箱码头</w:t>
            </w:r>
          </w:p>
        </w:tc>
        <w:tc>
          <w:tcPr>
            <w:tcW w:w="2074" w:type="dxa"/>
          </w:tcPr>
          <w:p>
            <w:pPr>
              <w:rPr>
                <w:color w:val="auto"/>
              </w:rPr>
            </w:pPr>
            <w:r>
              <w:rPr>
                <w:rFonts w:hint="eastAsia"/>
                <w:color w:val="auto"/>
              </w:rPr>
              <w:t>●使用中</w:t>
            </w:r>
          </w:p>
        </w:tc>
        <w:tc>
          <w:tcPr>
            <w:tcW w:w="1513" w:type="dxa"/>
          </w:tcPr>
          <w:p>
            <w:pPr>
              <w:rPr>
                <w:color w:val="auto"/>
              </w:rPr>
            </w:pPr>
            <w:r>
              <w:rPr>
                <w:rFonts w:hint="eastAsia"/>
                <w:color w:val="auto"/>
              </w:rPr>
              <w:t>●较好</w:t>
            </w:r>
          </w:p>
        </w:tc>
        <w:tc>
          <w:tcPr>
            <w:tcW w:w="1219" w:type="dxa"/>
          </w:tcPr>
          <w:p>
            <w:pPr>
              <w:rPr>
                <w:color w:val="auto"/>
              </w:rPr>
            </w:pPr>
            <w:r>
              <w:rPr>
                <w:rFonts w:hint="eastAsia"/>
                <w:color w:val="auto"/>
              </w:rPr>
              <w:t>●未改变</w:t>
            </w:r>
          </w:p>
        </w:tc>
        <w:tc>
          <w:tcPr>
            <w:tcW w:w="1106" w:type="dxa"/>
          </w:tcPr>
          <w:p>
            <w:pPr>
              <w:rPr>
                <w:color w:val="auto"/>
              </w:rPr>
            </w:pPr>
            <w:r>
              <w:rPr>
                <w:rFonts w:hint="eastAsia"/>
                <w:color w:val="auto"/>
              </w:rPr>
              <w:t>●未改变</w:t>
            </w:r>
          </w:p>
        </w:tc>
        <w:tc>
          <w:tcPr>
            <w:tcW w:w="2190" w:type="dxa"/>
          </w:tcPr>
          <w:p>
            <w:pPr>
              <w:rPr>
                <w:color w:val="auto"/>
              </w:rPr>
            </w:pPr>
            <w:r>
              <w:rPr>
                <w:rFonts w:hint="eastAsia"/>
                <w:color w:val="auto"/>
              </w:rPr>
              <w:t>●未改变</w:t>
            </w:r>
          </w:p>
        </w:tc>
        <w:tc>
          <w:tcPr>
            <w:tcW w:w="2241" w:type="dxa"/>
          </w:tcPr>
          <w:p>
            <w:pPr>
              <w:rPr>
                <w:color w:val="auto"/>
              </w:rPr>
            </w:pPr>
            <w:r>
              <w:rPr>
                <w:rFonts w:hint="eastAsia"/>
                <w:color w:val="auto"/>
              </w:rPr>
              <w:t>●未改变</w:t>
            </w:r>
          </w:p>
        </w:tc>
        <w:tc>
          <w:tcPr>
            <w:tcW w:w="1121" w:type="dxa"/>
            <w:vAlign w:val="center"/>
          </w:tcPr>
          <w:p>
            <w:pPr>
              <w:jc w:val="center"/>
              <w:rPr>
                <w:color w:val="auto"/>
              </w:rPr>
            </w:pPr>
          </w:p>
        </w:tc>
        <w:tc>
          <w:tcPr>
            <w:tcW w:w="704" w:type="dxa"/>
            <w:vAlign w:val="center"/>
          </w:tcPr>
          <w:p>
            <w:pPr>
              <w:jc w:val="center"/>
              <w:rPr>
                <w:color w:val="auto"/>
              </w:rPr>
            </w:pP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rFonts w:hint="eastAsia"/>
                <w:color w:val="auto"/>
              </w:rPr>
              <w:t>专设展览空间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36</w:t>
            </w:r>
          </w:p>
        </w:tc>
        <w:tc>
          <w:tcPr>
            <w:tcW w:w="1696" w:type="dxa"/>
          </w:tcPr>
          <w:p>
            <w:pPr>
              <w:rPr>
                <w:color w:val="auto"/>
              </w:rPr>
            </w:pPr>
            <w:r>
              <w:rPr>
                <w:rFonts w:hint="eastAsia"/>
                <w:color w:val="auto"/>
              </w:rPr>
              <w:t>沙头角保税区</w:t>
            </w:r>
          </w:p>
        </w:tc>
        <w:tc>
          <w:tcPr>
            <w:tcW w:w="2074" w:type="dxa"/>
          </w:tcPr>
          <w:p>
            <w:pPr>
              <w:rPr>
                <w:color w:val="auto"/>
              </w:rPr>
            </w:pPr>
            <w:r>
              <w:rPr>
                <w:rFonts w:hint="eastAsia"/>
                <w:color w:val="auto"/>
              </w:rPr>
              <w:t>●使用中</w:t>
            </w:r>
          </w:p>
        </w:tc>
        <w:tc>
          <w:tcPr>
            <w:tcW w:w="1513" w:type="dxa"/>
          </w:tcPr>
          <w:p>
            <w:pPr>
              <w:rPr>
                <w:color w:val="auto"/>
              </w:rPr>
            </w:pPr>
            <w:r>
              <w:rPr>
                <w:rFonts w:hint="eastAsia"/>
                <w:color w:val="auto"/>
              </w:rPr>
              <w:t>●较好</w:t>
            </w:r>
          </w:p>
        </w:tc>
        <w:tc>
          <w:tcPr>
            <w:tcW w:w="1219" w:type="dxa"/>
          </w:tcPr>
          <w:p>
            <w:pPr>
              <w:rPr>
                <w:color w:val="auto"/>
              </w:rPr>
            </w:pPr>
            <w:r>
              <w:rPr>
                <w:rFonts w:hint="eastAsia"/>
                <w:color w:val="auto"/>
              </w:rPr>
              <w:t>●未改变</w:t>
            </w:r>
          </w:p>
        </w:tc>
        <w:tc>
          <w:tcPr>
            <w:tcW w:w="1106" w:type="dxa"/>
          </w:tcPr>
          <w:p>
            <w:pPr>
              <w:rPr>
                <w:color w:val="auto"/>
              </w:rPr>
            </w:pPr>
            <w:r>
              <w:rPr>
                <w:rFonts w:hint="eastAsia"/>
                <w:color w:val="auto"/>
              </w:rPr>
              <w:t>●未改变</w:t>
            </w:r>
          </w:p>
        </w:tc>
        <w:tc>
          <w:tcPr>
            <w:tcW w:w="2190" w:type="dxa"/>
          </w:tcPr>
          <w:p>
            <w:pPr>
              <w:rPr>
                <w:color w:val="auto"/>
              </w:rPr>
            </w:pPr>
            <w:r>
              <w:rPr>
                <w:rFonts w:hint="eastAsia"/>
                <w:color w:val="auto"/>
              </w:rPr>
              <w:t>●未改变</w:t>
            </w:r>
          </w:p>
        </w:tc>
        <w:tc>
          <w:tcPr>
            <w:tcW w:w="2241" w:type="dxa"/>
          </w:tcPr>
          <w:p>
            <w:pPr>
              <w:rPr>
                <w:color w:val="auto"/>
              </w:rPr>
            </w:pPr>
            <w:r>
              <w:rPr>
                <w:rFonts w:hint="eastAsia"/>
                <w:color w:val="auto"/>
              </w:rPr>
              <w:t>●未改变</w:t>
            </w:r>
          </w:p>
        </w:tc>
        <w:tc>
          <w:tcPr>
            <w:tcW w:w="1121" w:type="dxa"/>
            <w:vAlign w:val="center"/>
          </w:tcPr>
          <w:p>
            <w:pPr>
              <w:jc w:val="center"/>
              <w:rPr>
                <w:color w:val="auto"/>
              </w:rPr>
            </w:pPr>
          </w:p>
        </w:tc>
        <w:tc>
          <w:tcPr>
            <w:tcW w:w="704" w:type="dxa"/>
            <w:vAlign w:val="center"/>
          </w:tcPr>
          <w:p>
            <w:pPr>
              <w:jc w:val="center"/>
              <w:rPr>
                <w:color w:val="auto"/>
              </w:rPr>
            </w:pP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rFonts w:hint="eastAsia"/>
                <w:color w:val="auto"/>
              </w:rPr>
              <w:t>专设展览空间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37</w:t>
            </w:r>
          </w:p>
        </w:tc>
        <w:tc>
          <w:tcPr>
            <w:tcW w:w="1696" w:type="dxa"/>
          </w:tcPr>
          <w:p>
            <w:pPr>
              <w:rPr>
                <w:color w:val="auto"/>
              </w:rPr>
            </w:pPr>
            <w:r>
              <w:rPr>
                <w:rFonts w:hint="eastAsia"/>
                <w:color w:val="auto"/>
              </w:rPr>
              <w:t>大芬油画村（胜发店铺、第一个油画工坊）</w:t>
            </w:r>
          </w:p>
        </w:tc>
        <w:tc>
          <w:tcPr>
            <w:tcW w:w="2074" w:type="dxa"/>
          </w:tcPr>
          <w:p>
            <w:pPr>
              <w:rPr>
                <w:color w:val="auto"/>
              </w:rPr>
            </w:pPr>
            <w:r>
              <w:rPr>
                <w:rFonts w:hint="eastAsia"/>
                <w:color w:val="auto"/>
              </w:rPr>
              <w:t>●使用中</w:t>
            </w:r>
          </w:p>
        </w:tc>
        <w:tc>
          <w:tcPr>
            <w:tcW w:w="1513" w:type="dxa"/>
          </w:tcPr>
          <w:p>
            <w:pPr>
              <w:rPr>
                <w:color w:val="auto"/>
              </w:rPr>
            </w:pPr>
            <w:r>
              <w:rPr>
                <w:rFonts w:hint="eastAsia"/>
                <w:color w:val="auto"/>
              </w:rPr>
              <w:t>●较好</w:t>
            </w:r>
          </w:p>
        </w:tc>
        <w:tc>
          <w:tcPr>
            <w:tcW w:w="1219" w:type="dxa"/>
          </w:tcPr>
          <w:p>
            <w:pPr>
              <w:rPr>
                <w:color w:val="auto"/>
              </w:rPr>
            </w:pPr>
            <w:r>
              <w:rPr>
                <w:rFonts w:hint="eastAsia"/>
                <w:color w:val="auto"/>
              </w:rPr>
              <w:t>●未改变</w:t>
            </w:r>
          </w:p>
        </w:tc>
        <w:tc>
          <w:tcPr>
            <w:tcW w:w="1106" w:type="dxa"/>
          </w:tcPr>
          <w:p>
            <w:pPr>
              <w:rPr>
                <w:color w:val="auto"/>
              </w:rPr>
            </w:pPr>
            <w:r>
              <w:rPr>
                <w:rFonts w:hint="eastAsia"/>
                <w:color w:val="auto"/>
              </w:rPr>
              <w:t>●未改变</w:t>
            </w:r>
          </w:p>
        </w:tc>
        <w:tc>
          <w:tcPr>
            <w:tcW w:w="2190" w:type="dxa"/>
          </w:tcPr>
          <w:p>
            <w:pPr>
              <w:rPr>
                <w:color w:val="auto"/>
              </w:rPr>
            </w:pPr>
            <w:r>
              <w:rPr>
                <w:rFonts w:hint="eastAsia"/>
                <w:color w:val="auto"/>
              </w:rPr>
              <w:t>●未改变</w:t>
            </w:r>
          </w:p>
          <w:p>
            <w:pPr>
              <w:rPr>
                <w:color w:val="auto"/>
              </w:rPr>
            </w:pPr>
            <w:r>
              <w:rPr>
                <w:rFonts w:hint="eastAsia"/>
                <w:color w:val="auto"/>
              </w:rPr>
              <w:t>●立面污渍、水渍、电线凌乱、存在安全隐患</w:t>
            </w:r>
          </w:p>
        </w:tc>
        <w:tc>
          <w:tcPr>
            <w:tcW w:w="2241" w:type="dxa"/>
          </w:tcPr>
          <w:p>
            <w:pPr>
              <w:rPr>
                <w:color w:val="auto"/>
              </w:rPr>
            </w:pPr>
            <w:r>
              <w:rPr>
                <w:rFonts w:hint="eastAsia"/>
                <w:color w:val="auto"/>
              </w:rPr>
              <w:t>●未改变</w:t>
            </w:r>
          </w:p>
          <w:p>
            <w:pPr>
              <w:rPr>
                <w:color w:val="auto"/>
              </w:rPr>
            </w:pPr>
          </w:p>
        </w:tc>
        <w:tc>
          <w:tcPr>
            <w:tcW w:w="1121" w:type="dxa"/>
            <w:vAlign w:val="center"/>
          </w:tcPr>
          <w:p>
            <w:pPr>
              <w:jc w:val="center"/>
              <w:rPr>
                <w:color w:val="auto"/>
              </w:rPr>
            </w:pPr>
          </w:p>
        </w:tc>
        <w:tc>
          <w:tcPr>
            <w:tcW w:w="704" w:type="dxa"/>
            <w:vAlign w:val="center"/>
          </w:tcPr>
          <w:p>
            <w:pPr>
              <w:jc w:val="center"/>
              <w:rPr>
                <w:color w:val="auto"/>
              </w:rPr>
            </w:pP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立面电线</w:t>
            </w:r>
          </w:p>
        </w:tc>
        <w:tc>
          <w:tcPr>
            <w:tcW w:w="2826" w:type="dxa"/>
          </w:tcPr>
          <w:p>
            <w:pPr>
              <w:rPr>
                <w:color w:val="auto"/>
              </w:rPr>
            </w:pPr>
            <w:r>
              <w:rPr>
                <w:rFonts w:hint="eastAsia" w:asciiTheme="minorEastAsia" w:hAnsiTheme="minorEastAsia"/>
                <w:color w:val="auto"/>
              </w:rPr>
              <w:t>●</w:t>
            </w:r>
            <w:r>
              <w:rPr>
                <w:rFonts w:hint="eastAsia"/>
                <w:color w:val="auto"/>
              </w:rPr>
              <w:t>编制维修方案、制作展示标识牌</w:t>
            </w: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38</w:t>
            </w:r>
          </w:p>
        </w:tc>
        <w:tc>
          <w:tcPr>
            <w:tcW w:w="1696" w:type="dxa"/>
          </w:tcPr>
          <w:p>
            <w:pPr>
              <w:rPr>
                <w:color w:val="auto"/>
              </w:rPr>
            </w:pPr>
            <w:r>
              <w:rPr>
                <w:rFonts w:hint="eastAsia"/>
                <w:color w:val="auto"/>
              </w:rPr>
              <w:t>南岭村（村委办公楼——会议室，社区党群服务中心）</w:t>
            </w:r>
          </w:p>
        </w:tc>
        <w:tc>
          <w:tcPr>
            <w:tcW w:w="2074" w:type="dxa"/>
          </w:tcPr>
          <w:p>
            <w:pPr>
              <w:rPr>
                <w:color w:val="auto"/>
              </w:rPr>
            </w:pPr>
            <w:r>
              <w:rPr>
                <w:rFonts w:hint="eastAsia"/>
                <w:color w:val="auto"/>
              </w:rPr>
              <w:t>●使用中</w:t>
            </w:r>
          </w:p>
        </w:tc>
        <w:tc>
          <w:tcPr>
            <w:tcW w:w="1513" w:type="dxa"/>
          </w:tcPr>
          <w:p>
            <w:pPr>
              <w:rPr>
                <w:color w:val="auto"/>
              </w:rPr>
            </w:pPr>
            <w:r>
              <w:rPr>
                <w:rFonts w:hint="eastAsia"/>
                <w:color w:val="auto"/>
              </w:rPr>
              <w:t>●较好</w:t>
            </w:r>
          </w:p>
        </w:tc>
        <w:tc>
          <w:tcPr>
            <w:tcW w:w="1219" w:type="dxa"/>
          </w:tcPr>
          <w:p>
            <w:pPr>
              <w:rPr>
                <w:color w:val="auto"/>
              </w:rPr>
            </w:pPr>
            <w:r>
              <w:rPr>
                <w:rFonts w:hint="eastAsia"/>
                <w:color w:val="auto"/>
              </w:rPr>
              <w:t>●未改变</w:t>
            </w:r>
          </w:p>
        </w:tc>
        <w:tc>
          <w:tcPr>
            <w:tcW w:w="1106" w:type="dxa"/>
          </w:tcPr>
          <w:p>
            <w:pPr>
              <w:rPr>
                <w:color w:val="auto"/>
              </w:rPr>
            </w:pPr>
            <w:r>
              <w:rPr>
                <w:rFonts w:hint="eastAsia"/>
                <w:color w:val="auto"/>
              </w:rPr>
              <w:t>●未改变</w:t>
            </w:r>
          </w:p>
        </w:tc>
        <w:tc>
          <w:tcPr>
            <w:tcW w:w="2190" w:type="dxa"/>
          </w:tcPr>
          <w:p>
            <w:pPr>
              <w:rPr>
                <w:color w:val="auto"/>
              </w:rPr>
            </w:pPr>
            <w:r>
              <w:rPr>
                <w:rFonts w:hint="eastAsia"/>
                <w:color w:val="auto"/>
              </w:rPr>
              <w:t>●未改变</w:t>
            </w:r>
          </w:p>
          <w:p>
            <w:pPr>
              <w:rPr>
                <w:color w:val="auto"/>
              </w:rPr>
            </w:pPr>
          </w:p>
        </w:tc>
        <w:tc>
          <w:tcPr>
            <w:tcW w:w="2241" w:type="dxa"/>
          </w:tcPr>
          <w:p>
            <w:pPr>
              <w:rPr>
                <w:color w:val="auto"/>
              </w:rPr>
            </w:pPr>
            <w:r>
              <w:rPr>
                <w:rFonts w:hint="eastAsia"/>
                <w:color w:val="auto"/>
              </w:rPr>
              <w:t>●局部改变</w:t>
            </w:r>
          </w:p>
          <w:p>
            <w:pPr>
              <w:rPr>
                <w:color w:val="auto"/>
              </w:rPr>
            </w:pPr>
          </w:p>
        </w:tc>
        <w:tc>
          <w:tcPr>
            <w:tcW w:w="1121" w:type="dxa"/>
            <w:vAlign w:val="center"/>
          </w:tcPr>
          <w:p>
            <w:pPr>
              <w:jc w:val="center"/>
              <w:rPr>
                <w:color w:val="auto"/>
              </w:rPr>
            </w:pPr>
          </w:p>
        </w:tc>
        <w:tc>
          <w:tcPr>
            <w:tcW w:w="704" w:type="dxa"/>
            <w:vAlign w:val="center"/>
          </w:tcPr>
          <w:p>
            <w:pPr>
              <w:jc w:val="center"/>
              <w:rPr>
                <w:color w:val="auto"/>
              </w:rPr>
            </w:pP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r>
              <w:rPr>
                <w:rFonts w:hint="eastAsia" w:asciiTheme="minorEastAsia" w:hAnsiTheme="minorEastAsia"/>
                <w:color w:val="auto"/>
              </w:rPr>
              <w:t>√</w:t>
            </w: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rFonts w:hint="eastAsia"/>
                <w:color w:val="auto"/>
              </w:rPr>
              <w:t>日常维护与保养</w:t>
            </w:r>
          </w:p>
          <w:p>
            <w:pPr>
              <w:rPr>
                <w:color w:val="auto"/>
              </w:rPr>
            </w:pPr>
            <w:r>
              <w:rPr>
                <w:rFonts w:hint="eastAsia" w:asciiTheme="minorEastAsia" w:hAnsiTheme="minorEastAsia"/>
                <w:color w:val="auto"/>
              </w:rPr>
              <w:t>●</w:t>
            </w:r>
            <w:r>
              <w:rPr>
                <w:rFonts w:hint="eastAsia"/>
                <w:color w:val="auto"/>
              </w:rPr>
              <w:t>专设展览空间</w:t>
            </w: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39</w:t>
            </w:r>
          </w:p>
        </w:tc>
        <w:tc>
          <w:tcPr>
            <w:tcW w:w="1696" w:type="dxa"/>
          </w:tcPr>
          <w:p>
            <w:pPr>
              <w:rPr>
                <w:color w:val="auto"/>
              </w:rPr>
            </w:pPr>
            <w:r>
              <w:rPr>
                <w:rFonts w:hint="eastAsia"/>
                <w:color w:val="auto"/>
              </w:rPr>
              <w:t>光明街道糖厂</w:t>
            </w:r>
          </w:p>
        </w:tc>
        <w:tc>
          <w:tcPr>
            <w:tcW w:w="2074" w:type="dxa"/>
          </w:tcPr>
          <w:p>
            <w:pPr>
              <w:rPr>
                <w:color w:val="auto"/>
              </w:rPr>
            </w:pPr>
            <w:r>
              <w:rPr>
                <w:rFonts w:hint="eastAsia"/>
                <w:color w:val="auto"/>
              </w:rPr>
              <w:t>●废弃、闲置</w:t>
            </w:r>
          </w:p>
        </w:tc>
        <w:tc>
          <w:tcPr>
            <w:tcW w:w="1513" w:type="dxa"/>
          </w:tcPr>
          <w:p>
            <w:pPr>
              <w:rPr>
                <w:color w:val="auto"/>
              </w:rPr>
            </w:pPr>
            <w:r>
              <w:rPr>
                <w:rFonts w:hint="eastAsia"/>
                <w:color w:val="auto"/>
              </w:rPr>
              <w:t>●较差</w:t>
            </w:r>
          </w:p>
        </w:tc>
        <w:tc>
          <w:tcPr>
            <w:tcW w:w="1219" w:type="dxa"/>
          </w:tcPr>
          <w:p>
            <w:pPr>
              <w:rPr>
                <w:color w:val="auto"/>
              </w:rPr>
            </w:pPr>
            <w:r>
              <w:rPr>
                <w:rFonts w:hint="eastAsia"/>
                <w:color w:val="auto"/>
              </w:rPr>
              <w:t>●未改变</w:t>
            </w:r>
          </w:p>
        </w:tc>
        <w:tc>
          <w:tcPr>
            <w:tcW w:w="1106" w:type="dxa"/>
          </w:tcPr>
          <w:p>
            <w:pPr>
              <w:rPr>
                <w:color w:val="auto"/>
              </w:rPr>
            </w:pPr>
            <w:r>
              <w:rPr>
                <w:rFonts w:hint="eastAsia"/>
                <w:color w:val="auto"/>
              </w:rPr>
              <w:t>●未改变</w:t>
            </w:r>
          </w:p>
        </w:tc>
        <w:tc>
          <w:tcPr>
            <w:tcW w:w="2190" w:type="dxa"/>
          </w:tcPr>
          <w:p>
            <w:pPr>
              <w:rPr>
                <w:color w:val="auto"/>
              </w:rPr>
            </w:pPr>
            <w:r>
              <w:rPr>
                <w:rFonts w:hint="eastAsia"/>
                <w:color w:val="auto"/>
              </w:rPr>
              <w:t>●未改变</w:t>
            </w:r>
          </w:p>
          <w:p>
            <w:pPr>
              <w:rPr>
                <w:color w:val="auto"/>
              </w:rPr>
            </w:pPr>
          </w:p>
        </w:tc>
        <w:tc>
          <w:tcPr>
            <w:tcW w:w="2241" w:type="dxa"/>
          </w:tcPr>
          <w:p>
            <w:pPr>
              <w:rPr>
                <w:color w:val="auto"/>
              </w:rPr>
            </w:pPr>
            <w:r>
              <w:rPr>
                <w:rFonts w:hint="eastAsia"/>
                <w:color w:val="auto"/>
              </w:rPr>
              <w:t>●未改变</w:t>
            </w:r>
          </w:p>
          <w:p>
            <w:pPr>
              <w:rPr>
                <w:color w:val="auto"/>
              </w:rPr>
            </w:pPr>
          </w:p>
        </w:tc>
        <w:tc>
          <w:tcPr>
            <w:tcW w:w="1121"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r>
              <w:rPr>
                <w:rFonts w:hint="eastAsia" w:asciiTheme="minorEastAsia" w:hAnsiTheme="minorEastAsia"/>
                <w:color w:val="auto"/>
              </w:rPr>
              <w:t>√</w:t>
            </w:r>
          </w:p>
        </w:tc>
        <w:tc>
          <w:tcPr>
            <w:tcW w:w="1542" w:type="dxa"/>
          </w:tcPr>
          <w:p>
            <w:pPr>
              <w:rPr>
                <w:color w:val="auto"/>
              </w:rPr>
            </w:pPr>
            <w:r>
              <w:rPr>
                <w:rFonts w:hint="eastAsia" w:asciiTheme="minorEastAsia" w:hAnsiTheme="minorEastAsia"/>
                <w:color w:val="auto"/>
              </w:rPr>
              <w:t>●</w:t>
            </w:r>
            <w:r>
              <w:rPr>
                <w:rFonts w:hint="eastAsia"/>
                <w:color w:val="auto"/>
              </w:rPr>
              <w:t>自然破坏</w:t>
            </w:r>
          </w:p>
          <w:p>
            <w:pPr>
              <w:rPr>
                <w:color w:val="auto"/>
              </w:rPr>
            </w:pPr>
            <w:r>
              <w:rPr>
                <w:rFonts w:hint="eastAsia" w:asciiTheme="minorEastAsia" w:hAnsiTheme="minorEastAsia"/>
                <w:color w:val="auto"/>
              </w:rPr>
              <w:t>●</w:t>
            </w:r>
            <w:r>
              <w:rPr>
                <w:rFonts w:hint="eastAsia"/>
                <w:color w:val="auto"/>
              </w:rPr>
              <w:t>闲置</w:t>
            </w:r>
          </w:p>
        </w:tc>
        <w:tc>
          <w:tcPr>
            <w:tcW w:w="2826" w:type="dxa"/>
          </w:tcPr>
          <w:p>
            <w:pPr>
              <w:rPr>
                <w:color w:val="auto"/>
              </w:rPr>
            </w:pPr>
            <w:r>
              <w:rPr>
                <w:rFonts w:hint="eastAsia" w:asciiTheme="minorEastAsia" w:hAnsiTheme="minorEastAsia"/>
                <w:color w:val="auto"/>
              </w:rPr>
              <w:t>●编制片区整体保护展示利用及环境整治方案，实施</w:t>
            </w:r>
            <w:r>
              <w:rPr>
                <w:rFonts w:hint="eastAsia"/>
                <w:color w:val="auto"/>
              </w:rPr>
              <w:t>措施可分期进行</w:t>
            </w:r>
          </w:p>
          <w:p>
            <w:pPr>
              <w:rPr>
                <w:color w:val="auto"/>
              </w:rPr>
            </w:pPr>
            <w:r>
              <w:rPr>
                <w:rFonts w:hint="eastAsia" w:asciiTheme="minorEastAsia" w:hAnsiTheme="minorEastAsia"/>
                <w:color w:val="auto"/>
              </w:rPr>
              <w:t>●</w:t>
            </w:r>
            <w:r>
              <w:rPr>
                <w:rFonts w:hint="eastAsia"/>
                <w:color w:val="auto"/>
              </w:rPr>
              <w:t>专设展览空间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4</w:t>
            </w:r>
            <w:r>
              <w:rPr>
                <w:color w:val="auto"/>
              </w:rPr>
              <w:t>0</w:t>
            </w:r>
          </w:p>
        </w:tc>
        <w:tc>
          <w:tcPr>
            <w:tcW w:w="1696" w:type="dxa"/>
          </w:tcPr>
          <w:p>
            <w:pPr>
              <w:rPr>
                <w:color w:val="auto"/>
              </w:rPr>
            </w:pPr>
            <w:r>
              <w:rPr>
                <w:rFonts w:hint="eastAsia"/>
                <w:color w:val="auto"/>
              </w:rPr>
              <w:t>世界之窗</w:t>
            </w:r>
          </w:p>
        </w:tc>
        <w:tc>
          <w:tcPr>
            <w:tcW w:w="2074" w:type="dxa"/>
          </w:tcPr>
          <w:p>
            <w:pPr>
              <w:rPr>
                <w:color w:val="auto"/>
              </w:rPr>
            </w:pPr>
            <w:r>
              <w:rPr>
                <w:rFonts w:hint="eastAsia" w:asciiTheme="minorEastAsia" w:hAnsiTheme="minorEastAsia"/>
                <w:color w:val="auto"/>
              </w:rPr>
              <w:t>●</w:t>
            </w:r>
            <w:r>
              <w:rPr>
                <w:rFonts w:hint="eastAsia" w:ascii="宋体" w:hAnsi="宋体"/>
                <w:color w:val="auto"/>
                <w:szCs w:val="21"/>
              </w:rPr>
              <w:t>营业中</w:t>
            </w:r>
          </w:p>
        </w:tc>
        <w:tc>
          <w:tcPr>
            <w:tcW w:w="1513" w:type="dxa"/>
          </w:tcPr>
          <w:p>
            <w:pPr>
              <w:rPr>
                <w:rFonts w:asciiTheme="minorEastAsia" w:hAnsiTheme="minorEastAsia"/>
                <w:color w:val="auto"/>
              </w:rPr>
            </w:pPr>
            <w:r>
              <w:rPr>
                <w:rFonts w:hint="eastAsia" w:asciiTheme="minorEastAsia" w:hAnsiTheme="minorEastAsia"/>
                <w:color w:val="auto"/>
              </w:rPr>
              <w:t>●较好</w:t>
            </w:r>
          </w:p>
        </w:tc>
        <w:tc>
          <w:tcPr>
            <w:tcW w:w="1219" w:type="dxa"/>
          </w:tcPr>
          <w:p>
            <w:pPr>
              <w:rPr>
                <w:color w:val="auto"/>
              </w:rPr>
            </w:pPr>
            <w:r>
              <w:rPr>
                <w:rFonts w:hint="eastAsia" w:asciiTheme="minorEastAsia" w:hAnsiTheme="minorEastAsia"/>
                <w:color w:val="auto"/>
              </w:rPr>
              <w:t>●未改变</w:t>
            </w:r>
          </w:p>
          <w:p>
            <w:pPr>
              <w:rPr>
                <w:color w:val="auto"/>
              </w:rPr>
            </w:pPr>
          </w:p>
        </w:tc>
        <w:tc>
          <w:tcPr>
            <w:tcW w:w="1106" w:type="dxa"/>
          </w:tcPr>
          <w:p>
            <w:pPr>
              <w:rPr>
                <w:color w:val="auto"/>
              </w:rPr>
            </w:pPr>
            <w:r>
              <w:rPr>
                <w:rFonts w:hint="eastAsia" w:asciiTheme="minorEastAsia" w:hAnsiTheme="minorEastAsia"/>
                <w:color w:val="auto"/>
              </w:rPr>
              <w:t>●未改变</w:t>
            </w: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●未改变</w:t>
            </w:r>
          </w:p>
        </w:tc>
        <w:tc>
          <w:tcPr>
            <w:tcW w:w="1121" w:type="dxa"/>
            <w:vAlign w:val="center"/>
          </w:tcPr>
          <w:p>
            <w:pPr>
              <w:jc w:val="cente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rFonts w:hint="eastAsia"/>
                <w:color w:val="auto"/>
              </w:rPr>
              <w:t>日常维护与保养</w:t>
            </w:r>
          </w:p>
          <w:p>
            <w:pPr>
              <w:rPr>
                <w:color w:val="auto"/>
              </w:rPr>
            </w:pPr>
            <w:r>
              <w:rPr>
                <w:rFonts w:hint="eastAsia"/>
                <w:color w:val="auto"/>
              </w:rPr>
              <w:t>●专设展览空间</w:t>
            </w: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4</w:t>
            </w:r>
            <w:r>
              <w:rPr>
                <w:color w:val="auto"/>
              </w:rPr>
              <w:t>1</w:t>
            </w:r>
          </w:p>
        </w:tc>
        <w:tc>
          <w:tcPr>
            <w:tcW w:w="1696" w:type="dxa"/>
          </w:tcPr>
          <w:p>
            <w:pPr>
              <w:rPr>
                <w:color w:val="auto"/>
              </w:rPr>
            </w:pPr>
            <w:r>
              <w:rPr>
                <w:rFonts w:hint="eastAsia"/>
                <w:color w:val="auto"/>
              </w:rPr>
              <w:t>上海宾馆</w:t>
            </w:r>
          </w:p>
        </w:tc>
        <w:tc>
          <w:tcPr>
            <w:tcW w:w="2074" w:type="dxa"/>
          </w:tcPr>
          <w:p>
            <w:pPr>
              <w:rPr>
                <w:color w:val="auto"/>
              </w:rPr>
            </w:pPr>
            <w:r>
              <w:rPr>
                <w:rFonts w:hint="eastAsia"/>
                <w:color w:val="auto"/>
              </w:rPr>
              <w:t>●使用中</w:t>
            </w:r>
          </w:p>
        </w:tc>
        <w:tc>
          <w:tcPr>
            <w:tcW w:w="1513" w:type="dxa"/>
          </w:tcPr>
          <w:p>
            <w:pPr>
              <w:rPr>
                <w:color w:val="auto"/>
              </w:rPr>
            </w:pPr>
            <w:r>
              <w:rPr>
                <w:rFonts w:hint="eastAsia"/>
                <w:color w:val="auto"/>
              </w:rPr>
              <w:t>●较好</w:t>
            </w:r>
          </w:p>
        </w:tc>
        <w:tc>
          <w:tcPr>
            <w:tcW w:w="1219" w:type="dxa"/>
          </w:tcPr>
          <w:p>
            <w:pPr>
              <w:rPr>
                <w:color w:val="auto"/>
              </w:rPr>
            </w:pPr>
            <w:r>
              <w:rPr>
                <w:rFonts w:hint="eastAsia"/>
                <w:color w:val="auto"/>
              </w:rPr>
              <w:t>●局部改变</w:t>
            </w:r>
          </w:p>
        </w:tc>
        <w:tc>
          <w:tcPr>
            <w:tcW w:w="1106" w:type="dxa"/>
          </w:tcPr>
          <w:p>
            <w:pPr>
              <w:rPr>
                <w:color w:val="auto"/>
              </w:rPr>
            </w:pPr>
            <w:r>
              <w:rPr>
                <w:rFonts w:hint="eastAsia" w:asciiTheme="minorEastAsia" w:hAnsiTheme="minorEastAsia"/>
                <w:color w:val="auto"/>
              </w:rPr>
              <w:t>●未改变</w:t>
            </w:r>
          </w:p>
          <w:p>
            <w:pPr>
              <w:rPr>
                <w:color w:val="auto"/>
              </w:rPr>
            </w:pPr>
          </w:p>
        </w:tc>
        <w:tc>
          <w:tcPr>
            <w:tcW w:w="2190" w:type="dxa"/>
          </w:tcPr>
          <w:p>
            <w:pPr>
              <w:rPr>
                <w:rFonts w:ascii="宋体" w:hAnsi="宋体" w:eastAsia="宋体" w:cs="Times New Roman"/>
                <w:color w:val="auto"/>
                <w:szCs w:val="21"/>
              </w:rPr>
            </w:pPr>
            <w:r>
              <w:rPr>
                <w:rFonts w:hint="eastAsia" w:asciiTheme="minorEastAsia" w:hAnsiTheme="minorEastAsia"/>
                <w:color w:val="auto"/>
              </w:rPr>
              <w:t>●未改变</w:t>
            </w:r>
          </w:p>
          <w:p>
            <w:pPr>
              <w:rPr>
                <w:rFonts w:asciiTheme="minorEastAsia" w:hAnsiTheme="minorEastAsia"/>
                <w:color w:val="auto"/>
              </w:rPr>
            </w:pPr>
          </w:p>
        </w:tc>
        <w:tc>
          <w:tcPr>
            <w:tcW w:w="2241" w:type="dxa"/>
          </w:tcPr>
          <w:p>
            <w:pPr>
              <w:rPr>
                <w:rFonts w:asciiTheme="minorEastAsia" w:hAnsiTheme="minorEastAsia"/>
                <w:color w:val="auto"/>
              </w:rPr>
            </w:pPr>
            <w:r>
              <w:rPr>
                <w:rFonts w:hint="eastAsia" w:asciiTheme="minorEastAsia" w:hAnsiTheme="minorEastAsia"/>
                <w:color w:val="auto"/>
              </w:rPr>
              <w:t>●内部全部改造</w:t>
            </w:r>
          </w:p>
        </w:tc>
        <w:tc>
          <w:tcPr>
            <w:tcW w:w="1121" w:type="dxa"/>
          </w:tcPr>
          <w:p>
            <w:pP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w:t>
            </w:r>
            <w:r>
              <w:rPr>
                <w:rFonts w:hint="eastAsia"/>
                <w:color w:val="auto"/>
              </w:rPr>
              <w:t>日常维护与保养</w:t>
            </w:r>
          </w:p>
          <w:p>
            <w:pPr>
              <w:rPr>
                <w:color w:val="auto"/>
              </w:rPr>
            </w:pPr>
            <w:r>
              <w:rPr>
                <w:rFonts w:hint="eastAsia" w:asciiTheme="minorEastAsia" w:hAnsiTheme="minorEastAsia"/>
                <w:color w:val="auto"/>
              </w:rPr>
              <w:t>●</w:t>
            </w:r>
            <w:r>
              <w:rPr>
                <w:rFonts w:hint="eastAsia"/>
                <w:color w:val="auto"/>
              </w:rPr>
              <w:t>专设展览空间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rPr>
                <w:color w:val="auto"/>
              </w:rPr>
            </w:pPr>
            <w:r>
              <w:rPr>
                <w:rFonts w:hint="eastAsia"/>
                <w:color w:val="auto"/>
              </w:rPr>
              <w:t>42</w:t>
            </w:r>
          </w:p>
        </w:tc>
        <w:tc>
          <w:tcPr>
            <w:tcW w:w="1696" w:type="dxa"/>
          </w:tcPr>
          <w:p>
            <w:pPr>
              <w:rPr>
                <w:color w:val="auto"/>
              </w:rPr>
            </w:pPr>
            <w:r>
              <w:rPr>
                <w:rFonts w:hint="eastAsia"/>
                <w:color w:val="auto"/>
              </w:rPr>
              <w:t>深圳劳务工博物馆</w:t>
            </w:r>
          </w:p>
        </w:tc>
        <w:tc>
          <w:tcPr>
            <w:tcW w:w="2074" w:type="dxa"/>
          </w:tcPr>
          <w:p>
            <w:pPr>
              <w:rPr>
                <w:color w:val="auto"/>
              </w:rPr>
            </w:pPr>
            <w:r>
              <w:rPr>
                <w:rFonts w:hint="eastAsia"/>
                <w:color w:val="auto"/>
              </w:rPr>
              <w:t>●使用中</w:t>
            </w:r>
          </w:p>
        </w:tc>
        <w:tc>
          <w:tcPr>
            <w:tcW w:w="1513" w:type="dxa"/>
          </w:tcPr>
          <w:p>
            <w:pPr>
              <w:rPr>
                <w:color w:val="auto"/>
              </w:rPr>
            </w:pPr>
            <w:r>
              <w:rPr>
                <w:rFonts w:hint="eastAsia"/>
                <w:color w:val="auto"/>
              </w:rPr>
              <w:t>●较好</w:t>
            </w:r>
          </w:p>
        </w:tc>
        <w:tc>
          <w:tcPr>
            <w:tcW w:w="1219" w:type="dxa"/>
          </w:tcPr>
          <w:p>
            <w:pPr>
              <w:rPr>
                <w:color w:val="auto"/>
              </w:rPr>
            </w:pPr>
            <w:r>
              <w:rPr>
                <w:rFonts w:hint="eastAsia"/>
                <w:color w:val="auto"/>
              </w:rPr>
              <w:t>●未改变</w:t>
            </w:r>
          </w:p>
        </w:tc>
        <w:tc>
          <w:tcPr>
            <w:tcW w:w="1106" w:type="dxa"/>
          </w:tcPr>
          <w:p>
            <w:pPr>
              <w:rPr>
                <w:color w:val="auto"/>
              </w:rPr>
            </w:pPr>
            <w:r>
              <w:rPr>
                <w:rFonts w:hint="eastAsia"/>
                <w:color w:val="auto"/>
              </w:rPr>
              <w:t>●未改变</w:t>
            </w:r>
          </w:p>
        </w:tc>
        <w:tc>
          <w:tcPr>
            <w:tcW w:w="2190" w:type="dxa"/>
          </w:tcPr>
          <w:p>
            <w:pPr>
              <w:rPr>
                <w:color w:val="auto"/>
              </w:rPr>
            </w:pPr>
            <w:r>
              <w:rPr>
                <w:rFonts w:hint="eastAsia"/>
                <w:color w:val="auto"/>
              </w:rPr>
              <w:t>●未改变</w:t>
            </w:r>
          </w:p>
          <w:p>
            <w:pPr>
              <w:rPr>
                <w:color w:val="auto"/>
              </w:rPr>
            </w:pPr>
          </w:p>
        </w:tc>
        <w:tc>
          <w:tcPr>
            <w:tcW w:w="2241" w:type="dxa"/>
          </w:tcPr>
          <w:p>
            <w:pPr>
              <w:rPr>
                <w:color w:val="auto"/>
              </w:rPr>
            </w:pPr>
            <w:r>
              <w:rPr>
                <w:rFonts w:hint="eastAsia"/>
                <w:color w:val="auto"/>
              </w:rPr>
              <w:t>●局部改变</w:t>
            </w:r>
          </w:p>
          <w:p>
            <w:pPr>
              <w:rPr>
                <w:color w:val="auto"/>
              </w:rPr>
            </w:pPr>
          </w:p>
        </w:tc>
        <w:tc>
          <w:tcPr>
            <w:tcW w:w="1121" w:type="dxa"/>
            <w:vAlign w:val="center"/>
          </w:tcPr>
          <w:p>
            <w:pPr>
              <w:jc w:val="center"/>
              <w:rPr>
                <w:color w:val="auto"/>
              </w:rPr>
            </w:pPr>
          </w:p>
        </w:tc>
        <w:tc>
          <w:tcPr>
            <w:tcW w:w="704" w:type="dxa"/>
            <w:vAlign w:val="center"/>
          </w:tcPr>
          <w:p>
            <w:pPr>
              <w:jc w:val="center"/>
              <w:rPr>
                <w:color w:val="auto"/>
              </w:rPr>
            </w:pPr>
            <w:r>
              <w:rPr>
                <w:rFonts w:hint="eastAsia" w:asciiTheme="minorEastAsia" w:hAnsiTheme="minorEastAsia"/>
                <w:color w:val="auto"/>
              </w:rPr>
              <w:t>√</w:t>
            </w:r>
          </w:p>
        </w:tc>
        <w:tc>
          <w:tcPr>
            <w:tcW w:w="1542" w:type="dxa"/>
            <w:vAlign w:val="center"/>
          </w:tcPr>
          <w:p>
            <w:pPr>
              <w:jc w:val="center"/>
              <w:rPr>
                <w:color w:val="auto"/>
              </w:rPr>
            </w:pPr>
            <w:r>
              <w:rPr>
                <w:rFonts w:hint="eastAsia" w:asciiTheme="minorEastAsia" w:hAnsiTheme="minorEastAsia"/>
                <w:color w:val="auto"/>
              </w:rPr>
              <w:t>√</w:t>
            </w:r>
          </w:p>
        </w:tc>
        <w:tc>
          <w:tcPr>
            <w:tcW w:w="704" w:type="dxa"/>
            <w:vAlign w:val="center"/>
          </w:tcPr>
          <w:p>
            <w:pPr>
              <w:jc w:val="center"/>
              <w:rPr>
                <w:color w:val="auto"/>
              </w:rPr>
            </w:pPr>
            <w:r>
              <w:rPr>
                <w:rFonts w:hint="eastAsia" w:asciiTheme="minorEastAsia" w:hAnsiTheme="minorEastAsia"/>
                <w:color w:val="auto"/>
              </w:rPr>
              <w:t>√</w:t>
            </w:r>
          </w:p>
        </w:tc>
        <w:tc>
          <w:tcPr>
            <w:tcW w:w="1542" w:type="dxa"/>
          </w:tcPr>
          <w:p>
            <w:pPr>
              <w:rPr>
                <w:color w:val="auto"/>
              </w:rPr>
            </w:pPr>
            <w:r>
              <w:rPr>
                <w:rFonts w:hint="eastAsia" w:asciiTheme="minorEastAsia" w:hAnsiTheme="minorEastAsia"/>
                <w:color w:val="auto"/>
              </w:rPr>
              <w:t>●</w:t>
            </w:r>
            <w:r>
              <w:rPr>
                <w:rFonts w:hint="eastAsia"/>
                <w:color w:val="auto"/>
              </w:rPr>
              <w:t>无</w:t>
            </w:r>
            <w:r>
              <w:rPr>
                <w:color w:val="auto"/>
              </w:rPr>
              <w:t>显著风险</w:t>
            </w:r>
          </w:p>
        </w:tc>
        <w:tc>
          <w:tcPr>
            <w:tcW w:w="2826" w:type="dxa"/>
          </w:tcPr>
          <w:p>
            <w:pPr>
              <w:rPr>
                <w:color w:val="auto"/>
              </w:rPr>
            </w:pPr>
            <w:r>
              <w:rPr>
                <w:rFonts w:hint="eastAsia" w:asciiTheme="minorEastAsia" w:hAnsiTheme="minorEastAsia"/>
                <w:color w:val="auto"/>
              </w:rPr>
              <w:t>●编编制片区整体保护展示利用及环境整治方案，实施</w:t>
            </w:r>
            <w:r>
              <w:rPr>
                <w:rFonts w:hint="eastAsia"/>
                <w:color w:val="auto"/>
              </w:rPr>
              <w:t>措施可分期进行</w:t>
            </w:r>
          </w:p>
          <w:p>
            <w:pPr>
              <w:rPr>
                <w:color w:val="auto"/>
              </w:rPr>
            </w:pPr>
            <w:r>
              <w:rPr>
                <w:rFonts w:hint="eastAsia" w:asciiTheme="minorEastAsia" w:hAnsiTheme="minorEastAsia"/>
                <w:color w:val="auto"/>
              </w:rPr>
              <w:t>●</w:t>
            </w:r>
            <w:r>
              <w:rPr>
                <w:rFonts w:hint="eastAsia"/>
                <w:color w:val="auto"/>
              </w:rPr>
              <w:t>专设展览空间</w:t>
            </w:r>
          </w:p>
        </w:tc>
      </w:tr>
    </w:tbl>
    <w:p>
      <w:pPr>
        <w:rPr>
          <w:color w:val="auto"/>
        </w:rPr>
      </w:pPr>
    </w:p>
    <w:p>
      <w:pPr>
        <w:rPr>
          <w:color w:val="auto"/>
        </w:rPr>
      </w:pPr>
    </w:p>
    <w:p>
      <w:pPr>
        <w:rPr>
          <w:color w:val="auto"/>
        </w:rPr>
        <w:sectPr>
          <w:pgSz w:w="23811" w:h="16838" w:orient="landscape"/>
          <w:pgMar w:top="1800" w:right="1440" w:bottom="1800" w:left="1440" w:header="851" w:footer="992" w:gutter="0"/>
          <w:cols w:space="1051" w:num="1"/>
          <w:docGrid w:type="lines" w:linePitch="312" w:charSpace="0"/>
        </w:sectPr>
      </w:pPr>
    </w:p>
    <w:p>
      <w:pPr>
        <w:pStyle w:val="2"/>
        <w:rPr>
          <w:color w:val="auto"/>
        </w:rPr>
      </w:pPr>
      <w:bookmarkStart w:id="379" w:name="_Toc4994"/>
      <w:bookmarkStart w:id="380" w:name="_Toc891451409"/>
      <w:bookmarkStart w:id="381" w:name="_Toc12096"/>
      <w:bookmarkStart w:id="382" w:name="_Toc5111"/>
      <w:bookmarkStart w:id="383" w:name="_Toc114072221"/>
      <w:bookmarkStart w:id="384" w:name="_Toc17090"/>
      <w:bookmarkStart w:id="385" w:name="_Toc15806"/>
      <w:bookmarkStart w:id="386" w:name="_Toc17025"/>
      <w:r>
        <w:rPr>
          <w:rFonts w:hint="eastAsia"/>
          <w:color w:val="auto"/>
        </w:rPr>
        <w:t>附录六：规划重点实施项目表</w:t>
      </w:r>
      <w:bookmarkEnd w:id="379"/>
      <w:bookmarkEnd w:id="380"/>
      <w:bookmarkEnd w:id="381"/>
      <w:bookmarkEnd w:id="382"/>
      <w:bookmarkEnd w:id="383"/>
      <w:bookmarkEnd w:id="384"/>
      <w:bookmarkEnd w:id="385"/>
      <w:bookmarkEnd w:id="386"/>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3543"/>
        <w:gridCol w:w="3544"/>
        <w:gridCol w:w="9923"/>
        <w:gridCol w:w="1417"/>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shd w:val="clear" w:color="auto" w:fill="D8D8D8" w:themeFill="background1" w:themeFillShade="D9"/>
            <w:vAlign w:val="center"/>
          </w:tcPr>
          <w:p>
            <w:pPr>
              <w:jc w:val="center"/>
              <w:rPr>
                <w:rFonts w:ascii="宋体" w:hAnsi="宋体" w:eastAsia="宋体"/>
                <w:b/>
                <w:color w:val="auto"/>
                <w:szCs w:val="21"/>
              </w:rPr>
            </w:pPr>
            <w:r>
              <w:rPr>
                <w:rFonts w:hint="eastAsia" w:ascii="宋体" w:hAnsi="宋体" w:eastAsia="宋体"/>
                <w:b/>
                <w:color w:val="auto"/>
                <w:szCs w:val="21"/>
              </w:rPr>
              <w:t>序号</w:t>
            </w:r>
          </w:p>
        </w:tc>
        <w:tc>
          <w:tcPr>
            <w:tcW w:w="3543" w:type="dxa"/>
            <w:shd w:val="clear" w:color="auto" w:fill="D8D8D8" w:themeFill="background1" w:themeFillShade="D9"/>
            <w:vAlign w:val="center"/>
          </w:tcPr>
          <w:p>
            <w:pPr>
              <w:jc w:val="center"/>
              <w:rPr>
                <w:rFonts w:ascii="宋体" w:hAnsi="宋体" w:eastAsia="宋体"/>
                <w:b/>
                <w:color w:val="auto"/>
                <w:szCs w:val="21"/>
              </w:rPr>
            </w:pPr>
            <w:r>
              <w:rPr>
                <w:rFonts w:hint="eastAsia" w:ascii="宋体" w:hAnsi="宋体" w:eastAsia="宋体"/>
                <w:b/>
                <w:color w:val="auto"/>
                <w:szCs w:val="21"/>
              </w:rPr>
              <w:t>项目类型</w:t>
            </w:r>
          </w:p>
        </w:tc>
        <w:tc>
          <w:tcPr>
            <w:tcW w:w="3544" w:type="dxa"/>
            <w:shd w:val="clear" w:color="auto" w:fill="D8D8D8" w:themeFill="background1" w:themeFillShade="D9"/>
            <w:vAlign w:val="center"/>
          </w:tcPr>
          <w:p>
            <w:pPr>
              <w:jc w:val="center"/>
              <w:rPr>
                <w:rFonts w:ascii="宋体" w:hAnsi="宋体" w:eastAsia="宋体"/>
                <w:b/>
                <w:color w:val="auto"/>
                <w:szCs w:val="21"/>
              </w:rPr>
            </w:pPr>
            <w:r>
              <w:rPr>
                <w:rFonts w:hint="eastAsia" w:ascii="宋体" w:hAnsi="宋体" w:eastAsia="宋体"/>
                <w:b/>
                <w:color w:val="auto"/>
                <w:szCs w:val="21"/>
              </w:rPr>
              <w:t>项目名称</w:t>
            </w:r>
          </w:p>
        </w:tc>
        <w:tc>
          <w:tcPr>
            <w:tcW w:w="9923" w:type="dxa"/>
            <w:shd w:val="clear" w:color="auto" w:fill="D8D8D8" w:themeFill="background1" w:themeFillShade="D9"/>
            <w:vAlign w:val="center"/>
          </w:tcPr>
          <w:p>
            <w:pPr>
              <w:jc w:val="center"/>
              <w:rPr>
                <w:rFonts w:ascii="宋体" w:hAnsi="宋体" w:eastAsia="宋体"/>
                <w:b/>
                <w:color w:val="auto"/>
                <w:szCs w:val="21"/>
              </w:rPr>
            </w:pPr>
            <w:r>
              <w:rPr>
                <w:rFonts w:hint="eastAsia" w:ascii="宋体" w:hAnsi="宋体" w:eastAsia="宋体"/>
                <w:b/>
                <w:color w:val="auto"/>
                <w:szCs w:val="21"/>
              </w:rPr>
              <w:t>项目内容</w:t>
            </w:r>
          </w:p>
        </w:tc>
        <w:tc>
          <w:tcPr>
            <w:tcW w:w="1417" w:type="dxa"/>
            <w:shd w:val="clear" w:color="auto" w:fill="D8D8D8" w:themeFill="background1" w:themeFillShade="D9"/>
            <w:vAlign w:val="center"/>
          </w:tcPr>
          <w:p>
            <w:pPr>
              <w:jc w:val="center"/>
              <w:rPr>
                <w:rFonts w:ascii="宋体" w:hAnsi="宋体" w:eastAsia="宋体"/>
                <w:b/>
                <w:color w:val="auto"/>
                <w:szCs w:val="21"/>
              </w:rPr>
            </w:pPr>
            <w:r>
              <w:rPr>
                <w:rFonts w:hint="eastAsia" w:ascii="宋体" w:hAnsi="宋体" w:eastAsia="宋体"/>
                <w:b/>
                <w:color w:val="auto"/>
                <w:szCs w:val="21"/>
              </w:rPr>
              <w:t>项目地</w:t>
            </w:r>
          </w:p>
        </w:tc>
        <w:tc>
          <w:tcPr>
            <w:tcW w:w="1417" w:type="dxa"/>
            <w:shd w:val="clear" w:color="auto" w:fill="D8D8D8" w:themeFill="background1" w:themeFillShade="D9"/>
            <w:vAlign w:val="center"/>
          </w:tcPr>
          <w:p>
            <w:pPr>
              <w:jc w:val="center"/>
              <w:rPr>
                <w:rFonts w:ascii="宋体" w:hAnsi="宋体" w:eastAsia="宋体"/>
                <w:b/>
                <w:color w:val="auto"/>
                <w:szCs w:val="21"/>
              </w:rPr>
            </w:pPr>
            <w:r>
              <w:rPr>
                <w:rFonts w:hint="eastAsia" w:ascii="宋体" w:hAnsi="宋体" w:eastAsia="宋体"/>
                <w:b/>
                <w:color w:val="auto"/>
                <w:szCs w:val="21"/>
              </w:rPr>
              <w:t>实施分期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vAlign w:val="center"/>
          </w:tcPr>
          <w:p>
            <w:pPr>
              <w:jc w:val="center"/>
              <w:rPr>
                <w:rFonts w:ascii="宋体" w:hAnsi="宋体" w:eastAsia="宋体"/>
                <w:color w:val="auto"/>
                <w:szCs w:val="21"/>
              </w:rPr>
            </w:pPr>
            <w:r>
              <w:rPr>
                <w:rFonts w:ascii="宋体" w:hAnsi="宋体" w:eastAsia="宋体"/>
                <w:color w:val="auto"/>
                <w:szCs w:val="21"/>
              </w:rPr>
              <w:t>1</w:t>
            </w:r>
          </w:p>
        </w:tc>
        <w:tc>
          <w:tcPr>
            <w:tcW w:w="3543" w:type="dxa"/>
            <w:vAlign w:val="center"/>
          </w:tcPr>
          <w:p>
            <w:pPr>
              <w:jc w:val="center"/>
              <w:rPr>
                <w:rFonts w:ascii="宋体" w:hAnsi="宋体" w:eastAsia="宋体"/>
                <w:color w:val="auto"/>
                <w:szCs w:val="21"/>
              </w:rPr>
            </w:pPr>
            <w:r>
              <w:rPr>
                <w:rFonts w:hint="eastAsia" w:ascii="宋体" w:hAnsi="宋体" w:eastAsia="宋体"/>
                <w:color w:val="auto"/>
                <w:szCs w:val="21"/>
              </w:rPr>
              <w:t>保护工程</w:t>
            </w:r>
          </w:p>
          <w:p>
            <w:pPr>
              <w:jc w:val="center"/>
              <w:rPr>
                <w:rFonts w:ascii="宋体" w:hAnsi="宋体" w:eastAsia="宋体" w:cstheme="minorBidi"/>
                <w:color w:val="auto"/>
                <w:kern w:val="2"/>
                <w:sz w:val="21"/>
                <w:szCs w:val="21"/>
                <w:lang w:val="en-US" w:eastAsia="zh-CN" w:bidi="ar-SA"/>
              </w:rPr>
            </w:pPr>
            <w:r>
              <w:rPr>
                <w:rFonts w:hint="eastAsia" w:ascii="宋体" w:hAnsi="宋体" w:eastAsia="宋体"/>
                <w:color w:val="auto"/>
                <w:szCs w:val="21"/>
              </w:rPr>
              <w:t>环境整治工程</w:t>
            </w:r>
          </w:p>
        </w:tc>
        <w:tc>
          <w:tcPr>
            <w:tcW w:w="3544" w:type="dxa"/>
            <w:vAlign w:val="center"/>
          </w:tcPr>
          <w:p>
            <w:pPr>
              <w:jc w:val="center"/>
              <w:rPr>
                <w:rFonts w:ascii="宋体" w:hAnsi="宋体" w:eastAsia="宋体" w:cstheme="minorBidi"/>
                <w:color w:val="auto"/>
                <w:kern w:val="2"/>
                <w:sz w:val="21"/>
                <w:szCs w:val="21"/>
                <w:lang w:val="en-US" w:eastAsia="zh-CN" w:bidi="ar-SA"/>
              </w:rPr>
            </w:pPr>
            <w:r>
              <w:rPr>
                <w:rFonts w:hint="eastAsia" w:ascii="宋体" w:hAnsi="宋体" w:eastAsia="宋体"/>
                <w:color w:val="auto"/>
                <w:szCs w:val="21"/>
              </w:rPr>
              <w:t>大成面粉厂保护整治</w:t>
            </w:r>
          </w:p>
        </w:tc>
        <w:tc>
          <w:tcPr>
            <w:tcW w:w="9923" w:type="dxa"/>
            <w:vAlign w:val="center"/>
          </w:tcPr>
          <w:p>
            <w:pPr>
              <w:rPr>
                <w:rFonts w:ascii="宋体" w:hAnsi="宋体" w:eastAsia="宋体" w:cstheme="minorBidi"/>
                <w:color w:val="auto"/>
                <w:kern w:val="2"/>
                <w:sz w:val="21"/>
                <w:szCs w:val="21"/>
                <w:lang w:val="en-US" w:eastAsia="zh-CN" w:bidi="ar-SA"/>
              </w:rPr>
            </w:pPr>
            <w:r>
              <w:rPr>
                <w:rFonts w:hint="eastAsia" w:ascii="宋体" w:hAnsi="宋体" w:eastAsia="宋体"/>
                <w:color w:val="auto"/>
                <w:szCs w:val="21"/>
              </w:rPr>
              <w:t>保护和恢复历史加工区，赋予加工的构筑物适当的新用途；结合深圳的蛇口码头发展的新需求，去除污染环境的相关措施；仓库等地对结构、大的平面布局等原址保护，原功能继续利用。对大成面粉厂的圆柱形筒仓建筑群进行保护，对原有结构进行加固修整。环境在原有基础上尽可能保留原始环境风貌，进行相关整治。加强人员巡查，建立并完善专门档案。</w:t>
            </w:r>
          </w:p>
        </w:tc>
        <w:tc>
          <w:tcPr>
            <w:tcW w:w="1417" w:type="dxa"/>
            <w:vAlign w:val="center"/>
          </w:tcPr>
          <w:p>
            <w:pPr>
              <w:jc w:val="center"/>
              <w:rPr>
                <w:rFonts w:ascii="宋体" w:hAnsi="宋体" w:eastAsia="宋体" w:cstheme="minorBidi"/>
                <w:color w:val="auto"/>
                <w:kern w:val="2"/>
                <w:sz w:val="21"/>
                <w:szCs w:val="21"/>
                <w:lang w:val="en-US" w:eastAsia="zh-CN" w:bidi="ar-SA"/>
              </w:rPr>
            </w:pPr>
            <w:r>
              <w:rPr>
                <w:rFonts w:hint="eastAsia" w:ascii="宋体" w:hAnsi="宋体" w:eastAsia="宋体"/>
                <w:color w:val="auto"/>
                <w:szCs w:val="21"/>
              </w:rPr>
              <w:t>南山区</w:t>
            </w:r>
          </w:p>
        </w:tc>
        <w:tc>
          <w:tcPr>
            <w:tcW w:w="1417" w:type="dxa"/>
            <w:vAlign w:val="center"/>
          </w:tcPr>
          <w:p>
            <w:pPr>
              <w:jc w:val="center"/>
              <w:rPr>
                <w:rFonts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近</w:t>
            </w:r>
            <w:r>
              <w:rPr>
                <w:rFonts w:hint="eastAsia" w:ascii="宋体" w:hAnsi="宋体" w:eastAsia="宋体"/>
                <w:color w:val="auto"/>
                <w:szCs w:val="21"/>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vAlign w:val="center"/>
          </w:tcPr>
          <w:p>
            <w:pPr>
              <w:jc w:val="center"/>
              <w:rPr>
                <w:rFonts w:ascii="宋体" w:hAnsi="宋体" w:eastAsia="宋体"/>
                <w:color w:val="auto"/>
                <w:szCs w:val="21"/>
              </w:rPr>
            </w:pPr>
            <w:r>
              <w:rPr>
                <w:rFonts w:hint="eastAsia" w:ascii="宋体" w:hAnsi="宋体" w:eastAsia="宋体"/>
                <w:color w:val="auto"/>
                <w:szCs w:val="21"/>
              </w:rPr>
              <w:t>2</w:t>
            </w:r>
          </w:p>
        </w:tc>
        <w:tc>
          <w:tcPr>
            <w:tcW w:w="3543" w:type="dxa"/>
            <w:vAlign w:val="center"/>
          </w:tcPr>
          <w:p>
            <w:pPr>
              <w:jc w:val="center"/>
              <w:rPr>
                <w:rFonts w:ascii="宋体" w:hAnsi="宋体" w:eastAsia="宋体"/>
                <w:color w:val="auto"/>
                <w:szCs w:val="21"/>
              </w:rPr>
            </w:pPr>
            <w:r>
              <w:rPr>
                <w:rFonts w:hint="eastAsia" w:ascii="宋体" w:hAnsi="宋体" w:eastAsia="宋体"/>
                <w:color w:val="auto"/>
                <w:szCs w:val="21"/>
              </w:rPr>
              <w:t>展示利用工程</w:t>
            </w:r>
          </w:p>
          <w:p>
            <w:pPr>
              <w:jc w:val="center"/>
              <w:rPr>
                <w:rFonts w:ascii="宋体" w:hAnsi="宋体" w:eastAsia="宋体" w:cstheme="minorBidi"/>
                <w:color w:val="auto"/>
                <w:kern w:val="2"/>
                <w:sz w:val="21"/>
                <w:szCs w:val="21"/>
                <w:lang w:val="en-US" w:eastAsia="zh-CN" w:bidi="ar-SA"/>
              </w:rPr>
            </w:pPr>
            <w:r>
              <w:rPr>
                <w:rFonts w:hint="eastAsia" w:ascii="宋体" w:hAnsi="宋体" w:eastAsia="宋体"/>
                <w:color w:val="auto"/>
                <w:szCs w:val="21"/>
              </w:rPr>
              <w:t>文旅融合工程</w:t>
            </w:r>
          </w:p>
        </w:tc>
        <w:tc>
          <w:tcPr>
            <w:tcW w:w="3544" w:type="dxa"/>
            <w:vAlign w:val="center"/>
          </w:tcPr>
          <w:p>
            <w:pPr>
              <w:jc w:val="center"/>
              <w:rPr>
                <w:rFonts w:ascii="宋体" w:hAnsi="宋体" w:eastAsia="宋体" w:cstheme="minorBidi"/>
                <w:color w:val="auto"/>
                <w:kern w:val="2"/>
                <w:sz w:val="21"/>
                <w:szCs w:val="21"/>
                <w:lang w:val="en-US" w:eastAsia="zh-CN" w:bidi="ar-SA"/>
              </w:rPr>
            </w:pPr>
            <w:r>
              <w:rPr>
                <w:rFonts w:hint="eastAsia" w:ascii="宋体" w:hAnsi="宋体" w:eastAsia="宋体"/>
                <w:color w:val="auto"/>
                <w:szCs w:val="21"/>
              </w:rPr>
              <w:t>大成面粉厂改造利用</w:t>
            </w:r>
          </w:p>
        </w:tc>
        <w:tc>
          <w:tcPr>
            <w:tcW w:w="9923" w:type="dxa"/>
            <w:vAlign w:val="center"/>
          </w:tcPr>
          <w:p>
            <w:pPr>
              <w:rPr>
                <w:rFonts w:ascii="宋体" w:hAnsi="宋体" w:eastAsia="宋体" w:cstheme="minorBidi"/>
                <w:color w:val="auto"/>
                <w:kern w:val="2"/>
                <w:sz w:val="21"/>
                <w:szCs w:val="21"/>
                <w:lang w:val="en-US" w:eastAsia="zh-CN" w:bidi="ar-SA"/>
              </w:rPr>
            </w:pPr>
            <w:r>
              <w:rPr>
                <w:rFonts w:hint="eastAsia" w:ascii="宋体" w:hAnsi="宋体" w:eastAsia="宋体"/>
                <w:color w:val="auto"/>
                <w:szCs w:val="21"/>
              </w:rPr>
              <w:t>大成面粉厂具体可改造为相关文化产业融合的工业遗产创意园区，或主题博物馆。面粉生产区是大成面粉厂最具特色的区域，也是工业遗产风貌最为鲜明的区域，将这一区域作为核心保护区，保留格局和工业风貌特征。对其他区域部分则在蛇口码头的发展基础上进行适当改造或产业升级。</w:t>
            </w:r>
          </w:p>
        </w:tc>
        <w:tc>
          <w:tcPr>
            <w:tcW w:w="1417" w:type="dxa"/>
            <w:vAlign w:val="center"/>
          </w:tcPr>
          <w:p>
            <w:pPr>
              <w:jc w:val="center"/>
              <w:rPr>
                <w:rFonts w:ascii="宋体" w:hAnsi="宋体" w:eastAsia="宋体" w:cstheme="minorBidi"/>
                <w:color w:val="auto"/>
                <w:kern w:val="2"/>
                <w:sz w:val="21"/>
                <w:szCs w:val="21"/>
                <w:lang w:val="en-US" w:eastAsia="zh-CN" w:bidi="ar-SA"/>
              </w:rPr>
            </w:pPr>
            <w:r>
              <w:rPr>
                <w:rFonts w:hint="eastAsia" w:ascii="宋体" w:hAnsi="宋体" w:eastAsia="宋体"/>
                <w:color w:val="auto"/>
                <w:szCs w:val="21"/>
              </w:rPr>
              <w:t>南山区</w:t>
            </w:r>
          </w:p>
        </w:tc>
        <w:tc>
          <w:tcPr>
            <w:tcW w:w="1417" w:type="dxa"/>
            <w:vAlign w:val="center"/>
          </w:tcPr>
          <w:p>
            <w:pPr>
              <w:jc w:val="center"/>
              <w:rPr>
                <w:rFonts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近</w:t>
            </w:r>
            <w:r>
              <w:rPr>
                <w:rFonts w:hint="eastAsia" w:ascii="宋体" w:hAnsi="宋体" w:eastAsia="宋体"/>
                <w:color w:val="auto"/>
                <w:szCs w:val="21"/>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vAlign w:val="center"/>
          </w:tcPr>
          <w:p>
            <w:pPr>
              <w:jc w:val="center"/>
              <w:rPr>
                <w:rFonts w:hint="eastAsia" w:ascii="宋体" w:hAnsi="宋体" w:eastAsia="宋体"/>
                <w:color w:val="auto"/>
                <w:szCs w:val="21"/>
                <w:lang w:val="en-US" w:eastAsia="zh-CN"/>
              </w:rPr>
            </w:pPr>
            <w:r>
              <w:rPr>
                <w:rFonts w:hint="eastAsia" w:ascii="宋体" w:hAnsi="宋体" w:eastAsia="宋体"/>
                <w:color w:val="auto"/>
                <w:szCs w:val="21"/>
                <w:lang w:val="en-US" w:eastAsia="zh-CN"/>
              </w:rPr>
              <w:t>3</w:t>
            </w:r>
          </w:p>
        </w:tc>
        <w:tc>
          <w:tcPr>
            <w:tcW w:w="3543" w:type="dxa"/>
            <w:vAlign w:val="center"/>
          </w:tcPr>
          <w:p>
            <w:pPr>
              <w:jc w:val="center"/>
              <w:rPr>
                <w:rFonts w:ascii="宋体" w:hAnsi="宋体" w:eastAsia="宋体"/>
                <w:color w:val="auto"/>
                <w:szCs w:val="21"/>
              </w:rPr>
            </w:pPr>
            <w:r>
              <w:rPr>
                <w:rFonts w:hint="eastAsia" w:ascii="宋体" w:hAnsi="宋体" w:eastAsia="宋体"/>
                <w:color w:val="auto"/>
                <w:szCs w:val="21"/>
              </w:rPr>
              <w:t>保护工程</w:t>
            </w:r>
          </w:p>
          <w:p>
            <w:pPr>
              <w:jc w:val="center"/>
              <w:rPr>
                <w:rFonts w:ascii="宋体" w:hAnsi="宋体" w:eastAsia="宋体" w:cstheme="minorBidi"/>
                <w:color w:val="auto"/>
                <w:kern w:val="2"/>
                <w:sz w:val="21"/>
                <w:szCs w:val="21"/>
                <w:lang w:val="en-US" w:eastAsia="zh-CN" w:bidi="ar-SA"/>
              </w:rPr>
            </w:pPr>
            <w:r>
              <w:rPr>
                <w:rFonts w:hint="eastAsia" w:ascii="宋体" w:hAnsi="宋体" w:eastAsia="宋体"/>
                <w:color w:val="auto"/>
                <w:szCs w:val="21"/>
              </w:rPr>
              <w:t>环境整治工程</w:t>
            </w:r>
          </w:p>
        </w:tc>
        <w:tc>
          <w:tcPr>
            <w:tcW w:w="3544" w:type="dxa"/>
            <w:vAlign w:val="center"/>
          </w:tcPr>
          <w:p>
            <w:pPr>
              <w:jc w:val="center"/>
              <w:rPr>
                <w:rFonts w:ascii="宋体" w:hAnsi="宋体" w:eastAsia="宋体" w:cstheme="minorBidi"/>
                <w:color w:val="auto"/>
                <w:kern w:val="2"/>
                <w:sz w:val="21"/>
                <w:szCs w:val="21"/>
                <w:lang w:val="en-US" w:eastAsia="zh-CN" w:bidi="ar-SA"/>
              </w:rPr>
            </w:pPr>
            <w:r>
              <w:rPr>
                <w:rFonts w:hint="eastAsia" w:ascii="宋体" w:hAnsi="宋体" w:eastAsia="宋体"/>
                <w:color w:val="auto"/>
                <w:szCs w:val="21"/>
              </w:rPr>
              <w:t>微波山时间广场保护整治</w:t>
            </w:r>
          </w:p>
        </w:tc>
        <w:tc>
          <w:tcPr>
            <w:tcW w:w="9923" w:type="dxa"/>
            <w:vAlign w:val="center"/>
          </w:tcPr>
          <w:p>
            <w:pPr>
              <w:rPr>
                <w:rFonts w:ascii="宋体" w:hAnsi="宋体" w:eastAsia="宋体" w:cstheme="minorBidi"/>
                <w:color w:val="auto"/>
                <w:kern w:val="2"/>
                <w:sz w:val="21"/>
                <w:szCs w:val="21"/>
                <w:lang w:val="en-US" w:eastAsia="zh-CN" w:bidi="ar-SA"/>
              </w:rPr>
            </w:pPr>
            <w:r>
              <w:rPr>
                <w:rFonts w:hint="eastAsia" w:ascii="宋体" w:hAnsi="宋体" w:eastAsia="宋体"/>
                <w:color w:val="auto"/>
                <w:szCs w:val="21"/>
              </w:rPr>
              <w:t>对标语牌进行相关的保养维护工作，进行保护范围划定和建设控制地带划定。对周边广场环境进行整治。对设计方案要求按照文物保护法相关规定做好文物保护工作。</w:t>
            </w:r>
          </w:p>
        </w:tc>
        <w:tc>
          <w:tcPr>
            <w:tcW w:w="1417" w:type="dxa"/>
            <w:vAlign w:val="center"/>
          </w:tcPr>
          <w:p>
            <w:pPr>
              <w:jc w:val="center"/>
              <w:rPr>
                <w:rFonts w:ascii="宋体" w:hAnsi="宋体" w:eastAsia="宋体" w:cstheme="minorBidi"/>
                <w:color w:val="auto"/>
                <w:kern w:val="2"/>
                <w:sz w:val="21"/>
                <w:szCs w:val="21"/>
                <w:lang w:val="en-US" w:eastAsia="zh-CN" w:bidi="ar-SA"/>
              </w:rPr>
            </w:pPr>
            <w:r>
              <w:rPr>
                <w:rFonts w:hint="eastAsia" w:ascii="宋体" w:hAnsi="宋体" w:eastAsia="宋体"/>
                <w:color w:val="auto"/>
                <w:szCs w:val="21"/>
              </w:rPr>
              <w:t>南山区</w:t>
            </w:r>
          </w:p>
        </w:tc>
        <w:tc>
          <w:tcPr>
            <w:tcW w:w="1417" w:type="dxa"/>
            <w:vAlign w:val="center"/>
          </w:tcPr>
          <w:p>
            <w:pPr>
              <w:jc w:val="center"/>
              <w:rPr>
                <w:rFonts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近</w:t>
            </w:r>
            <w:r>
              <w:rPr>
                <w:rFonts w:hint="eastAsia" w:ascii="宋体" w:hAnsi="宋体" w:eastAsia="宋体"/>
                <w:color w:val="auto"/>
                <w:szCs w:val="21"/>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vAlign w:val="center"/>
          </w:tcPr>
          <w:p>
            <w:pPr>
              <w:jc w:val="center"/>
              <w:rPr>
                <w:rFonts w:hint="eastAsia" w:ascii="宋体" w:hAnsi="宋体" w:eastAsia="宋体"/>
                <w:color w:val="auto"/>
                <w:szCs w:val="21"/>
                <w:lang w:val="en-US" w:eastAsia="zh-CN"/>
              </w:rPr>
            </w:pPr>
            <w:r>
              <w:rPr>
                <w:rFonts w:hint="eastAsia" w:ascii="宋体" w:hAnsi="宋体" w:eastAsia="宋体"/>
                <w:color w:val="auto"/>
                <w:szCs w:val="21"/>
                <w:lang w:val="en-US" w:eastAsia="zh-CN"/>
              </w:rPr>
              <w:t>4</w:t>
            </w:r>
          </w:p>
        </w:tc>
        <w:tc>
          <w:tcPr>
            <w:tcW w:w="3543" w:type="dxa"/>
            <w:vAlign w:val="center"/>
          </w:tcPr>
          <w:p>
            <w:pPr>
              <w:jc w:val="center"/>
              <w:rPr>
                <w:rFonts w:ascii="宋体" w:hAnsi="宋体" w:eastAsia="宋体"/>
                <w:color w:val="auto"/>
                <w:szCs w:val="21"/>
              </w:rPr>
            </w:pPr>
            <w:r>
              <w:rPr>
                <w:rFonts w:hint="eastAsia" w:ascii="宋体" w:hAnsi="宋体" w:eastAsia="宋体"/>
                <w:color w:val="auto"/>
                <w:szCs w:val="21"/>
              </w:rPr>
              <w:t>展示利用工程</w:t>
            </w:r>
          </w:p>
          <w:p>
            <w:pPr>
              <w:jc w:val="center"/>
              <w:rPr>
                <w:rFonts w:ascii="宋体" w:hAnsi="宋体" w:eastAsia="宋体" w:cstheme="minorBidi"/>
                <w:color w:val="auto"/>
                <w:kern w:val="2"/>
                <w:sz w:val="21"/>
                <w:szCs w:val="21"/>
                <w:lang w:val="en-US" w:eastAsia="zh-CN" w:bidi="ar-SA"/>
              </w:rPr>
            </w:pPr>
            <w:r>
              <w:rPr>
                <w:rFonts w:hint="eastAsia" w:ascii="宋体" w:hAnsi="宋体" w:eastAsia="宋体"/>
                <w:color w:val="auto"/>
                <w:szCs w:val="21"/>
              </w:rPr>
              <w:t>文旅融合工程</w:t>
            </w:r>
          </w:p>
        </w:tc>
        <w:tc>
          <w:tcPr>
            <w:tcW w:w="3544" w:type="dxa"/>
            <w:vAlign w:val="center"/>
          </w:tcPr>
          <w:p>
            <w:pPr>
              <w:jc w:val="center"/>
              <w:rPr>
                <w:rFonts w:ascii="宋体" w:hAnsi="宋体" w:eastAsia="宋体" w:cstheme="minorBidi"/>
                <w:color w:val="auto"/>
                <w:kern w:val="2"/>
                <w:sz w:val="21"/>
                <w:szCs w:val="21"/>
                <w:lang w:val="en-US" w:eastAsia="zh-CN" w:bidi="ar-SA"/>
              </w:rPr>
            </w:pPr>
            <w:r>
              <w:rPr>
                <w:rFonts w:hint="eastAsia" w:ascii="宋体" w:hAnsi="宋体" w:eastAsia="宋体"/>
                <w:color w:val="auto"/>
                <w:szCs w:val="21"/>
              </w:rPr>
              <w:t>微波山时间广场改造利用</w:t>
            </w:r>
          </w:p>
        </w:tc>
        <w:tc>
          <w:tcPr>
            <w:tcW w:w="9923" w:type="dxa"/>
            <w:vAlign w:val="center"/>
          </w:tcPr>
          <w:p>
            <w:pPr>
              <w:rPr>
                <w:rFonts w:ascii="宋体" w:hAnsi="宋体" w:eastAsia="宋体"/>
                <w:color w:val="auto"/>
                <w:szCs w:val="21"/>
              </w:rPr>
            </w:pPr>
            <w:r>
              <w:rPr>
                <w:rFonts w:hint="eastAsia" w:ascii="宋体" w:hAnsi="宋体" w:eastAsia="宋体"/>
                <w:color w:val="auto"/>
                <w:szCs w:val="21"/>
              </w:rPr>
              <w:t>展示利用：</w:t>
            </w:r>
            <w:r>
              <w:rPr>
                <w:rFonts w:ascii="宋体" w:hAnsi="宋体" w:eastAsia="宋体"/>
                <w:color w:val="auto"/>
                <w:szCs w:val="21"/>
              </w:rPr>
              <w:t xml:space="preserve"> 对标语牌周边的空间进行整合、设计，打造可游可聊、精致美观的街头公园。广场内利用现状前区空间，建设配套城市家具，为游客和居民营造游憩交流空间。</w:t>
            </w:r>
          </w:p>
          <w:p>
            <w:pPr>
              <w:rPr>
                <w:rFonts w:ascii="宋体" w:hAnsi="宋体" w:eastAsia="宋体" w:cstheme="minorBidi"/>
                <w:color w:val="auto"/>
                <w:kern w:val="2"/>
                <w:sz w:val="21"/>
                <w:szCs w:val="21"/>
                <w:lang w:val="en-US" w:eastAsia="zh-CN" w:bidi="ar-SA"/>
              </w:rPr>
            </w:pPr>
            <w:r>
              <w:rPr>
                <w:rFonts w:hint="eastAsia" w:ascii="宋体" w:hAnsi="宋体" w:eastAsia="宋体"/>
                <w:color w:val="auto"/>
                <w:szCs w:val="21"/>
              </w:rPr>
              <w:t>结合广场后面的绿地打造微波山时间广场公园。在公园内对标语牌等进行保护规划，对景观进行设计规划，增加改革开放的相关展示牌展示。以改革开放为核心，进行相关的景观设计。</w:t>
            </w:r>
          </w:p>
        </w:tc>
        <w:tc>
          <w:tcPr>
            <w:tcW w:w="1417" w:type="dxa"/>
            <w:vAlign w:val="center"/>
          </w:tcPr>
          <w:p>
            <w:pPr>
              <w:jc w:val="center"/>
              <w:rPr>
                <w:rFonts w:ascii="宋体" w:hAnsi="宋体" w:eastAsia="宋体" w:cstheme="minorBidi"/>
                <w:color w:val="auto"/>
                <w:kern w:val="2"/>
                <w:sz w:val="21"/>
                <w:szCs w:val="21"/>
                <w:lang w:val="en-US" w:eastAsia="zh-CN" w:bidi="ar-SA"/>
              </w:rPr>
            </w:pPr>
            <w:r>
              <w:rPr>
                <w:rFonts w:hint="eastAsia" w:ascii="宋体" w:hAnsi="宋体" w:eastAsia="宋体"/>
                <w:color w:val="auto"/>
                <w:szCs w:val="21"/>
              </w:rPr>
              <w:t>南山区</w:t>
            </w:r>
          </w:p>
        </w:tc>
        <w:tc>
          <w:tcPr>
            <w:tcW w:w="1417" w:type="dxa"/>
            <w:vAlign w:val="center"/>
          </w:tcPr>
          <w:p>
            <w:pPr>
              <w:jc w:val="center"/>
              <w:rPr>
                <w:rFonts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近</w:t>
            </w:r>
            <w:r>
              <w:rPr>
                <w:rFonts w:hint="eastAsia" w:ascii="宋体" w:hAnsi="宋体" w:eastAsia="宋体"/>
                <w:color w:val="auto"/>
                <w:szCs w:val="21"/>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vAlign w:val="center"/>
          </w:tcPr>
          <w:p>
            <w:pPr>
              <w:jc w:val="center"/>
              <w:rPr>
                <w:rFonts w:hint="eastAsia" w:ascii="宋体" w:hAnsi="宋体" w:eastAsia="宋体"/>
                <w:color w:val="auto"/>
                <w:szCs w:val="21"/>
                <w:lang w:eastAsia="zh-CN"/>
              </w:rPr>
            </w:pPr>
            <w:r>
              <w:rPr>
                <w:rFonts w:hint="eastAsia" w:ascii="宋体" w:hAnsi="宋体" w:eastAsia="宋体"/>
                <w:color w:val="auto"/>
                <w:szCs w:val="21"/>
                <w:lang w:val="en-US" w:eastAsia="zh-CN"/>
              </w:rPr>
              <w:t>5</w:t>
            </w:r>
          </w:p>
        </w:tc>
        <w:tc>
          <w:tcPr>
            <w:tcW w:w="3543" w:type="dxa"/>
            <w:vAlign w:val="center"/>
          </w:tcPr>
          <w:p>
            <w:pPr>
              <w:jc w:val="center"/>
              <w:rPr>
                <w:rFonts w:ascii="宋体" w:hAnsi="宋体" w:eastAsia="宋体"/>
                <w:color w:val="auto"/>
                <w:szCs w:val="21"/>
              </w:rPr>
            </w:pPr>
            <w:r>
              <w:rPr>
                <w:rFonts w:hint="eastAsia" w:ascii="宋体" w:hAnsi="宋体" w:eastAsia="宋体"/>
                <w:color w:val="auto"/>
                <w:szCs w:val="21"/>
              </w:rPr>
              <w:t>保护工程</w:t>
            </w:r>
          </w:p>
        </w:tc>
        <w:tc>
          <w:tcPr>
            <w:tcW w:w="3544" w:type="dxa"/>
            <w:vAlign w:val="center"/>
          </w:tcPr>
          <w:p>
            <w:pPr>
              <w:jc w:val="center"/>
              <w:rPr>
                <w:rFonts w:ascii="宋体" w:hAnsi="宋体" w:eastAsia="宋体"/>
                <w:color w:val="auto"/>
                <w:szCs w:val="21"/>
              </w:rPr>
            </w:pPr>
            <w:r>
              <w:rPr>
                <w:rFonts w:hint="eastAsia" w:ascii="宋体" w:hAnsi="宋体" w:eastAsia="宋体"/>
                <w:color w:val="auto"/>
                <w:szCs w:val="21"/>
              </w:rPr>
              <w:t>二线关同乐检查站保护</w:t>
            </w:r>
          </w:p>
        </w:tc>
        <w:tc>
          <w:tcPr>
            <w:tcW w:w="9923" w:type="dxa"/>
            <w:vAlign w:val="center"/>
          </w:tcPr>
          <w:p>
            <w:pPr>
              <w:rPr>
                <w:rFonts w:ascii="宋体" w:hAnsi="宋体" w:eastAsia="宋体"/>
                <w:color w:val="auto"/>
                <w:szCs w:val="21"/>
              </w:rPr>
            </w:pPr>
            <w:r>
              <w:rPr>
                <w:rFonts w:hint="eastAsia" w:ascii="宋体" w:hAnsi="宋体" w:eastAsia="宋体"/>
                <w:color w:val="auto"/>
                <w:szCs w:val="21"/>
              </w:rPr>
              <w:t>对检查站的检查流线的重要场景空间以及相关重要场景进行保护。对检查站的主体结构进行日常维护和加固。</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南山区</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vAlign w:val="center"/>
          </w:tcPr>
          <w:p>
            <w:pPr>
              <w:jc w:val="center"/>
              <w:rPr>
                <w:rFonts w:ascii="宋体" w:hAnsi="宋体" w:eastAsia="宋体"/>
                <w:color w:val="auto"/>
                <w:szCs w:val="21"/>
              </w:rPr>
            </w:pPr>
            <w:r>
              <w:rPr>
                <w:rFonts w:hint="eastAsia" w:ascii="宋体" w:hAnsi="宋体" w:eastAsia="宋体"/>
                <w:color w:val="auto"/>
                <w:szCs w:val="21"/>
                <w:lang w:val="en-US" w:eastAsia="zh-CN"/>
              </w:rPr>
              <w:t>6</w:t>
            </w:r>
          </w:p>
        </w:tc>
        <w:tc>
          <w:tcPr>
            <w:tcW w:w="3543" w:type="dxa"/>
            <w:vAlign w:val="center"/>
          </w:tcPr>
          <w:p>
            <w:pPr>
              <w:jc w:val="center"/>
              <w:rPr>
                <w:rFonts w:ascii="宋体" w:hAnsi="宋体" w:eastAsia="宋体"/>
                <w:color w:val="auto"/>
                <w:szCs w:val="21"/>
              </w:rPr>
            </w:pPr>
            <w:r>
              <w:rPr>
                <w:rFonts w:hint="eastAsia" w:ascii="宋体" w:hAnsi="宋体" w:eastAsia="宋体"/>
                <w:color w:val="auto"/>
                <w:szCs w:val="21"/>
              </w:rPr>
              <w:t>展示利用工程</w:t>
            </w:r>
          </w:p>
        </w:tc>
        <w:tc>
          <w:tcPr>
            <w:tcW w:w="3544" w:type="dxa"/>
            <w:vAlign w:val="center"/>
          </w:tcPr>
          <w:p>
            <w:pPr>
              <w:jc w:val="center"/>
              <w:rPr>
                <w:rFonts w:ascii="宋体" w:hAnsi="宋体" w:eastAsia="宋体"/>
                <w:color w:val="auto"/>
                <w:szCs w:val="21"/>
              </w:rPr>
            </w:pPr>
            <w:r>
              <w:rPr>
                <w:rFonts w:hint="eastAsia" w:ascii="宋体" w:hAnsi="宋体" w:eastAsia="宋体"/>
                <w:color w:val="auto"/>
                <w:szCs w:val="21"/>
              </w:rPr>
              <w:t>二线关同乐检查站改造利用</w:t>
            </w:r>
          </w:p>
        </w:tc>
        <w:tc>
          <w:tcPr>
            <w:tcW w:w="9923" w:type="dxa"/>
            <w:vAlign w:val="center"/>
          </w:tcPr>
          <w:p>
            <w:pPr>
              <w:rPr>
                <w:rFonts w:ascii="宋体" w:hAnsi="宋体" w:eastAsia="宋体"/>
                <w:color w:val="auto"/>
                <w:szCs w:val="21"/>
              </w:rPr>
            </w:pPr>
            <w:r>
              <w:rPr>
                <w:rFonts w:hint="eastAsia" w:ascii="宋体" w:hAnsi="宋体" w:eastAsia="宋体"/>
                <w:color w:val="auto"/>
                <w:szCs w:val="21"/>
              </w:rPr>
              <w:t>对检查站进行博物馆类的改造，其中开辟主题展厅或展示廊道对深圳改革开放历程进行展示。在周边也可配套进行商业综合体的建设。尝试开发二线关的相关旅游线路或廊道，以检查站为中心进行利用发展。</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南山区</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vAlign w:val="center"/>
          </w:tcPr>
          <w:p>
            <w:pPr>
              <w:jc w:val="center"/>
              <w:rPr>
                <w:rFonts w:hint="eastAsia" w:ascii="宋体" w:hAnsi="宋体" w:eastAsia="宋体"/>
                <w:color w:val="auto"/>
                <w:szCs w:val="21"/>
                <w:lang w:eastAsia="zh-CN"/>
              </w:rPr>
            </w:pPr>
            <w:r>
              <w:rPr>
                <w:rFonts w:hint="eastAsia" w:ascii="宋体" w:hAnsi="宋体" w:eastAsia="宋体"/>
                <w:color w:val="auto"/>
                <w:szCs w:val="21"/>
                <w:lang w:val="en-US" w:eastAsia="zh-CN"/>
              </w:rPr>
              <w:t>7</w:t>
            </w:r>
          </w:p>
        </w:tc>
        <w:tc>
          <w:tcPr>
            <w:tcW w:w="3543" w:type="dxa"/>
            <w:vAlign w:val="center"/>
          </w:tcPr>
          <w:p>
            <w:pPr>
              <w:jc w:val="center"/>
              <w:rPr>
                <w:rFonts w:ascii="宋体" w:hAnsi="宋体" w:eastAsia="宋体"/>
                <w:color w:val="auto"/>
                <w:szCs w:val="21"/>
              </w:rPr>
            </w:pPr>
            <w:r>
              <w:rPr>
                <w:rFonts w:hint="eastAsia" w:ascii="宋体" w:hAnsi="宋体" w:eastAsia="宋体"/>
                <w:color w:val="auto"/>
                <w:szCs w:val="21"/>
              </w:rPr>
              <w:t>保护工程</w:t>
            </w:r>
          </w:p>
        </w:tc>
        <w:tc>
          <w:tcPr>
            <w:tcW w:w="3544" w:type="dxa"/>
            <w:vAlign w:val="center"/>
          </w:tcPr>
          <w:p>
            <w:pPr>
              <w:jc w:val="center"/>
              <w:rPr>
                <w:rFonts w:ascii="宋体" w:hAnsi="宋体" w:eastAsia="宋体"/>
                <w:color w:val="auto"/>
                <w:szCs w:val="21"/>
              </w:rPr>
            </w:pPr>
            <w:r>
              <w:rPr>
                <w:rFonts w:hint="eastAsia" w:ascii="宋体" w:hAnsi="宋体" w:eastAsia="宋体"/>
                <w:color w:val="auto"/>
                <w:szCs w:val="21"/>
              </w:rPr>
              <w:t>南海酒店保护</w:t>
            </w:r>
          </w:p>
        </w:tc>
        <w:tc>
          <w:tcPr>
            <w:tcW w:w="9923" w:type="dxa"/>
            <w:vAlign w:val="center"/>
          </w:tcPr>
          <w:p>
            <w:pPr>
              <w:rPr>
                <w:rFonts w:ascii="宋体" w:hAnsi="宋体" w:eastAsia="宋体"/>
                <w:color w:val="auto"/>
                <w:szCs w:val="21"/>
              </w:rPr>
            </w:pPr>
            <w:r>
              <w:rPr>
                <w:rFonts w:hint="eastAsia" w:ascii="宋体" w:hAnsi="宋体" w:eastAsia="宋体"/>
                <w:color w:val="auto"/>
                <w:szCs w:val="21"/>
              </w:rPr>
              <w:t>对酒店的主体结构和外立面做好保存维护工作，加强安保和人员巡查，建立并完善专门档案。</w:t>
            </w:r>
            <w:r>
              <w:rPr>
                <w:rFonts w:ascii="宋体" w:hAnsi="宋体" w:eastAsia="宋体"/>
                <w:color w:val="auto"/>
                <w:szCs w:val="21"/>
              </w:rPr>
              <w:t xml:space="preserve"> </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南山区</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vAlign w:val="center"/>
          </w:tcPr>
          <w:p>
            <w:pPr>
              <w:jc w:val="center"/>
              <w:rPr>
                <w:rFonts w:hint="eastAsia" w:ascii="宋体" w:hAnsi="宋体" w:eastAsia="宋体"/>
                <w:color w:val="auto"/>
                <w:szCs w:val="21"/>
                <w:lang w:eastAsia="zh-CN"/>
              </w:rPr>
            </w:pPr>
            <w:r>
              <w:rPr>
                <w:rFonts w:hint="eastAsia" w:ascii="宋体" w:hAnsi="宋体" w:eastAsia="宋体"/>
                <w:color w:val="auto"/>
                <w:szCs w:val="21"/>
                <w:lang w:val="en-US" w:eastAsia="zh-CN"/>
              </w:rPr>
              <w:t>8</w:t>
            </w:r>
          </w:p>
        </w:tc>
        <w:tc>
          <w:tcPr>
            <w:tcW w:w="3543" w:type="dxa"/>
            <w:vAlign w:val="center"/>
          </w:tcPr>
          <w:p>
            <w:pPr>
              <w:jc w:val="center"/>
              <w:rPr>
                <w:rFonts w:ascii="宋体" w:hAnsi="宋体" w:eastAsia="宋体"/>
                <w:color w:val="auto"/>
                <w:szCs w:val="21"/>
              </w:rPr>
            </w:pPr>
            <w:r>
              <w:rPr>
                <w:rFonts w:hint="eastAsia" w:ascii="宋体" w:hAnsi="宋体" w:eastAsia="宋体"/>
                <w:color w:val="auto"/>
                <w:szCs w:val="21"/>
              </w:rPr>
              <w:t>展示利用工程</w:t>
            </w:r>
          </w:p>
          <w:p>
            <w:pPr>
              <w:jc w:val="center"/>
              <w:rPr>
                <w:rFonts w:ascii="宋体" w:hAnsi="宋体" w:eastAsia="宋体"/>
                <w:color w:val="auto"/>
                <w:szCs w:val="21"/>
              </w:rPr>
            </w:pPr>
            <w:r>
              <w:rPr>
                <w:rFonts w:hint="eastAsia" w:ascii="宋体" w:hAnsi="宋体" w:eastAsia="宋体"/>
                <w:color w:val="auto"/>
                <w:szCs w:val="21"/>
              </w:rPr>
              <w:t>文旅融合工程</w:t>
            </w:r>
          </w:p>
        </w:tc>
        <w:tc>
          <w:tcPr>
            <w:tcW w:w="3544" w:type="dxa"/>
            <w:vAlign w:val="center"/>
          </w:tcPr>
          <w:p>
            <w:pPr>
              <w:jc w:val="center"/>
              <w:rPr>
                <w:rFonts w:ascii="宋体" w:hAnsi="宋体" w:eastAsia="宋体"/>
                <w:color w:val="auto"/>
                <w:szCs w:val="21"/>
              </w:rPr>
            </w:pPr>
            <w:r>
              <w:rPr>
                <w:rFonts w:hint="eastAsia" w:ascii="宋体" w:hAnsi="宋体" w:eastAsia="宋体"/>
                <w:color w:val="auto"/>
                <w:szCs w:val="21"/>
              </w:rPr>
              <w:t>南海酒店改造利用</w:t>
            </w:r>
          </w:p>
        </w:tc>
        <w:tc>
          <w:tcPr>
            <w:tcW w:w="9923" w:type="dxa"/>
            <w:vAlign w:val="center"/>
          </w:tcPr>
          <w:p>
            <w:pPr>
              <w:rPr>
                <w:rFonts w:ascii="宋体" w:hAnsi="宋体" w:eastAsia="宋体"/>
                <w:color w:val="auto"/>
                <w:szCs w:val="21"/>
              </w:rPr>
            </w:pPr>
            <w:r>
              <w:rPr>
                <w:rFonts w:hint="eastAsia" w:ascii="宋体" w:hAnsi="宋体" w:eastAsia="宋体"/>
                <w:color w:val="auto"/>
                <w:szCs w:val="21"/>
              </w:rPr>
              <w:t>在明显地区设置标识，介绍与改革开放相关的历史。局部开放酒店的相关公共区域，参考国贸大厦的展示运作模式，宣传打造南海酒店的地标性建筑的特点，在公共区域对酒店的历史进行说明展示。结合酒店的中餐厅对外开放。</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南山区</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vAlign w:val="center"/>
          </w:tcPr>
          <w:p>
            <w:pPr>
              <w:jc w:val="center"/>
              <w:rPr>
                <w:rFonts w:hint="eastAsia" w:ascii="宋体" w:hAnsi="宋体" w:eastAsia="宋体"/>
                <w:color w:val="auto"/>
                <w:szCs w:val="21"/>
                <w:lang w:eastAsia="zh-CN"/>
              </w:rPr>
            </w:pPr>
            <w:r>
              <w:rPr>
                <w:rFonts w:hint="eastAsia" w:ascii="宋体" w:hAnsi="宋体" w:eastAsia="宋体"/>
                <w:color w:val="auto"/>
                <w:szCs w:val="21"/>
                <w:lang w:val="en-US" w:eastAsia="zh-CN"/>
              </w:rPr>
              <w:t>9</w:t>
            </w:r>
          </w:p>
        </w:tc>
        <w:tc>
          <w:tcPr>
            <w:tcW w:w="3543" w:type="dxa"/>
            <w:vAlign w:val="center"/>
          </w:tcPr>
          <w:p>
            <w:pPr>
              <w:jc w:val="center"/>
              <w:rPr>
                <w:rFonts w:ascii="宋体" w:hAnsi="宋体" w:eastAsia="宋体"/>
                <w:color w:val="auto"/>
                <w:szCs w:val="21"/>
              </w:rPr>
            </w:pPr>
            <w:r>
              <w:rPr>
                <w:rFonts w:hint="eastAsia" w:ascii="宋体" w:hAnsi="宋体" w:eastAsia="宋体"/>
                <w:color w:val="auto"/>
                <w:szCs w:val="21"/>
              </w:rPr>
              <w:t>保护工程</w:t>
            </w:r>
          </w:p>
        </w:tc>
        <w:tc>
          <w:tcPr>
            <w:tcW w:w="3544" w:type="dxa"/>
            <w:vAlign w:val="center"/>
          </w:tcPr>
          <w:p>
            <w:pPr>
              <w:jc w:val="center"/>
              <w:rPr>
                <w:rFonts w:ascii="宋体" w:hAnsi="宋体" w:eastAsia="宋体"/>
                <w:color w:val="auto"/>
                <w:szCs w:val="21"/>
              </w:rPr>
            </w:pPr>
            <w:r>
              <w:rPr>
                <w:rFonts w:hint="eastAsia" w:ascii="宋体" w:hAnsi="宋体" w:eastAsia="宋体"/>
                <w:color w:val="auto"/>
                <w:szCs w:val="21"/>
              </w:rPr>
              <w:t>“空谈误国，实干兴邦”标语牌保护</w:t>
            </w:r>
          </w:p>
        </w:tc>
        <w:tc>
          <w:tcPr>
            <w:tcW w:w="9923" w:type="dxa"/>
            <w:vAlign w:val="center"/>
          </w:tcPr>
          <w:p>
            <w:pPr>
              <w:rPr>
                <w:rFonts w:ascii="宋体" w:hAnsi="宋体" w:eastAsia="宋体"/>
                <w:color w:val="auto"/>
                <w:szCs w:val="21"/>
              </w:rPr>
            </w:pPr>
            <w:r>
              <w:rPr>
                <w:rFonts w:hint="eastAsia" w:ascii="宋体" w:hAnsi="宋体" w:eastAsia="宋体"/>
                <w:color w:val="auto"/>
                <w:szCs w:val="21"/>
              </w:rPr>
              <w:t>标语牌保护需进行严格的定期保养维护工作，史迹周边设好相应的防护栏，禁止人群对构筑物的触摸。不得对史迹进行平面布局等方面的改动。</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南山区</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vAlign w:val="center"/>
          </w:tcPr>
          <w:p>
            <w:pPr>
              <w:jc w:val="center"/>
              <w:rPr>
                <w:rFonts w:hint="default" w:ascii="宋体" w:hAnsi="宋体" w:eastAsia="宋体"/>
                <w:color w:val="auto"/>
                <w:szCs w:val="21"/>
                <w:lang w:val="en-US" w:eastAsia="zh-CN"/>
              </w:rPr>
            </w:pPr>
            <w:r>
              <w:rPr>
                <w:rFonts w:hint="eastAsia" w:ascii="宋体" w:hAnsi="宋体" w:eastAsia="宋体"/>
                <w:color w:val="auto"/>
                <w:szCs w:val="21"/>
                <w:lang w:val="en-US" w:eastAsia="zh-CN"/>
              </w:rPr>
              <w:t>10</w:t>
            </w:r>
          </w:p>
        </w:tc>
        <w:tc>
          <w:tcPr>
            <w:tcW w:w="3543" w:type="dxa"/>
            <w:vAlign w:val="center"/>
          </w:tcPr>
          <w:p>
            <w:pPr>
              <w:jc w:val="center"/>
              <w:rPr>
                <w:rFonts w:ascii="宋体" w:hAnsi="宋体" w:eastAsia="宋体"/>
                <w:color w:val="auto"/>
                <w:szCs w:val="21"/>
              </w:rPr>
            </w:pPr>
            <w:r>
              <w:rPr>
                <w:rFonts w:hint="eastAsia" w:ascii="宋体" w:hAnsi="宋体" w:eastAsia="宋体"/>
                <w:color w:val="auto"/>
                <w:szCs w:val="21"/>
              </w:rPr>
              <w:t>环境整治工程</w:t>
            </w:r>
          </w:p>
          <w:p>
            <w:pPr>
              <w:jc w:val="center"/>
              <w:rPr>
                <w:rFonts w:ascii="宋体" w:hAnsi="宋体" w:eastAsia="宋体"/>
                <w:color w:val="auto"/>
                <w:szCs w:val="21"/>
              </w:rPr>
            </w:pPr>
            <w:r>
              <w:rPr>
                <w:rFonts w:hint="eastAsia" w:ascii="宋体" w:hAnsi="宋体" w:eastAsia="宋体"/>
                <w:color w:val="auto"/>
                <w:szCs w:val="21"/>
              </w:rPr>
              <w:t>展示利用工程</w:t>
            </w:r>
          </w:p>
        </w:tc>
        <w:tc>
          <w:tcPr>
            <w:tcW w:w="3544" w:type="dxa"/>
            <w:vAlign w:val="center"/>
          </w:tcPr>
          <w:p>
            <w:pPr>
              <w:jc w:val="center"/>
              <w:rPr>
                <w:rFonts w:ascii="宋体" w:hAnsi="宋体" w:eastAsia="宋体"/>
                <w:color w:val="auto"/>
                <w:szCs w:val="21"/>
              </w:rPr>
            </w:pPr>
            <w:r>
              <w:rPr>
                <w:rFonts w:hint="eastAsia" w:ascii="宋体" w:hAnsi="宋体" w:eastAsia="宋体"/>
                <w:color w:val="auto"/>
                <w:szCs w:val="21"/>
              </w:rPr>
              <w:t>“空谈误国，实干兴邦”标语牌改造利用</w:t>
            </w:r>
          </w:p>
        </w:tc>
        <w:tc>
          <w:tcPr>
            <w:tcW w:w="9923" w:type="dxa"/>
            <w:vAlign w:val="center"/>
          </w:tcPr>
          <w:p>
            <w:pPr>
              <w:rPr>
                <w:rFonts w:ascii="宋体" w:hAnsi="宋体" w:eastAsia="宋体"/>
                <w:color w:val="auto"/>
                <w:szCs w:val="21"/>
              </w:rPr>
            </w:pPr>
            <w:r>
              <w:rPr>
                <w:rFonts w:hint="eastAsia" w:ascii="宋体" w:hAnsi="宋体" w:eastAsia="宋体"/>
                <w:color w:val="auto"/>
                <w:szCs w:val="21"/>
              </w:rPr>
              <w:t>可在标语牌周边进行小范围的环境改造，设置市民街头口袋公园，可配套休闲步道、廊道等，附以相应的绿化设施，形成城市的小空间聚集点。</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南山区</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vAlign w:val="center"/>
          </w:tcPr>
          <w:p>
            <w:pPr>
              <w:jc w:val="center"/>
              <w:rPr>
                <w:rFonts w:hint="default" w:ascii="宋体" w:hAnsi="宋体" w:eastAsia="宋体"/>
                <w:color w:val="auto"/>
                <w:szCs w:val="21"/>
                <w:lang w:val="en-US" w:eastAsia="zh-CN"/>
              </w:rPr>
            </w:pPr>
            <w:r>
              <w:rPr>
                <w:rFonts w:hint="eastAsia" w:ascii="宋体" w:hAnsi="宋体" w:eastAsia="宋体"/>
                <w:color w:val="auto"/>
                <w:szCs w:val="21"/>
                <w:lang w:val="en-US" w:eastAsia="zh-CN"/>
              </w:rPr>
              <w:t>11</w:t>
            </w:r>
          </w:p>
        </w:tc>
        <w:tc>
          <w:tcPr>
            <w:tcW w:w="3543" w:type="dxa"/>
            <w:vAlign w:val="center"/>
          </w:tcPr>
          <w:p>
            <w:pPr>
              <w:jc w:val="center"/>
              <w:rPr>
                <w:rFonts w:ascii="宋体" w:hAnsi="宋体" w:eastAsia="宋体"/>
                <w:color w:val="auto"/>
                <w:szCs w:val="21"/>
              </w:rPr>
            </w:pPr>
            <w:r>
              <w:rPr>
                <w:rFonts w:hint="eastAsia" w:ascii="宋体" w:hAnsi="宋体" w:eastAsia="宋体"/>
                <w:color w:val="auto"/>
                <w:szCs w:val="21"/>
              </w:rPr>
              <w:t>展示利用工程</w:t>
            </w:r>
          </w:p>
          <w:p>
            <w:pPr>
              <w:jc w:val="center"/>
              <w:rPr>
                <w:rFonts w:ascii="宋体" w:hAnsi="宋体" w:eastAsia="宋体"/>
                <w:color w:val="auto"/>
                <w:szCs w:val="21"/>
              </w:rPr>
            </w:pPr>
            <w:r>
              <w:rPr>
                <w:rFonts w:hint="eastAsia" w:ascii="宋体" w:hAnsi="宋体" w:eastAsia="宋体"/>
                <w:color w:val="auto"/>
                <w:szCs w:val="21"/>
              </w:rPr>
              <w:t>文旅融合工程</w:t>
            </w:r>
          </w:p>
        </w:tc>
        <w:tc>
          <w:tcPr>
            <w:tcW w:w="3544" w:type="dxa"/>
            <w:vAlign w:val="center"/>
          </w:tcPr>
          <w:p>
            <w:pPr>
              <w:jc w:val="center"/>
              <w:rPr>
                <w:rFonts w:ascii="宋体" w:hAnsi="宋体" w:eastAsia="宋体"/>
                <w:color w:val="auto"/>
                <w:szCs w:val="21"/>
              </w:rPr>
            </w:pPr>
            <w:r>
              <w:rPr>
                <w:rFonts w:hint="eastAsia" w:ascii="宋体" w:hAnsi="宋体" w:eastAsia="宋体"/>
                <w:color w:val="auto"/>
                <w:szCs w:val="21"/>
              </w:rPr>
              <w:t>莲花山公园</w:t>
            </w:r>
            <w:r>
              <w:rPr>
                <w:rFonts w:hint="default" w:ascii="宋体" w:hAnsi="宋体" w:eastAsia="宋体"/>
                <w:color w:val="auto"/>
                <w:szCs w:val="21"/>
                <w:lang w:val="en"/>
              </w:rPr>
              <w:t>邓小平铜像</w:t>
            </w:r>
            <w:r>
              <w:rPr>
                <w:rFonts w:hint="eastAsia" w:ascii="宋体" w:hAnsi="宋体" w:eastAsia="宋体"/>
                <w:color w:val="auto"/>
                <w:szCs w:val="21"/>
              </w:rPr>
              <w:t>改造利用</w:t>
            </w:r>
          </w:p>
        </w:tc>
        <w:tc>
          <w:tcPr>
            <w:tcW w:w="9923" w:type="dxa"/>
            <w:vAlign w:val="center"/>
          </w:tcPr>
          <w:p>
            <w:pPr>
              <w:rPr>
                <w:rFonts w:ascii="宋体" w:hAnsi="宋体" w:eastAsia="宋体"/>
                <w:color w:val="auto"/>
                <w:szCs w:val="21"/>
              </w:rPr>
            </w:pPr>
            <w:r>
              <w:rPr>
                <w:rFonts w:hint="eastAsia" w:ascii="宋体" w:hAnsi="宋体" w:eastAsia="宋体"/>
                <w:color w:val="auto"/>
                <w:szCs w:val="21"/>
              </w:rPr>
              <w:t>打造全市最具特色的改革开放纪念公园，成为深圳改革开放重要史迹的中心，围绕</w:t>
            </w:r>
            <w:r>
              <w:rPr>
                <w:rFonts w:hint="default" w:ascii="宋体" w:hAnsi="宋体" w:eastAsia="宋体"/>
                <w:color w:val="auto"/>
                <w:szCs w:val="21"/>
                <w:lang w:val="en"/>
              </w:rPr>
              <w:t>邓小平铜像</w:t>
            </w:r>
            <w:r>
              <w:rPr>
                <w:rFonts w:hint="eastAsia" w:ascii="宋体" w:hAnsi="宋体" w:eastAsia="宋体"/>
                <w:color w:val="auto"/>
                <w:szCs w:val="21"/>
              </w:rPr>
              <w:t>对整个莲花山公园进行改造，打造深圳最具特色的改革开放相关的纪念公园，与前方的改革开放纪念馆相呼应。在</w:t>
            </w:r>
            <w:r>
              <w:rPr>
                <w:rFonts w:hint="default" w:ascii="宋体" w:hAnsi="宋体" w:eastAsia="宋体"/>
                <w:color w:val="auto"/>
                <w:szCs w:val="21"/>
                <w:lang w:val="en"/>
              </w:rPr>
              <w:t>邓小平铜像</w:t>
            </w:r>
            <w:r>
              <w:rPr>
                <w:rFonts w:hint="eastAsia" w:ascii="宋体" w:hAnsi="宋体" w:eastAsia="宋体"/>
                <w:color w:val="auto"/>
                <w:szCs w:val="21"/>
              </w:rPr>
              <w:t>周边设置相关的展陈区域，着重展陈</w:t>
            </w:r>
            <w:r>
              <w:rPr>
                <w:rFonts w:hint="default" w:ascii="宋体" w:hAnsi="宋体" w:eastAsia="宋体"/>
                <w:color w:val="auto"/>
                <w:szCs w:val="21"/>
                <w:lang w:val="en"/>
              </w:rPr>
              <w:t>邓小平铜像</w:t>
            </w:r>
            <w:r>
              <w:rPr>
                <w:rFonts w:hint="eastAsia" w:ascii="宋体" w:hAnsi="宋体" w:eastAsia="宋体"/>
                <w:color w:val="auto"/>
                <w:szCs w:val="21"/>
              </w:rPr>
              <w:t>与深圳改革开放的相关历史。可在莲花山公园进行公园范围内的展示陈列，并设置相关的其他重要史迹的介绍。</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福田区</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vAlign w:val="center"/>
          </w:tcPr>
          <w:p>
            <w:pPr>
              <w:jc w:val="center"/>
              <w:rPr>
                <w:rFonts w:hint="default" w:ascii="宋体" w:hAnsi="宋体" w:eastAsia="宋体"/>
                <w:color w:val="auto"/>
                <w:szCs w:val="21"/>
                <w:lang w:val="en-US" w:eastAsia="zh-CN"/>
              </w:rPr>
            </w:pPr>
            <w:r>
              <w:rPr>
                <w:rFonts w:hint="eastAsia" w:ascii="宋体" w:hAnsi="宋体" w:eastAsia="宋体"/>
                <w:color w:val="auto"/>
                <w:szCs w:val="21"/>
                <w:lang w:val="en-US" w:eastAsia="zh-CN"/>
              </w:rPr>
              <w:t>12</w:t>
            </w:r>
          </w:p>
        </w:tc>
        <w:tc>
          <w:tcPr>
            <w:tcW w:w="3543" w:type="dxa"/>
            <w:vAlign w:val="center"/>
          </w:tcPr>
          <w:p>
            <w:pPr>
              <w:jc w:val="center"/>
              <w:rPr>
                <w:rFonts w:ascii="宋体" w:hAnsi="宋体" w:eastAsia="宋体"/>
                <w:color w:val="auto"/>
                <w:szCs w:val="21"/>
              </w:rPr>
            </w:pPr>
            <w:r>
              <w:rPr>
                <w:rFonts w:hint="eastAsia" w:ascii="宋体" w:hAnsi="宋体" w:eastAsia="宋体"/>
                <w:color w:val="auto"/>
                <w:szCs w:val="21"/>
              </w:rPr>
              <w:t>展示利用工程</w:t>
            </w:r>
          </w:p>
          <w:p>
            <w:pPr>
              <w:jc w:val="center"/>
              <w:rPr>
                <w:rFonts w:ascii="宋体" w:hAnsi="宋体" w:eastAsia="宋体"/>
                <w:color w:val="auto"/>
                <w:szCs w:val="21"/>
              </w:rPr>
            </w:pPr>
            <w:r>
              <w:rPr>
                <w:rFonts w:hint="eastAsia" w:ascii="宋体" w:hAnsi="宋体" w:eastAsia="宋体"/>
                <w:color w:val="auto"/>
                <w:szCs w:val="21"/>
              </w:rPr>
              <w:t>文旅融合工程</w:t>
            </w:r>
          </w:p>
        </w:tc>
        <w:tc>
          <w:tcPr>
            <w:tcW w:w="3544" w:type="dxa"/>
            <w:vAlign w:val="center"/>
          </w:tcPr>
          <w:p>
            <w:pPr>
              <w:jc w:val="center"/>
              <w:rPr>
                <w:rFonts w:ascii="宋体" w:hAnsi="宋体" w:eastAsia="宋体"/>
                <w:color w:val="auto"/>
                <w:szCs w:val="21"/>
              </w:rPr>
            </w:pPr>
            <w:r>
              <w:rPr>
                <w:rFonts w:hint="eastAsia" w:ascii="宋体" w:hAnsi="宋体" w:eastAsia="宋体"/>
                <w:color w:val="auto"/>
                <w:szCs w:val="21"/>
              </w:rPr>
              <w:t>国贸大厦改造提升</w:t>
            </w:r>
          </w:p>
        </w:tc>
        <w:tc>
          <w:tcPr>
            <w:tcW w:w="9923" w:type="dxa"/>
            <w:vAlign w:val="center"/>
          </w:tcPr>
          <w:p>
            <w:pPr>
              <w:rPr>
                <w:rFonts w:ascii="宋体" w:hAnsi="宋体" w:eastAsia="宋体"/>
                <w:color w:val="auto"/>
                <w:szCs w:val="21"/>
              </w:rPr>
            </w:pPr>
            <w:r>
              <w:rPr>
                <w:rFonts w:hint="eastAsia" w:ascii="宋体" w:hAnsi="宋体" w:eastAsia="宋体"/>
                <w:color w:val="auto"/>
                <w:szCs w:val="21"/>
              </w:rPr>
              <w:t>可对国贸大厦的入口空间进行改造利用，进行一层的整体展陈，展示国贸大厦与改革开放相关的各类历史事件等。国贸大厦顶层的展陈空间和邓小平南方谈话的邓公厅展示利用较好，进行日常维护即可，增加与改革开放相关的展陈。</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罗湖区</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vAlign w:val="center"/>
          </w:tcPr>
          <w:p>
            <w:pPr>
              <w:jc w:val="center"/>
              <w:rPr>
                <w:rFonts w:hint="default" w:ascii="宋体" w:hAnsi="宋体" w:eastAsia="宋体"/>
                <w:color w:val="auto"/>
                <w:szCs w:val="21"/>
                <w:lang w:val="en-US" w:eastAsia="zh-CN"/>
              </w:rPr>
            </w:pPr>
            <w:r>
              <w:rPr>
                <w:rFonts w:hint="eastAsia" w:ascii="宋体" w:hAnsi="宋体" w:eastAsia="宋体"/>
                <w:color w:val="auto"/>
                <w:szCs w:val="21"/>
                <w:lang w:val="en-US" w:eastAsia="zh-CN"/>
              </w:rPr>
              <w:t>13</w:t>
            </w:r>
          </w:p>
        </w:tc>
        <w:tc>
          <w:tcPr>
            <w:tcW w:w="3543" w:type="dxa"/>
            <w:vAlign w:val="center"/>
          </w:tcPr>
          <w:p>
            <w:pPr>
              <w:jc w:val="center"/>
              <w:rPr>
                <w:rFonts w:ascii="宋体" w:hAnsi="宋体" w:eastAsia="宋体"/>
                <w:color w:val="auto"/>
                <w:szCs w:val="21"/>
              </w:rPr>
            </w:pPr>
            <w:r>
              <w:rPr>
                <w:rFonts w:hint="eastAsia" w:ascii="宋体" w:hAnsi="宋体" w:eastAsia="宋体"/>
                <w:color w:val="auto"/>
                <w:szCs w:val="21"/>
              </w:rPr>
              <w:t>展示利用工程</w:t>
            </w:r>
          </w:p>
        </w:tc>
        <w:tc>
          <w:tcPr>
            <w:tcW w:w="3544" w:type="dxa"/>
            <w:vAlign w:val="center"/>
          </w:tcPr>
          <w:p>
            <w:pPr>
              <w:jc w:val="center"/>
              <w:rPr>
                <w:rFonts w:ascii="宋体" w:hAnsi="宋体" w:eastAsia="宋体"/>
                <w:color w:val="auto"/>
                <w:szCs w:val="21"/>
              </w:rPr>
            </w:pPr>
            <w:r>
              <w:rPr>
                <w:rFonts w:hint="eastAsia" w:ascii="宋体" w:hAnsi="宋体" w:eastAsia="宋体"/>
                <w:color w:val="auto"/>
                <w:szCs w:val="21"/>
              </w:rPr>
              <w:t>南岭村改造利用</w:t>
            </w:r>
          </w:p>
        </w:tc>
        <w:tc>
          <w:tcPr>
            <w:tcW w:w="9923" w:type="dxa"/>
            <w:vAlign w:val="center"/>
          </w:tcPr>
          <w:p>
            <w:pPr>
              <w:rPr>
                <w:rFonts w:ascii="宋体" w:hAnsi="宋体" w:eastAsia="宋体"/>
                <w:color w:val="auto"/>
                <w:szCs w:val="21"/>
              </w:rPr>
            </w:pPr>
            <w:r>
              <w:rPr>
                <w:rFonts w:hint="eastAsia" w:ascii="宋体" w:hAnsi="宋体" w:eastAsia="宋体"/>
                <w:color w:val="auto"/>
                <w:szCs w:val="21"/>
              </w:rPr>
              <w:t>展示利用：对南岭村的办公楼进行改造修缮，计划将致富思源馆搬至该办公楼作为村史馆使用。利用局部开敞空间，以历史建筑、人物、事件等为题材，通过具象的表达方式，营造层次丰富的展示空间。</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龙岗区</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lang w:val="en-US" w:eastAsia="zh-CN"/>
              </w:rPr>
              <w:t>中</w:t>
            </w:r>
            <w:r>
              <w:rPr>
                <w:rFonts w:hint="eastAsia" w:ascii="宋体" w:hAnsi="宋体" w:eastAsia="宋体"/>
                <w:color w:val="auto"/>
                <w:szCs w:val="21"/>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vAlign w:val="center"/>
          </w:tcPr>
          <w:p>
            <w:pPr>
              <w:jc w:val="center"/>
              <w:rPr>
                <w:rFonts w:hint="default" w:ascii="宋体" w:hAnsi="宋体" w:eastAsia="宋体"/>
                <w:color w:val="auto"/>
                <w:szCs w:val="21"/>
                <w:lang w:val="en-US" w:eastAsia="zh-CN"/>
              </w:rPr>
            </w:pPr>
            <w:r>
              <w:rPr>
                <w:rFonts w:hint="eastAsia" w:ascii="宋体" w:hAnsi="宋体" w:eastAsia="宋体"/>
                <w:color w:val="auto"/>
                <w:szCs w:val="21"/>
                <w:lang w:val="en-US" w:eastAsia="zh-CN"/>
              </w:rPr>
              <w:t>14</w:t>
            </w:r>
          </w:p>
        </w:tc>
        <w:tc>
          <w:tcPr>
            <w:tcW w:w="3543" w:type="dxa"/>
            <w:vAlign w:val="center"/>
          </w:tcPr>
          <w:p>
            <w:pPr>
              <w:jc w:val="center"/>
              <w:rPr>
                <w:rFonts w:ascii="宋体" w:hAnsi="宋体" w:eastAsia="宋体"/>
                <w:color w:val="auto"/>
                <w:szCs w:val="21"/>
              </w:rPr>
            </w:pPr>
            <w:r>
              <w:rPr>
                <w:rFonts w:hint="eastAsia" w:ascii="宋体" w:hAnsi="宋体" w:eastAsia="宋体"/>
                <w:color w:val="auto"/>
                <w:szCs w:val="21"/>
              </w:rPr>
              <w:t>环境整治工程</w:t>
            </w:r>
          </w:p>
          <w:p>
            <w:pPr>
              <w:jc w:val="center"/>
              <w:rPr>
                <w:rFonts w:ascii="宋体" w:hAnsi="宋体" w:eastAsia="宋体"/>
                <w:color w:val="auto"/>
                <w:szCs w:val="21"/>
              </w:rPr>
            </w:pPr>
            <w:r>
              <w:rPr>
                <w:rFonts w:hint="eastAsia" w:ascii="宋体" w:hAnsi="宋体" w:eastAsia="宋体"/>
                <w:color w:val="auto"/>
                <w:szCs w:val="21"/>
              </w:rPr>
              <w:t>展示利用工程</w:t>
            </w:r>
          </w:p>
          <w:p>
            <w:pPr>
              <w:jc w:val="center"/>
              <w:rPr>
                <w:rFonts w:ascii="宋体" w:hAnsi="宋体" w:eastAsia="宋体"/>
                <w:color w:val="auto"/>
                <w:szCs w:val="21"/>
              </w:rPr>
            </w:pPr>
            <w:r>
              <w:rPr>
                <w:rFonts w:hint="eastAsia" w:ascii="宋体" w:hAnsi="宋体" w:eastAsia="宋体"/>
                <w:color w:val="auto"/>
                <w:szCs w:val="21"/>
              </w:rPr>
              <w:t>文旅融合工程</w:t>
            </w:r>
          </w:p>
        </w:tc>
        <w:tc>
          <w:tcPr>
            <w:tcW w:w="3544" w:type="dxa"/>
            <w:vAlign w:val="center"/>
          </w:tcPr>
          <w:p>
            <w:pPr>
              <w:jc w:val="center"/>
              <w:rPr>
                <w:rFonts w:ascii="宋体" w:hAnsi="宋体" w:eastAsia="宋体"/>
                <w:color w:val="auto"/>
                <w:szCs w:val="21"/>
              </w:rPr>
            </w:pPr>
            <w:r>
              <w:rPr>
                <w:rFonts w:hint="eastAsia" w:ascii="宋体" w:hAnsi="宋体" w:eastAsia="宋体"/>
                <w:color w:val="auto"/>
                <w:szCs w:val="21"/>
              </w:rPr>
              <w:t>艺象</w:t>
            </w:r>
            <w:r>
              <w:rPr>
                <w:rFonts w:ascii="宋体" w:hAnsi="宋体" w:eastAsia="宋体"/>
                <w:color w:val="auto"/>
                <w:szCs w:val="21"/>
              </w:rPr>
              <w:t>ID TOWN</w:t>
            </w:r>
            <w:r>
              <w:rPr>
                <w:rFonts w:hint="eastAsia" w:ascii="宋体" w:hAnsi="宋体" w:eastAsia="宋体"/>
                <w:color w:val="auto"/>
                <w:szCs w:val="21"/>
              </w:rPr>
              <w:t>改造提升</w:t>
            </w:r>
          </w:p>
        </w:tc>
        <w:tc>
          <w:tcPr>
            <w:tcW w:w="9923" w:type="dxa"/>
            <w:vAlign w:val="center"/>
          </w:tcPr>
          <w:p>
            <w:pPr>
              <w:rPr>
                <w:rFonts w:ascii="宋体" w:hAnsi="宋体" w:eastAsia="宋体"/>
                <w:color w:val="auto"/>
                <w:szCs w:val="21"/>
              </w:rPr>
            </w:pPr>
            <w:r>
              <w:rPr>
                <w:rFonts w:hint="eastAsia" w:ascii="宋体" w:hAnsi="宋体" w:eastAsia="宋体"/>
                <w:color w:val="auto"/>
                <w:szCs w:val="21"/>
              </w:rPr>
              <w:t>现有部分厂区已进行了相关改造，对剩余未开发的厂区进行规划设计展陈部分，增强展示空间，突出改革开放主题，展现改革开放</w:t>
            </w:r>
            <w:r>
              <w:rPr>
                <w:rFonts w:ascii="宋体" w:hAnsi="宋体" w:eastAsia="宋体"/>
                <w:color w:val="auto"/>
                <w:szCs w:val="21"/>
              </w:rPr>
              <w:t>40年来深圳的工业发展历程。</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大鹏新区</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lang w:val="en-US" w:eastAsia="zh-CN"/>
              </w:rPr>
              <w:t>中</w:t>
            </w:r>
            <w:r>
              <w:rPr>
                <w:rFonts w:hint="eastAsia" w:ascii="宋体" w:hAnsi="宋体" w:eastAsia="宋体"/>
                <w:color w:val="auto"/>
                <w:szCs w:val="21"/>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vAlign w:val="center"/>
          </w:tcPr>
          <w:p>
            <w:pPr>
              <w:jc w:val="center"/>
              <w:rPr>
                <w:rFonts w:hint="default" w:ascii="宋体" w:hAnsi="宋体" w:eastAsia="宋体"/>
                <w:color w:val="auto"/>
                <w:szCs w:val="21"/>
                <w:lang w:val="en-US" w:eastAsia="zh-CN"/>
              </w:rPr>
            </w:pPr>
            <w:r>
              <w:rPr>
                <w:rFonts w:hint="eastAsia" w:ascii="宋体" w:hAnsi="宋体" w:eastAsia="宋体"/>
                <w:color w:val="auto"/>
                <w:szCs w:val="21"/>
                <w:lang w:val="en-US" w:eastAsia="zh-CN"/>
              </w:rPr>
              <w:t>15</w:t>
            </w:r>
          </w:p>
        </w:tc>
        <w:tc>
          <w:tcPr>
            <w:tcW w:w="3543" w:type="dxa"/>
            <w:vAlign w:val="center"/>
          </w:tcPr>
          <w:p>
            <w:pPr>
              <w:jc w:val="center"/>
              <w:rPr>
                <w:rFonts w:ascii="宋体" w:hAnsi="宋体" w:eastAsia="宋体"/>
                <w:color w:val="auto"/>
                <w:szCs w:val="21"/>
              </w:rPr>
            </w:pPr>
            <w:r>
              <w:rPr>
                <w:rFonts w:hint="eastAsia" w:ascii="宋体" w:hAnsi="宋体" w:eastAsia="宋体"/>
                <w:color w:val="auto"/>
                <w:szCs w:val="21"/>
              </w:rPr>
              <w:t>保护工程</w:t>
            </w:r>
          </w:p>
          <w:p>
            <w:pPr>
              <w:jc w:val="center"/>
              <w:rPr>
                <w:rFonts w:ascii="宋体" w:hAnsi="宋体" w:eastAsia="宋体"/>
                <w:color w:val="auto"/>
                <w:szCs w:val="21"/>
              </w:rPr>
            </w:pPr>
            <w:r>
              <w:rPr>
                <w:rFonts w:hint="eastAsia" w:ascii="宋体" w:hAnsi="宋体" w:eastAsia="宋体"/>
                <w:color w:val="auto"/>
                <w:szCs w:val="21"/>
              </w:rPr>
              <w:t>保护管理工程</w:t>
            </w:r>
          </w:p>
        </w:tc>
        <w:tc>
          <w:tcPr>
            <w:tcW w:w="3544" w:type="dxa"/>
            <w:vAlign w:val="center"/>
          </w:tcPr>
          <w:p>
            <w:pPr>
              <w:jc w:val="center"/>
              <w:rPr>
                <w:rFonts w:ascii="宋体" w:hAnsi="宋体" w:eastAsia="宋体"/>
                <w:color w:val="auto"/>
                <w:szCs w:val="21"/>
              </w:rPr>
            </w:pPr>
            <w:r>
              <w:rPr>
                <w:rFonts w:hint="eastAsia" w:ascii="宋体" w:hAnsi="宋体" w:eastAsia="宋体"/>
                <w:color w:val="auto"/>
                <w:szCs w:val="21"/>
              </w:rPr>
              <w:t>沙头角保税区保护</w:t>
            </w:r>
          </w:p>
        </w:tc>
        <w:tc>
          <w:tcPr>
            <w:tcW w:w="9923" w:type="dxa"/>
            <w:vAlign w:val="center"/>
          </w:tcPr>
          <w:p>
            <w:pPr>
              <w:rPr>
                <w:rFonts w:ascii="宋体" w:hAnsi="宋体" w:eastAsia="宋体"/>
                <w:color w:val="auto"/>
                <w:szCs w:val="21"/>
              </w:rPr>
            </w:pPr>
            <w:r>
              <w:rPr>
                <w:rFonts w:hint="eastAsia" w:ascii="宋体" w:hAnsi="宋体" w:eastAsia="宋体"/>
                <w:color w:val="auto"/>
                <w:szCs w:val="21"/>
              </w:rPr>
              <w:t>保护：在沙头角还未退区完成时，对现有的沙头角片区进行资料收集、相关模型的建设等数字化存档。</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盐田区</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中期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vAlign w:val="center"/>
          </w:tcPr>
          <w:p>
            <w:pPr>
              <w:jc w:val="center"/>
              <w:rPr>
                <w:rFonts w:hint="eastAsia" w:ascii="宋体" w:hAnsi="宋体" w:eastAsia="宋体"/>
                <w:color w:val="auto"/>
                <w:szCs w:val="21"/>
                <w:lang w:val="en-US" w:eastAsia="zh-CN"/>
              </w:rPr>
            </w:pPr>
            <w:r>
              <w:rPr>
                <w:rFonts w:hint="eastAsia" w:ascii="宋体" w:hAnsi="宋体" w:eastAsia="宋体"/>
                <w:color w:val="auto"/>
                <w:szCs w:val="21"/>
              </w:rPr>
              <w:t>1</w:t>
            </w:r>
            <w:r>
              <w:rPr>
                <w:rFonts w:hint="eastAsia" w:ascii="宋体" w:hAnsi="宋体" w:eastAsia="宋体"/>
                <w:color w:val="auto"/>
                <w:szCs w:val="21"/>
                <w:lang w:val="en-US" w:eastAsia="zh-CN"/>
              </w:rPr>
              <w:t>6</w:t>
            </w:r>
          </w:p>
        </w:tc>
        <w:tc>
          <w:tcPr>
            <w:tcW w:w="3543" w:type="dxa"/>
            <w:vAlign w:val="center"/>
          </w:tcPr>
          <w:p>
            <w:pPr>
              <w:ind w:firstLine="1050" w:firstLineChars="500"/>
              <w:rPr>
                <w:rFonts w:ascii="宋体" w:hAnsi="宋体" w:eastAsia="宋体"/>
                <w:color w:val="auto"/>
                <w:szCs w:val="21"/>
              </w:rPr>
            </w:pPr>
            <w:r>
              <w:rPr>
                <w:rFonts w:hint="eastAsia" w:ascii="宋体" w:hAnsi="宋体" w:eastAsia="宋体"/>
                <w:color w:val="auto"/>
                <w:szCs w:val="21"/>
              </w:rPr>
              <w:t>展示利用工程</w:t>
            </w:r>
          </w:p>
          <w:p>
            <w:pPr>
              <w:jc w:val="center"/>
              <w:rPr>
                <w:rFonts w:ascii="宋体" w:hAnsi="宋体" w:eastAsia="宋体"/>
                <w:color w:val="auto"/>
                <w:szCs w:val="21"/>
              </w:rPr>
            </w:pPr>
            <w:r>
              <w:rPr>
                <w:rFonts w:hint="eastAsia" w:ascii="宋体" w:hAnsi="宋体" w:eastAsia="宋体"/>
                <w:color w:val="auto"/>
                <w:szCs w:val="21"/>
              </w:rPr>
              <w:t>文旅融合工程</w:t>
            </w:r>
          </w:p>
        </w:tc>
        <w:tc>
          <w:tcPr>
            <w:tcW w:w="3544" w:type="dxa"/>
            <w:vAlign w:val="center"/>
          </w:tcPr>
          <w:p>
            <w:pPr>
              <w:jc w:val="center"/>
              <w:rPr>
                <w:rFonts w:ascii="宋体" w:hAnsi="宋体" w:eastAsia="宋体"/>
                <w:color w:val="auto"/>
                <w:szCs w:val="21"/>
              </w:rPr>
            </w:pPr>
            <w:r>
              <w:rPr>
                <w:rFonts w:hint="eastAsia" w:ascii="宋体" w:hAnsi="宋体" w:eastAsia="宋体"/>
                <w:color w:val="auto"/>
                <w:szCs w:val="21"/>
              </w:rPr>
              <w:t>沙头角保税区改造利用</w:t>
            </w:r>
          </w:p>
        </w:tc>
        <w:tc>
          <w:tcPr>
            <w:tcW w:w="9923" w:type="dxa"/>
            <w:vAlign w:val="center"/>
          </w:tcPr>
          <w:p>
            <w:pPr>
              <w:rPr>
                <w:rFonts w:ascii="宋体" w:hAnsi="宋体" w:eastAsia="宋体"/>
                <w:color w:val="auto"/>
                <w:szCs w:val="21"/>
              </w:rPr>
            </w:pPr>
            <w:r>
              <w:rPr>
                <w:rFonts w:hint="eastAsia" w:ascii="宋体" w:hAnsi="宋体" w:eastAsia="宋体"/>
                <w:color w:val="auto"/>
                <w:szCs w:val="21"/>
              </w:rPr>
              <w:t>在预计保存的一栋建筑中进行相关的展示。对保留的建筑进行产业的创新升级，延续保税区的特色进行发展。或可新建盐田区保税区纪念馆，记录改革开放以来盐田区的保税区的变化，感受深圳特殊的经济增长点的历史发展。对沙头角保税区进行相关资料收集和整理工作。</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盐田区</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中期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vAlign w:val="center"/>
          </w:tcPr>
          <w:p>
            <w:pPr>
              <w:jc w:val="center"/>
              <w:rPr>
                <w:rFonts w:hint="eastAsia" w:ascii="宋体" w:hAnsi="宋体" w:eastAsia="宋体"/>
                <w:color w:val="auto"/>
                <w:szCs w:val="21"/>
                <w:lang w:val="en-US" w:eastAsia="zh-CN"/>
              </w:rPr>
            </w:pPr>
            <w:r>
              <w:rPr>
                <w:rFonts w:hint="eastAsia" w:ascii="宋体" w:hAnsi="宋体" w:eastAsia="宋体"/>
                <w:color w:val="auto"/>
                <w:szCs w:val="21"/>
                <w:lang w:val="en-US" w:eastAsia="zh-CN"/>
              </w:rPr>
              <w:t>17</w:t>
            </w:r>
          </w:p>
        </w:tc>
        <w:tc>
          <w:tcPr>
            <w:tcW w:w="3543" w:type="dxa"/>
            <w:vAlign w:val="center"/>
          </w:tcPr>
          <w:p>
            <w:pPr>
              <w:jc w:val="center"/>
              <w:rPr>
                <w:rFonts w:ascii="宋体" w:hAnsi="宋体" w:eastAsia="宋体"/>
                <w:color w:val="auto"/>
                <w:szCs w:val="21"/>
              </w:rPr>
            </w:pPr>
            <w:r>
              <w:rPr>
                <w:rFonts w:hint="eastAsia" w:ascii="宋体" w:hAnsi="宋体" w:eastAsia="宋体"/>
                <w:color w:val="auto"/>
                <w:szCs w:val="21"/>
              </w:rPr>
              <w:t>展示利用工程</w:t>
            </w:r>
          </w:p>
          <w:p>
            <w:pPr>
              <w:jc w:val="center"/>
              <w:rPr>
                <w:rFonts w:ascii="宋体" w:hAnsi="宋体" w:eastAsia="宋体" w:cstheme="minorBidi"/>
                <w:color w:val="auto"/>
                <w:kern w:val="2"/>
                <w:sz w:val="21"/>
                <w:szCs w:val="21"/>
                <w:lang w:val="en-US" w:eastAsia="zh-CN" w:bidi="ar-SA"/>
              </w:rPr>
            </w:pPr>
            <w:r>
              <w:rPr>
                <w:rFonts w:hint="eastAsia" w:ascii="宋体" w:hAnsi="宋体" w:eastAsia="宋体"/>
                <w:color w:val="auto"/>
                <w:szCs w:val="21"/>
              </w:rPr>
              <w:t>文旅融合工程</w:t>
            </w:r>
          </w:p>
        </w:tc>
        <w:tc>
          <w:tcPr>
            <w:tcW w:w="3544" w:type="dxa"/>
            <w:vAlign w:val="center"/>
          </w:tcPr>
          <w:p>
            <w:pPr>
              <w:jc w:val="center"/>
              <w:rPr>
                <w:rFonts w:ascii="宋体" w:hAnsi="宋体" w:eastAsia="宋体" w:cstheme="minorBidi"/>
                <w:color w:val="auto"/>
                <w:kern w:val="2"/>
                <w:sz w:val="21"/>
                <w:szCs w:val="21"/>
                <w:lang w:val="en-US" w:eastAsia="zh-CN" w:bidi="ar-SA"/>
              </w:rPr>
            </w:pPr>
            <w:r>
              <w:rPr>
                <w:rFonts w:hint="eastAsia" w:ascii="宋体" w:hAnsi="宋体" w:eastAsia="宋体"/>
                <w:color w:val="auto"/>
                <w:szCs w:val="21"/>
              </w:rPr>
              <w:t>渔民村改造提升</w:t>
            </w:r>
          </w:p>
        </w:tc>
        <w:tc>
          <w:tcPr>
            <w:tcW w:w="9923" w:type="dxa"/>
            <w:vAlign w:val="center"/>
          </w:tcPr>
          <w:p>
            <w:pPr>
              <w:rPr>
                <w:rFonts w:ascii="宋体" w:hAnsi="宋体" w:eastAsia="宋体" w:cstheme="minorBidi"/>
                <w:color w:val="auto"/>
                <w:kern w:val="2"/>
                <w:sz w:val="21"/>
                <w:szCs w:val="21"/>
                <w:lang w:val="en-US" w:eastAsia="zh-CN" w:bidi="ar-SA"/>
              </w:rPr>
            </w:pPr>
            <w:r>
              <w:rPr>
                <w:rFonts w:hint="eastAsia" w:ascii="宋体" w:hAnsi="宋体" w:eastAsia="宋体"/>
                <w:color w:val="auto"/>
                <w:szCs w:val="21"/>
              </w:rPr>
              <w:t>结合重要街巷入口空间，通过牌坊、立面字等表达形式，强化入口的标志性。艺术小品：结合广场、重要载体周边设置具有主题性、互动体验功能的装置艺术小品。继续为市民提供相关展览和参观功能。保护村落的文化长廊、村史馆等空间。在渔民村外部设置相关明显指引。内部改革开放相关介绍较为完善，但外部标识不足。</w:t>
            </w:r>
          </w:p>
        </w:tc>
        <w:tc>
          <w:tcPr>
            <w:tcW w:w="1417" w:type="dxa"/>
            <w:vAlign w:val="center"/>
          </w:tcPr>
          <w:p>
            <w:pPr>
              <w:jc w:val="center"/>
              <w:rPr>
                <w:rFonts w:ascii="宋体" w:hAnsi="宋体" w:eastAsia="宋体" w:cstheme="minorBidi"/>
                <w:color w:val="auto"/>
                <w:kern w:val="2"/>
                <w:sz w:val="21"/>
                <w:szCs w:val="21"/>
                <w:lang w:val="en-US" w:eastAsia="zh-CN" w:bidi="ar-SA"/>
              </w:rPr>
            </w:pPr>
            <w:r>
              <w:rPr>
                <w:rFonts w:hint="eastAsia" w:ascii="宋体" w:hAnsi="宋体" w:eastAsia="宋体"/>
                <w:color w:val="auto"/>
                <w:szCs w:val="21"/>
              </w:rPr>
              <w:t>罗湖区</w:t>
            </w:r>
          </w:p>
        </w:tc>
        <w:tc>
          <w:tcPr>
            <w:tcW w:w="1417" w:type="dxa"/>
            <w:vAlign w:val="center"/>
          </w:tcPr>
          <w:p>
            <w:pPr>
              <w:jc w:val="center"/>
              <w:rPr>
                <w:rFonts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中</w:t>
            </w:r>
            <w:r>
              <w:rPr>
                <w:rFonts w:hint="eastAsia" w:ascii="宋体" w:hAnsi="宋体" w:eastAsia="宋体"/>
                <w:color w:val="auto"/>
                <w:szCs w:val="21"/>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vAlign w:val="center"/>
          </w:tcPr>
          <w:p>
            <w:pPr>
              <w:jc w:val="center"/>
              <w:rPr>
                <w:rFonts w:hint="default" w:ascii="宋体" w:hAnsi="宋体" w:eastAsia="宋体"/>
                <w:color w:val="auto"/>
                <w:szCs w:val="21"/>
                <w:lang w:val="en-US" w:eastAsia="zh-CN"/>
              </w:rPr>
            </w:pPr>
            <w:r>
              <w:rPr>
                <w:rFonts w:hint="eastAsia" w:ascii="宋体" w:hAnsi="宋体" w:eastAsia="宋体"/>
                <w:color w:val="auto"/>
                <w:szCs w:val="21"/>
                <w:lang w:val="en-US" w:eastAsia="zh-CN"/>
              </w:rPr>
              <w:t>18</w:t>
            </w:r>
          </w:p>
        </w:tc>
        <w:tc>
          <w:tcPr>
            <w:tcW w:w="3543" w:type="dxa"/>
            <w:vAlign w:val="center"/>
          </w:tcPr>
          <w:p>
            <w:pPr>
              <w:jc w:val="center"/>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rPr>
              <w:t>保护工程</w:t>
            </w:r>
          </w:p>
        </w:tc>
        <w:tc>
          <w:tcPr>
            <w:tcW w:w="3544" w:type="dxa"/>
            <w:vAlign w:val="center"/>
          </w:tcPr>
          <w:p>
            <w:pPr>
              <w:jc w:val="center"/>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rPr>
              <w:t>前海石公园保护</w:t>
            </w:r>
          </w:p>
        </w:tc>
        <w:tc>
          <w:tcPr>
            <w:tcW w:w="9923" w:type="dxa"/>
            <w:vAlign w:val="center"/>
          </w:tcPr>
          <w:p>
            <w:pPr>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rPr>
              <w:t>对相关领导人视察的场景空间进行保护，划定相关保护范围或建设控制地带。对前海石进行石材的相关保养维护。对前海石公园的格局进行保护。</w:t>
            </w:r>
          </w:p>
        </w:tc>
        <w:tc>
          <w:tcPr>
            <w:tcW w:w="1417" w:type="dxa"/>
            <w:vAlign w:val="center"/>
          </w:tcPr>
          <w:p>
            <w:pPr>
              <w:jc w:val="center"/>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rPr>
              <w:t>南山区</w:t>
            </w:r>
          </w:p>
        </w:tc>
        <w:tc>
          <w:tcPr>
            <w:tcW w:w="1417" w:type="dxa"/>
            <w:vAlign w:val="center"/>
          </w:tcPr>
          <w:p>
            <w:pPr>
              <w:jc w:val="center"/>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中</w:t>
            </w:r>
            <w:r>
              <w:rPr>
                <w:rFonts w:hint="eastAsia" w:ascii="宋体" w:hAnsi="宋体" w:eastAsia="宋体"/>
                <w:color w:val="auto"/>
                <w:szCs w:val="21"/>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vAlign w:val="center"/>
          </w:tcPr>
          <w:p>
            <w:pPr>
              <w:jc w:val="center"/>
              <w:rPr>
                <w:rFonts w:hint="default" w:ascii="宋体" w:hAnsi="宋体" w:eastAsia="宋体"/>
                <w:color w:val="auto"/>
                <w:szCs w:val="21"/>
                <w:lang w:val="en-US" w:eastAsia="zh-CN"/>
              </w:rPr>
            </w:pPr>
            <w:r>
              <w:rPr>
                <w:rFonts w:hint="eastAsia" w:ascii="宋体" w:hAnsi="宋体" w:eastAsia="宋体"/>
                <w:color w:val="auto"/>
                <w:szCs w:val="21"/>
                <w:lang w:val="en-US" w:eastAsia="zh-CN"/>
              </w:rPr>
              <w:t>19</w:t>
            </w:r>
          </w:p>
        </w:tc>
        <w:tc>
          <w:tcPr>
            <w:tcW w:w="3543" w:type="dxa"/>
            <w:vAlign w:val="center"/>
          </w:tcPr>
          <w:p>
            <w:pPr>
              <w:jc w:val="center"/>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rPr>
              <w:t>展示利用工程</w:t>
            </w:r>
          </w:p>
        </w:tc>
        <w:tc>
          <w:tcPr>
            <w:tcW w:w="3544" w:type="dxa"/>
            <w:vAlign w:val="center"/>
          </w:tcPr>
          <w:p>
            <w:pPr>
              <w:jc w:val="center"/>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rPr>
              <w:t>前海石公园改造利用</w:t>
            </w:r>
          </w:p>
        </w:tc>
        <w:tc>
          <w:tcPr>
            <w:tcW w:w="9923" w:type="dxa"/>
            <w:vAlign w:val="center"/>
          </w:tcPr>
          <w:p>
            <w:pPr>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rPr>
              <w:t>进行重新规划设计，在介绍内容里强调改革开放的相关板块。设计展示廊道，陈列相关领导人雕像、展牌介绍改革开放重要事迹等。本体展示、陈列展示、标识展示、数字展示同时进行。</w:t>
            </w:r>
          </w:p>
        </w:tc>
        <w:tc>
          <w:tcPr>
            <w:tcW w:w="1417" w:type="dxa"/>
            <w:vAlign w:val="center"/>
          </w:tcPr>
          <w:p>
            <w:pPr>
              <w:jc w:val="center"/>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rPr>
              <w:t>南山区</w:t>
            </w:r>
          </w:p>
        </w:tc>
        <w:tc>
          <w:tcPr>
            <w:tcW w:w="1417" w:type="dxa"/>
            <w:vAlign w:val="center"/>
          </w:tcPr>
          <w:p>
            <w:pPr>
              <w:jc w:val="center"/>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中</w:t>
            </w:r>
            <w:r>
              <w:rPr>
                <w:rFonts w:hint="eastAsia" w:ascii="宋体" w:hAnsi="宋体" w:eastAsia="宋体"/>
                <w:color w:val="auto"/>
                <w:szCs w:val="21"/>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vAlign w:val="center"/>
          </w:tcPr>
          <w:p>
            <w:pPr>
              <w:jc w:val="center"/>
              <w:rPr>
                <w:rFonts w:ascii="宋体" w:hAnsi="宋体" w:eastAsia="宋体"/>
                <w:color w:val="auto"/>
                <w:szCs w:val="21"/>
              </w:rPr>
            </w:pPr>
            <w:r>
              <w:rPr>
                <w:rFonts w:hint="eastAsia" w:ascii="宋体" w:hAnsi="宋体" w:eastAsia="宋体"/>
                <w:color w:val="auto"/>
                <w:szCs w:val="21"/>
              </w:rPr>
              <w:t>20</w:t>
            </w:r>
          </w:p>
        </w:tc>
        <w:tc>
          <w:tcPr>
            <w:tcW w:w="3543" w:type="dxa"/>
            <w:vAlign w:val="center"/>
          </w:tcPr>
          <w:p>
            <w:pPr>
              <w:jc w:val="center"/>
              <w:rPr>
                <w:rFonts w:ascii="宋体" w:hAnsi="宋体" w:eastAsia="宋体"/>
                <w:color w:val="auto"/>
                <w:szCs w:val="21"/>
              </w:rPr>
            </w:pPr>
            <w:r>
              <w:rPr>
                <w:rFonts w:hint="eastAsia" w:ascii="宋体" w:hAnsi="宋体" w:eastAsia="宋体"/>
                <w:color w:val="auto"/>
                <w:szCs w:val="21"/>
              </w:rPr>
              <w:t>保护工程</w:t>
            </w:r>
          </w:p>
          <w:p>
            <w:pPr>
              <w:jc w:val="center"/>
              <w:rPr>
                <w:rFonts w:ascii="宋体" w:hAnsi="宋体" w:eastAsia="宋体"/>
                <w:color w:val="auto"/>
                <w:szCs w:val="21"/>
              </w:rPr>
            </w:pPr>
            <w:r>
              <w:rPr>
                <w:rFonts w:hint="eastAsia" w:ascii="宋体" w:hAnsi="宋体" w:eastAsia="宋体"/>
                <w:color w:val="auto"/>
                <w:szCs w:val="21"/>
              </w:rPr>
              <w:t>环境整治工程</w:t>
            </w:r>
          </w:p>
        </w:tc>
        <w:tc>
          <w:tcPr>
            <w:tcW w:w="3544" w:type="dxa"/>
            <w:vAlign w:val="center"/>
          </w:tcPr>
          <w:p>
            <w:pPr>
              <w:jc w:val="center"/>
              <w:rPr>
                <w:rFonts w:ascii="宋体" w:hAnsi="宋体" w:eastAsia="宋体"/>
                <w:color w:val="auto"/>
                <w:szCs w:val="21"/>
              </w:rPr>
            </w:pPr>
            <w:r>
              <w:rPr>
                <w:rFonts w:hint="eastAsia" w:ascii="宋体" w:hAnsi="宋体" w:eastAsia="宋体"/>
                <w:color w:val="auto"/>
                <w:szCs w:val="21"/>
              </w:rPr>
              <w:t>光明街道糖厂保护整治</w:t>
            </w:r>
          </w:p>
        </w:tc>
        <w:tc>
          <w:tcPr>
            <w:tcW w:w="9923" w:type="dxa"/>
            <w:vAlign w:val="center"/>
          </w:tcPr>
          <w:p>
            <w:pPr>
              <w:rPr>
                <w:rFonts w:ascii="宋体" w:hAnsi="宋体" w:eastAsia="宋体"/>
                <w:color w:val="auto"/>
                <w:szCs w:val="21"/>
              </w:rPr>
            </w:pPr>
            <w:r>
              <w:rPr>
                <w:rFonts w:hint="eastAsia" w:ascii="宋体" w:hAnsi="宋体" w:eastAsia="宋体"/>
                <w:color w:val="auto"/>
                <w:szCs w:val="21"/>
              </w:rPr>
              <w:t>糖厂现处于废弃状态，对糖厂进行原址恢复修缮。对工业建筑格局、结构、样式、风貌特征进行维护维持，核心物项及时恢复，并进行相关的遗存收集和归档。建议根据历史原貌对其进行保护修缮，采取外立面整治、结构加固等措施。对周边环境进行整治。</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光明区</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中期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vAlign w:val="center"/>
          </w:tcPr>
          <w:p>
            <w:pPr>
              <w:jc w:val="center"/>
              <w:rPr>
                <w:rFonts w:ascii="宋体" w:hAnsi="宋体" w:eastAsia="宋体"/>
                <w:color w:val="auto"/>
                <w:szCs w:val="21"/>
              </w:rPr>
            </w:pPr>
            <w:r>
              <w:rPr>
                <w:rFonts w:hint="eastAsia" w:ascii="宋体" w:hAnsi="宋体" w:eastAsia="宋体"/>
                <w:color w:val="auto"/>
                <w:szCs w:val="21"/>
              </w:rPr>
              <w:t>21</w:t>
            </w:r>
          </w:p>
        </w:tc>
        <w:tc>
          <w:tcPr>
            <w:tcW w:w="3543" w:type="dxa"/>
            <w:vAlign w:val="center"/>
          </w:tcPr>
          <w:p>
            <w:pPr>
              <w:jc w:val="center"/>
              <w:rPr>
                <w:rFonts w:ascii="宋体" w:hAnsi="宋体" w:eastAsia="宋体"/>
                <w:color w:val="auto"/>
                <w:szCs w:val="21"/>
              </w:rPr>
            </w:pPr>
            <w:r>
              <w:rPr>
                <w:rFonts w:hint="eastAsia" w:ascii="宋体" w:hAnsi="宋体" w:eastAsia="宋体"/>
                <w:color w:val="auto"/>
                <w:szCs w:val="21"/>
              </w:rPr>
              <w:t>展示利用工程</w:t>
            </w:r>
          </w:p>
        </w:tc>
        <w:tc>
          <w:tcPr>
            <w:tcW w:w="3544" w:type="dxa"/>
            <w:vAlign w:val="center"/>
          </w:tcPr>
          <w:p>
            <w:pPr>
              <w:jc w:val="center"/>
              <w:rPr>
                <w:rFonts w:ascii="宋体" w:hAnsi="宋体" w:eastAsia="宋体"/>
                <w:color w:val="auto"/>
                <w:szCs w:val="21"/>
              </w:rPr>
            </w:pPr>
            <w:r>
              <w:rPr>
                <w:rFonts w:hint="eastAsia" w:ascii="宋体" w:hAnsi="宋体" w:eastAsia="宋体"/>
                <w:color w:val="auto"/>
                <w:szCs w:val="21"/>
              </w:rPr>
              <w:t>光明街道糖厂改造利用</w:t>
            </w:r>
          </w:p>
        </w:tc>
        <w:tc>
          <w:tcPr>
            <w:tcW w:w="9923" w:type="dxa"/>
            <w:vAlign w:val="center"/>
          </w:tcPr>
          <w:p>
            <w:pPr>
              <w:rPr>
                <w:rFonts w:ascii="宋体" w:hAnsi="宋体" w:eastAsia="宋体"/>
                <w:color w:val="auto"/>
                <w:szCs w:val="21"/>
              </w:rPr>
            </w:pPr>
            <w:r>
              <w:rPr>
                <w:rFonts w:hint="eastAsia" w:ascii="宋体" w:hAnsi="宋体" w:eastAsia="宋体"/>
                <w:color w:val="auto"/>
                <w:szCs w:val="21"/>
              </w:rPr>
              <w:t>对糖厂可进行相关博物馆式改造，展示深圳改革开放前后轻工业的发展历史。或进行工业遗产创意园区的改造，结合光明区的区域规划，打造以光明街道糖厂为核心的商业文化综合体。</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光明区</w:t>
            </w:r>
          </w:p>
        </w:tc>
        <w:tc>
          <w:tcPr>
            <w:tcW w:w="1417" w:type="dxa"/>
            <w:vAlign w:val="center"/>
          </w:tcPr>
          <w:p>
            <w:pPr>
              <w:jc w:val="center"/>
              <w:rPr>
                <w:rFonts w:ascii="宋体" w:hAnsi="宋体" w:eastAsia="宋体"/>
                <w:color w:val="auto"/>
                <w:szCs w:val="21"/>
              </w:rPr>
            </w:pPr>
            <w:r>
              <w:rPr>
                <w:rFonts w:hint="eastAsia" w:ascii="宋体" w:hAnsi="宋体" w:eastAsia="宋体"/>
                <w:color w:val="auto"/>
                <w:szCs w:val="21"/>
              </w:rPr>
              <w:t>中期</w:t>
            </w: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sectPr>
          <w:pgSz w:w="23811" w:h="16838" w:orient="landscape"/>
          <w:pgMar w:top="1800" w:right="1440" w:bottom="1800" w:left="1440" w:header="851" w:footer="992" w:gutter="0"/>
          <w:cols w:space="425" w:num="1"/>
          <w:docGrid w:type="lines" w:linePitch="312" w:charSpace="0"/>
        </w:sectPr>
      </w:pPr>
    </w:p>
    <w:p>
      <w:pPr>
        <w:pStyle w:val="2"/>
        <w:rPr>
          <w:color w:val="auto"/>
        </w:rPr>
      </w:pPr>
      <w:bookmarkStart w:id="387" w:name="_Toc27352"/>
      <w:bookmarkStart w:id="388" w:name="_Toc14411"/>
      <w:bookmarkStart w:id="389" w:name="_Toc22858"/>
      <w:bookmarkStart w:id="390" w:name="_Toc114072222"/>
      <w:bookmarkStart w:id="391" w:name="_Toc15494"/>
      <w:bookmarkStart w:id="392" w:name="_Toc12749"/>
      <w:bookmarkStart w:id="393" w:name="_Toc2560"/>
      <w:bookmarkStart w:id="394" w:name="_Toc1777909591"/>
      <w:r>
        <w:rPr>
          <w:rFonts w:hint="eastAsia"/>
          <w:color w:val="auto"/>
        </w:rPr>
        <w:t>附录七：历次意见及采纳情况</w:t>
      </w:r>
      <w:bookmarkEnd w:id="387"/>
      <w:bookmarkEnd w:id="388"/>
      <w:bookmarkEnd w:id="389"/>
      <w:bookmarkEnd w:id="390"/>
      <w:bookmarkEnd w:id="391"/>
      <w:bookmarkEnd w:id="392"/>
      <w:bookmarkEnd w:id="393"/>
      <w:bookmarkEnd w:id="394"/>
    </w:p>
    <w:tbl>
      <w:tblPr>
        <w:tblStyle w:val="1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2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243" w:type="dxa"/>
            <w:vAlign w:val="center"/>
          </w:tcPr>
          <w:p>
            <w:pPr>
              <w:pStyle w:val="8"/>
              <w:numPr>
                <w:ilvl w:val="0"/>
                <w:numId w:val="14"/>
              </w:numPr>
              <w:ind w:firstLineChars="0"/>
              <w:rPr>
                <w:b/>
                <w:color w:val="auto"/>
              </w:rPr>
            </w:pPr>
            <w:r>
              <w:rPr>
                <w:rFonts w:hint="eastAsia"/>
                <w:b/>
                <w:color w:val="auto"/>
              </w:rPr>
              <w:t>李树泉</w:t>
            </w:r>
          </w:p>
          <w:p>
            <w:pPr>
              <w:pStyle w:val="8"/>
              <w:ind w:firstLine="0" w:firstLineChars="0"/>
              <w:jc w:val="center"/>
              <w:rPr>
                <w:b/>
                <w:color w:val="auto"/>
              </w:rPr>
            </w:pPr>
            <w:r>
              <w:rPr>
                <w:rFonts w:hint="eastAsia"/>
                <w:b/>
                <w:color w:val="auto"/>
              </w:rPr>
              <w:drawing>
                <wp:inline distT="0" distB="0" distL="0" distR="0">
                  <wp:extent cx="4726305" cy="72586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rcRect l="11089" t="9361" r="16119" b="11574"/>
                          <a:stretch>
                            <a:fillRect/>
                          </a:stretch>
                        </pic:blipFill>
                        <pic:spPr>
                          <a:xfrm>
                            <a:off x="0" y="0"/>
                            <a:ext cx="4745284" cy="7288064"/>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243" w:type="dxa"/>
            <w:vAlign w:val="center"/>
          </w:tcPr>
          <w:p>
            <w:pPr>
              <w:pStyle w:val="8"/>
              <w:ind w:firstLine="0" w:firstLineChars="0"/>
              <w:rPr>
                <w:b/>
                <w:color w:va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243" w:type="dxa"/>
            <w:vAlign w:val="center"/>
          </w:tcPr>
          <w:p>
            <w:pPr>
              <w:pStyle w:val="8"/>
              <w:ind w:firstLine="0" w:firstLineChars="0"/>
              <w:rPr>
                <w:b/>
                <w:color w:val="auto"/>
              </w:rPr>
            </w:pPr>
            <w:r>
              <w:rPr>
                <w:rFonts w:hint="eastAsia"/>
                <w:b/>
                <w:color w:val="auto"/>
              </w:rPr>
              <w:t>（二）刘曙光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243" w:type="dxa"/>
            <w:vAlign w:val="center"/>
          </w:tcPr>
          <w:p>
            <w:pPr>
              <w:pStyle w:val="8"/>
              <w:ind w:firstLine="1205" w:firstLineChars="500"/>
              <w:jc w:val="center"/>
              <w:rPr>
                <w:b/>
                <w:color w:val="auto"/>
              </w:rPr>
            </w:pPr>
            <w:r>
              <w:rPr>
                <w:rFonts w:hint="eastAsia"/>
                <w:b/>
                <w:color w:val="auto"/>
              </w:rPr>
              <w:drawing>
                <wp:inline distT="0" distB="0" distL="0" distR="0">
                  <wp:extent cx="4968875" cy="7442200"/>
                  <wp:effectExtent l="0" t="0" r="317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rcRect l="10732" t="9739" r="15220" b="11822"/>
                          <a:stretch>
                            <a:fillRect/>
                          </a:stretch>
                        </pic:blipFill>
                        <pic:spPr>
                          <a:xfrm>
                            <a:off x="0" y="0"/>
                            <a:ext cx="5010189" cy="7504539"/>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243" w:type="dxa"/>
            <w:vAlign w:val="center"/>
          </w:tcPr>
          <w:p>
            <w:pPr>
              <w:pStyle w:val="8"/>
              <w:ind w:firstLine="0" w:firstLineChars="0"/>
              <w:rPr>
                <w:b/>
                <w:color w:val="auto"/>
              </w:rPr>
            </w:pPr>
            <w:r>
              <w:rPr>
                <w:rFonts w:hint="eastAsia"/>
                <w:b/>
                <w:color w:val="auto"/>
              </w:rPr>
              <w:t>（三）阳建强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243" w:type="dxa"/>
            <w:vAlign w:val="center"/>
          </w:tcPr>
          <w:p>
            <w:pPr>
              <w:pStyle w:val="8"/>
              <w:ind w:firstLine="723" w:firstLineChars="300"/>
              <w:rPr>
                <w:b/>
                <w:color w:val="auto"/>
              </w:rPr>
            </w:pPr>
            <w:r>
              <w:rPr>
                <w:rFonts w:hint="eastAsia"/>
                <w:b/>
                <w:color w:val="auto"/>
              </w:rPr>
              <w:drawing>
                <wp:inline distT="0" distB="0" distL="0" distR="0">
                  <wp:extent cx="5225415" cy="79152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extLst>
                              <a:ext uri="{28A0092B-C50C-407E-A947-70E740481C1C}">
                                <a14:useLocalDpi xmlns:a14="http://schemas.microsoft.com/office/drawing/2010/main" val="0"/>
                              </a:ext>
                            </a:extLst>
                          </a:blip>
                          <a:srcRect l="12525" t="8600" r="13405" b="12078"/>
                          <a:stretch>
                            <a:fillRect/>
                          </a:stretch>
                        </pic:blipFill>
                        <pic:spPr>
                          <a:xfrm>
                            <a:off x="0" y="0"/>
                            <a:ext cx="5242921" cy="7941615"/>
                          </a:xfrm>
                          <a:prstGeom prst="rect">
                            <a:avLst/>
                          </a:prstGeom>
                          <a:ln>
                            <a:noFill/>
                          </a:ln>
                        </pic:spPr>
                      </pic:pic>
                    </a:graphicData>
                  </a:graphic>
                </wp:inline>
              </w:drawing>
            </w:r>
          </w:p>
        </w:tc>
      </w:tr>
    </w:tbl>
    <w:p>
      <w:pPr>
        <w:pStyle w:val="8"/>
        <w:rPr>
          <w:color w:val="auto"/>
        </w:rPr>
      </w:pPr>
    </w:p>
    <w:p>
      <w:pPr>
        <w:pStyle w:val="8"/>
        <w:ind w:firstLine="482"/>
        <w:rPr>
          <w:b/>
          <w:color w:val="auto"/>
        </w:rPr>
      </w:pPr>
    </w:p>
    <w:p>
      <w:pPr>
        <w:jc w:val="left"/>
        <w:rPr>
          <w:rFonts w:ascii="黑体" w:eastAsia="黑体"/>
          <w:b/>
          <w:bCs/>
          <w:color w:val="auto"/>
          <w:sz w:val="36"/>
          <w:szCs w:val="36"/>
        </w:rPr>
        <w:sectPr>
          <w:pgSz w:w="23811" w:h="16838" w:orient="landscape"/>
          <w:pgMar w:top="1800" w:right="1440" w:bottom="1800" w:left="1440" w:header="851" w:footer="992" w:gutter="0"/>
          <w:cols w:space="425" w:num="2"/>
          <w:docGrid w:type="lines" w:linePitch="312" w:charSpace="0"/>
        </w:sectPr>
      </w:pPr>
    </w:p>
    <w:p>
      <w:pPr>
        <w:rPr>
          <w:rFonts w:ascii="宋体" w:hAnsi="宋体"/>
          <w:b/>
          <w:color w:val="auto"/>
          <w:sz w:val="28"/>
        </w:rPr>
      </w:pPr>
      <w:r>
        <w:rPr>
          <w:rFonts w:hint="eastAsia" w:ascii="宋体" w:hAnsi="宋体" w:eastAsia="宋体"/>
          <w:b/>
          <w:color w:val="auto"/>
          <w:sz w:val="28"/>
        </w:rPr>
        <w:t>第一次修改情况说明：</w:t>
      </w:r>
    </w:p>
    <w:p>
      <w:pPr>
        <w:rPr>
          <w:rFonts w:ascii="宋体" w:hAnsi="宋体"/>
          <w:color w:val="auto"/>
          <w:sz w:val="24"/>
        </w:rPr>
      </w:pPr>
    </w:p>
    <w:p>
      <w:pPr>
        <w:pStyle w:val="8"/>
        <w:rPr>
          <w:color w:val="auto"/>
        </w:rPr>
      </w:pPr>
      <w:r>
        <w:rPr>
          <w:rFonts w:hint="eastAsia"/>
          <w:color w:val="auto"/>
        </w:rPr>
        <w:t>根据专家评审意见，对规划文本及图纸进行了修改完善，情况如下：</w:t>
      </w:r>
    </w:p>
    <w:p>
      <w:pPr>
        <w:pStyle w:val="8"/>
        <w:ind w:firstLine="482"/>
        <w:rPr>
          <w:b/>
          <w:color w:val="auto"/>
        </w:rPr>
      </w:pPr>
      <w:r>
        <w:rPr>
          <w:rFonts w:hint="eastAsia"/>
          <w:b/>
          <w:color w:val="auto"/>
        </w:rPr>
        <w:t>（一）现状评估</w:t>
      </w:r>
    </w:p>
    <w:p>
      <w:pPr>
        <w:pStyle w:val="8"/>
        <w:rPr>
          <w:color w:val="auto"/>
        </w:rPr>
      </w:pPr>
      <w:r>
        <w:rPr>
          <w:color w:val="auto"/>
        </w:rPr>
        <w:t>1.</w:t>
      </w:r>
      <w:r>
        <w:rPr>
          <w:color w:val="auto"/>
        </w:rPr>
        <w:tab/>
      </w:r>
      <w:r>
        <w:rPr>
          <w:color w:val="auto"/>
        </w:rPr>
        <w:t>根据专家意见，从城市建设、经济发展、文化事业等方面对现有的深圳43处史迹与改革开放的关系进行了更加细致的关系梳理和详细说明，见规划文本第三章。后续根据评估报告与相关部门进行进一步沟通细化。</w:t>
      </w:r>
    </w:p>
    <w:p>
      <w:pPr>
        <w:pStyle w:val="8"/>
        <w:rPr>
          <w:color w:val="auto"/>
        </w:rPr>
      </w:pPr>
      <w:r>
        <w:rPr>
          <w:color w:val="auto"/>
        </w:rPr>
        <w:t>2.</w:t>
      </w:r>
      <w:r>
        <w:rPr>
          <w:color w:val="auto"/>
        </w:rPr>
        <w:tab/>
      </w:r>
      <w:r>
        <w:rPr>
          <w:color w:val="auto"/>
        </w:rPr>
        <w:t>对第三章的史迹专项评估体系构成进行了重新梳理，根据价值、本体、环境三个方面建立评估体系，整合了如现状使用功能之类的评估指标，对应图纸也做了修改完善。</w:t>
      </w:r>
      <w:r>
        <w:rPr>
          <w:rFonts w:hint="eastAsia"/>
          <w:color w:val="auto"/>
        </w:rPr>
        <w:t>见规划附录二。</w:t>
      </w:r>
    </w:p>
    <w:p>
      <w:pPr>
        <w:pStyle w:val="8"/>
        <w:ind w:firstLine="482"/>
        <w:rPr>
          <w:b/>
          <w:color w:val="auto"/>
        </w:rPr>
      </w:pPr>
      <w:r>
        <w:rPr>
          <w:rFonts w:hint="eastAsia"/>
          <w:b/>
          <w:color w:val="auto"/>
        </w:rPr>
        <w:t>（二）相关规划衔接</w:t>
      </w:r>
    </w:p>
    <w:p>
      <w:pPr>
        <w:pStyle w:val="8"/>
        <w:rPr>
          <w:color w:val="auto"/>
        </w:rPr>
      </w:pPr>
      <w:r>
        <w:rPr>
          <w:color w:val="auto"/>
        </w:rPr>
        <w:t>3.</w:t>
      </w:r>
      <w:r>
        <w:rPr>
          <w:color w:val="auto"/>
        </w:rPr>
        <w:tab/>
      </w:r>
      <w:r>
        <w:rPr>
          <w:color w:val="auto"/>
        </w:rPr>
        <w:t>在文本和图纸中进一步补充了本规划与其他相关上位规划之间的衔接措施，确保了本规划与其他上位规划之间的连续性，包括</w:t>
      </w:r>
      <w:r>
        <w:rPr>
          <w:rFonts w:hint="eastAsia"/>
          <w:color w:val="auto"/>
        </w:rPr>
        <w:t>深圳国土规划、</w:t>
      </w:r>
      <w:r>
        <w:rPr>
          <w:color w:val="auto"/>
        </w:rPr>
        <w:t>大湾区规划、香港规划等。</w:t>
      </w:r>
    </w:p>
    <w:p>
      <w:pPr>
        <w:pStyle w:val="8"/>
        <w:ind w:firstLine="482"/>
        <w:rPr>
          <w:b/>
          <w:color w:val="auto"/>
        </w:rPr>
      </w:pPr>
      <w:r>
        <w:rPr>
          <w:rFonts w:hint="eastAsia"/>
          <w:b/>
          <w:color w:val="auto"/>
        </w:rPr>
        <w:t>（三）保护措施</w:t>
      </w:r>
    </w:p>
    <w:p>
      <w:pPr>
        <w:pStyle w:val="8"/>
        <w:rPr>
          <w:color w:val="auto"/>
        </w:rPr>
      </w:pPr>
      <w:r>
        <w:rPr>
          <w:color w:val="auto"/>
        </w:rPr>
        <w:t>4.</w:t>
      </w:r>
      <w:r>
        <w:rPr>
          <w:color w:val="auto"/>
        </w:rPr>
        <w:tab/>
      </w:r>
      <w:r>
        <w:rPr>
          <w:color w:val="auto"/>
        </w:rPr>
        <w:t>结合史迹点的实际情况，对保护措施进行了进一步细化，并在后续与相关部门商讨相关保护策略与措施的完善。</w:t>
      </w:r>
    </w:p>
    <w:p>
      <w:pPr>
        <w:pStyle w:val="8"/>
        <w:ind w:firstLine="482"/>
        <w:rPr>
          <w:b/>
          <w:color w:val="auto"/>
        </w:rPr>
      </w:pPr>
      <w:r>
        <w:rPr>
          <w:rFonts w:hint="eastAsia"/>
          <w:b/>
          <w:color w:val="auto"/>
        </w:rPr>
        <w:t>（四）展示利用</w:t>
      </w:r>
    </w:p>
    <w:p>
      <w:pPr>
        <w:pStyle w:val="8"/>
        <w:rPr>
          <w:color w:val="auto"/>
        </w:rPr>
      </w:pPr>
      <w:r>
        <w:rPr>
          <w:color w:val="auto"/>
        </w:rPr>
        <w:t>5.</w:t>
      </w:r>
      <w:r>
        <w:rPr>
          <w:color w:val="auto"/>
        </w:rPr>
        <w:tab/>
      </w:r>
      <w:r>
        <w:rPr>
          <w:color w:val="auto"/>
        </w:rPr>
        <w:t>对展示利用部分做了修改完善，进一步突出了建设时间轴线和不同主题史迹在空间上的联动与展示，并对对应图纸做了补充修改。</w:t>
      </w:r>
    </w:p>
    <w:p>
      <w:pPr>
        <w:pStyle w:val="8"/>
        <w:rPr>
          <w:color w:val="auto"/>
        </w:rPr>
      </w:pPr>
      <w:r>
        <w:rPr>
          <w:color w:val="auto"/>
        </w:rPr>
        <w:t>6.</w:t>
      </w:r>
      <w:r>
        <w:rPr>
          <w:color w:val="auto"/>
        </w:rPr>
        <w:tab/>
      </w:r>
      <w:r>
        <w:rPr>
          <w:color w:val="auto"/>
        </w:rPr>
        <w:t>根据专家意见，加强了改革开放专题旅游线路方面的设计规划，侧重发挥旅游对于改革开放精神的传承作用。补充了改革开放史迹保护利用与深圳社会经济发展的融合方面的内容，如社会教育、文化旅游事业发展推动等。</w:t>
      </w:r>
    </w:p>
    <w:p>
      <w:pPr>
        <w:pStyle w:val="8"/>
        <w:rPr>
          <w:color w:val="auto"/>
        </w:rPr>
      </w:pPr>
      <w:r>
        <w:rPr>
          <w:color w:val="auto"/>
        </w:rPr>
        <w:t>7.</w:t>
      </w:r>
      <w:r>
        <w:rPr>
          <w:color w:val="auto"/>
        </w:rPr>
        <w:tab/>
      </w:r>
      <w:r>
        <w:rPr>
          <w:color w:val="auto"/>
        </w:rPr>
        <w:t>根据后续保护利用工作的规划，对史迹点与相关文物保护单位以及博物馆单位的日常管理和展示利用的问题进行了分析评估的重新修改。</w:t>
      </w:r>
    </w:p>
    <w:p>
      <w:pPr>
        <w:rPr>
          <w:rFonts w:ascii="宋体" w:hAnsi="宋体"/>
          <w:color w:val="auto"/>
          <w:sz w:val="24"/>
        </w:rPr>
      </w:pPr>
    </w:p>
    <w:p>
      <w:pPr>
        <w:rPr>
          <w:rFonts w:ascii="宋体" w:hAnsi="宋体"/>
          <w:b/>
          <w:color w:val="auto"/>
          <w:sz w:val="28"/>
        </w:rPr>
      </w:pPr>
      <w:r>
        <w:rPr>
          <w:rFonts w:hint="eastAsia" w:ascii="宋体" w:hAnsi="宋体" w:eastAsia="宋体"/>
          <w:b/>
          <w:color w:val="auto"/>
          <w:sz w:val="28"/>
        </w:rPr>
        <w:t>第二次修改情况说明：</w:t>
      </w:r>
    </w:p>
    <w:p>
      <w:pPr>
        <w:rPr>
          <w:rFonts w:ascii="宋体" w:hAnsi="宋体"/>
          <w:color w:val="auto"/>
          <w:sz w:val="24"/>
        </w:rPr>
      </w:pPr>
    </w:p>
    <w:tbl>
      <w:tblPr>
        <w:tblStyle w:val="19"/>
        <w:tblW w:w="21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7"/>
        <w:gridCol w:w="4763"/>
        <w:gridCol w:w="11162"/>
        <w:gridCol w:w="3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57" w:type="dxa"/>
            <w:shd w:val="clear" w:color="auto" w:fill="D8D8D8" w:themeFill="background1" w:themeFillShade="D9"/>
            <w:vAlign w:val="center"/>
          </w:tcPr>
          <w:p>
            <w:pPr>
              <w:spacing w:line="560" w:lineRule="exact"/>
              <w:jc w:val="center"/>
              <w:rPr>
                <w:rFonts w:ascii="宋体" w:hAnsi="宋体" w:eastAsia="宋体" w:cs="黑体"/>
                <w:b/>
                <w:color w:val="auto"/>
                <w:sz w:val="24"/>
                <w:szCs w:val="24"/>
              </w:rPr>
            </w:pPr>
            <w:r>
              <w:rPr>
                <w:rFonts w:hint="eastAsia" w:ascii="宋体" w:hAnsi="宋体" w:eastAsia="宋体" w:cs="黑体"/>
                <w:b/>
                <w:color w:val="auto"/>
                <w:sz w:val="24"/>
                <w:szCs w:val="24"/>
              </w:rPr>
              <w:t>序号</w:t>
            </w:r>
          </w:p>
        </w:tc>
        <w:tc>
          <w:tcPr>
            <w:tcW w:w="4763" w:type="dxa"/>
            <w:shd w:val="clear" w:color="auto" w:fill="D8D8D8" w:themeFill="background1" w:themeFillShade="D9"/>
            <w:vAlign w:val="center"/>
          </w:tcPr>
          <w:p>
            <w:pPr>
              <w:spacing w:line="560" w:lineRule="exact"/>
              <w:jc w:val="center"/>
              <w:rPr>
                <w:rFonts w:ascii="宋体" w:hAnsi="宋体" w:eastAsia="宋体" w:cs="黑体"/>
                <w:b/>
                <w:color w:val="auto"/>
                <w:sz w:val="24"/>
                <w:szCs w:val="24"/>
              </w:rPr>
            </w:pPr>
            <w:r>
              <w:rPr>
                <w:rFonts w:hint="eastAsia" w:ascii="宋体" w:hAnsi="宋体" w:eastAsia="宋体" w:cs="黑体"/>
                <w:b/>
                <w:color w:val="auto"/>
                <w:sz w:val="24"/>
                <w:szCs w:val="24"/>
              </w:rPr>
              <w:t>来文单位</w:t>
            </w:r>
          </w:p>
        </w:tc>
        <w:tc>
          <w:tcPr>
            <w:tcW w:w="11162" w:type="dxa"/>
            <w:shd w:val="clear" w:color="auto" w:fill="D8D8D8" w:themeFill="background1" w:themeFillShade="D9"/>
            <w:vAlign w:val="center"/>
          </w:tcPr>
          <w:p>
            <w:pPr>
              <w:spacing w:line="560" w:lineRule="exact"/>
              <w:jc w:val="center"/>
              <w:rPr>
                <w:rFonts w:ascii="宋体" w:hAnsi="宋体" w:eastAsia="宋体" w:cs="黑体"/>
                <w:b/>
                <w:color w:val="auto"/>
                <w:sz w:val="24"/>
                <w:szCs w:val="24"/>
              </w:rPr>
            </w:pPr>
            <w:r>
              <w:rPr>
                <w:rFonts w:hint="eastAsia" w:ascii="宋体" w:hAnsi="宋体" w:eastAsia="宋体" w:cs="黑体"/>
                <w:b/>
                <w:color w:val="auto"/>
                <w:sz w:val="24"/>
                <w:szCs w:val="24"/>
              </w:rPr>
              <w:t>意见内容</w:t>
            </w:r>
          </w:p>
        </w:tc>
        <w:tc>
          <w:tcPr>
            <w:tcW w:w="3548" w:type="dxa"/>
            <w:shd w:val="clear" w:color="auto" w:fill="D8D8D8" w:themeFill="background1" w:themeFillShade="D9"/>
            <w:vAlign w:val="center"/>
          </w:tcPr>
          <w:p>
            <w:pPr>
              <w:spacing w:line="560" w:lineRule="exact"/>
              <w:jc w:val="center"/>
              <w:rPr>
                <w:rFonts w:ascii="宋体" w:hAnsi="宋体" w:eastAsia="宋体" w:cs="黑体"/>
                <w:b/>
                <w:color w:val="auto"/>
                <w:sz w:val="24"/>
                <w:szCs w:val="24"/>
              </w:rPr>
            </w:pPr>
            <w:r>
              <w:rPr>
                <w:rFonts w:hint="eastAsia" w:ascii="宋体" w:hAnsi="宋体" w:eastAsia="宋体" w:cs="黑体"/>
                <w:b/>
                <w:color w:val="auto"/>
                <w:sz w:val="24"/>
                <w:szCs w:val="24"/>
              </w:rPr>
              <w:t>采纳情况及理由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57"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1</w:t>
            </w:r>
          </w:p>
        </w:tc>
        <w:tc>
          <w:tcPr>
            <w:tcW w:w="4763"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市委宣传部</w:t>
            </w:r>
          </w:p>
        </w:tc>
        <w:tc>
          <w:tcPr>
            <w:tcW w:w="11162" w:type="dxa"/>
            <w:vAlign w:val="center"/>
          </w:tcPr>
          <w:p>
            <w:pPr>
              <w:spacing w:line="560" w:lineRule="exact"/>
              <w:jc w:val="center"/>
              <w:rPr>
                <w:rFonts w:ascii="宋体" w:hAnsi="宋体" w:eastAsia="宋体" w:cs="黑体"/>
                <w:color w:val="auto"/>
                <w:sz w:val="24"/>
                <w:szCs w:val="24"/>
              </w:rPr>
            </w:pPr>
          </w:p>
        </w:tc>
        <w:tc>
          <w:tcPr>
            <w:tcW w:w="3548" w:type="dxa"/>
            <w:vAlign w:val="center"/>
          </w:tcPr>
          <w:p>
            <w:pPr>
              <w:spacing w:line="560" w:lineRule="exact"/>
              <w:jc w:val="center"/>
              <w:rPr>
                <w:rFonts w:ascii="宋体" w:hAnsi="宋体" w:eastAsia="宋体" w:cs="黑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57"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2</w:t>
            </w:r>
          </w:p>
        </w:tc>
        <w:tc>
          <w:tcPr>
            <w:tcW w:w="4763"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市委党史文献研究室</w:t>
            </w:r>
          </w:p>
        </w:tc>
        <w:tc>
          <w:tcPr>
            <w:tcW w:w="11162" w:type="dxa"/>
            <w:vAlign w:val="center"/>
          </w:tcPr>
          <w:p>
            <w:pPr>
              <w:spacing w:line="580" w:lineRule="exact"/>
              <w:rPr>
                <w:rFonts w:ascii="宋体" w:hAnsi="宋体" w:eastAsia="宋体" w:cs="仿宋_GB2312"/>
                <w:color w:val="auto"/>
                <w:sz w:val="24"/>
                <w:szCs w:val="24"/>
              </w:rPr>
            </w:pPr>
            <w:r>
              <w:rPr>
                <w:rFonts w:hint="eastAsia" w:ascii="宋体" w:hAnsi="宋体" w:eastAsia="宋体" w:cs="仿宋_GB2312"/>
                <w:color w:val="auto"/>
                <w:sz w:val="24"/>
                <w:szCs w:val="24"/>
              </w:rPr>
              <w:t>无意见</w:t>
            </w:r>
          </w:p>
        </w:tc>
        <w:tc>
          <w:tcPr>
            <w:tcW w:w="3548" w:type="dxa"/>
            <w:vAlign w:val="center"/>
          </w:tcPr>
          <w:p>
            <w:pPr>
              <w:spacing w:line="560" w:lineRule="exact"/>
              <w:jc w:val="center"/>
              <w:rPr>
                <w:rFonts w:ascii="宋体" w:hAnsi="宋体" w:eastAsia="宋体" w:cs="黑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57"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3</w:t>
            </w:r>
          </w:p>
        </w:tc>
        <w:tc>
          <w:tcPr>
            <w:tcW w:w="4763"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市规划和自然资源局</w:t>
            </w:r>
          </w:p>
        </w:tc>
        <w:tc>
          <w:tcPr>
            <w:tcW w:w="11162" w:type="dxa"/>
            <w:vAlign w:val="center"/>
          </w:tcPr>
          <w:p>
            <w:pPr>
              <w:spacing w:line="580" w:lineRule="exact"/>
              <w:ind w:firstLine="480" w:firstLineChars="200"/>
              <w:rPr>
                <w:rFonts w:ascii="宋体" w:hAnsi="宋体" w:eastAsia="宋体" w:cs="仿宋_GB2312"/>
                <w:color w:val="auto"/>
                <w:sz w:val="24"/>
                <w:szCs w:val="24"/>
              </w:rPr>
            </w:pPr>
            <w:r>
              <w:rPr>
                <w:rFonts w:hint="eastAsia" w:ascii="宋体" w:hAnsi="宋体" w:eastAsia="宋体" w:cs="仿宋_GB2312"/>
                <w:color w:val="auto"/>
                <w:sz w:val="24"/>
                <w:szCs w:val="24"/>
              </w:rPr>
              <w:t>一、改革开放标志性建筑和代表性重要史迹是深圳四十年发展历程的重要史迹和印记，建议结合深圳城市发展历程，聚焦改革开放和社会主义现代化伟大征程，进一步选取空间上集中成片的重要史迹，有利于人民群众更好地参与、感知、体验深圳独特改革开放的时代印记。</w:t>
            </w:r>
          </w:p>
          <w:p>
            <w:pPr>
              <w:spacing w:line="580" w:lineRule="exact"/>
              <w:ind w:firstLine="480" w:firstLineChars="200"/>
              <w:rPr>
                <w:rFonts w:ascii="宋体" w:hAnsi="宋体" w:eastAsia="宋体" w:cs="仿宋_GB2312"/>
                <w:color w:val="auto"/>
                <w:sz w:val="24"/>
                <w:szCs w:val="24"/>
              </w:rPr>
            </w:pPr>
            <w:r>
              <w:rPr>
                <w:rFonts w:hint="eastAsia" w:ascii="宋体" w:hAnsi="宋体" w:eastAsia="宋体" w:cs="仿宋_GB2312"/>
                <w:color w:val="auto"/>
                <w:sz w:val="24"/>
                <w:szCs w:val="24"/>
              </w:rPr>
              <w:t>二、建议进一步厘清“深圳市改革开放重要史迹”保护对象类型，区分文物保护单位及未定级不可移动文物、历史建筑、其它重要史迹等，并根据市政府公布的第一、二批历史建筑名录更新附录中对应的文件。</w:t>
            </w:r>
          </w:p>
          <w:p>
            <w:pPr>
              <w:spacing w:line="580" w:lineRule="exact"/>
              <w:ind w:firstLine="480" w:firstLineChars="200"/>
              <w:rPr>
                <w:rFonts w:ascii="宋体" w:hAnsi="宋体" w:eastAsia="宋体" w:cs="仿宋_GB2312"/>
                <w:color w:val="auto"/>
                <w:sz w:val="24"/>
                <w:szCs w:val="24"/>
              </w:rPr>
            </w:pPr>
            <w:r>
              <w:rPr>
                <w:rFonts w:hint="eastAsia" w:ascii="宋体" w:hAnsi="宋体" w:eastAsia="宋体" w:cs="仿宋_GB2312"/>
                <w:color w:val="auto"/>
                <w:sz w:val="24"/>
                <w:szCs w:val="24"/>
              </w:rPr>
              <w:t>三、建议“特色旅游线路”的打造应与“粤港澳大湾区文化遗产游径”、“南粤古驿道”、“山海连城”公园城市建设等文化线路和公共空间网络衔接，更有利于提升公共文化产品的社会效益和经济效益。</w:t>
            </w:r>
          </w:p>
        </w:tc>
        <w:tc>
          <w:tcPr>
            <w:tcW w:w="3548" w:type="dxa"/>
            <w:vAlign w:val="center"/>
          </w:tcPr>
          <w:p>
            <w:pPr>
              <w:pStyle w:val="8"/>
              <w:rPr>
                <w:rFonts w:ascii="宋体" w:hAnsi="宋体"/>
                <w:color w:val="auto"/>
                <w:szCs w:val="24"/>
              </w:rPr>
            </w:pPr>
            <w:r>
              <w:rPr>
                <w:rFonts w:ascii="宋体" w:hAnsi="宋体"/>
                <w:color w:val="auto"/>
                <w:szCs w:val="24"/>
              </w:rPr>
              <w:t>1</w:t>
            </w:r>
            <w:r>
              <w:rPr>
                <w:rFonts w:hint="eastAsia" w:ascii="宋体" w:hAnsi="宋体"/>
                <w:color w:val="auto"/>
                <w:szCs w:val="24"/>
              </w:rPr>
              <w:t>、在总体表述上进行了优化；</w:t>
            </w:r>
          </w:p>
          <w:p>
            <w:pPr>
              <w:pStyle w:val="8"/>
              <w:rPr>
                <w:rFonts w:ascii="宋体" w:hAnsi="宋体"/>
                <w:color w:val="auto"/>
                <w:szCs w:val="24"/>
              </w:rPr>
            </w:pPr>
            <w:r>
              <w:rPr>
                <w:rFonts w:hint="eastAsia" w:ascii="宋体" w:hAnsi="宋体"/>
                <w:color w:val="auto"/>
                <w:szCs w:val="24"/>
              </w:rPr>
              <w:t>2、在2</w:t>
            </w:r>
            <w:r>
              <w:rPr>
                <w:rFonts w:ascii="宋体" w:hAnsi="宋体"/>
                <w:color w:val="auto"/>
                <w:szCs w:val="24"/>
              </w:rPr>
              <w:t>.3</w:t>
            </w:r>
            <w:r>
              <w:rPr>
                <w:rFonts w:hint="eastAsia" w:ascii="宋体" w:hAnsi="宋体"/>
                <w:color w:val="auto"/>
                <w:szCs w:val="24"/>
              </w:rPr>
              <w:t>章节进行了补充；</w:t>
            </w:r>
          </w:p>
          <w:p>
            <w:pPr>
              <w:pStyle w:val="8"/>
              <w:rPr>
                <w:rFonts w:ascii="宋体" w:hAnsi="宋体"/>
                <w:color w:val="auto"/>
                <w:szCs w:val="24"/>
              </w:rPr>
            </w:pPr>
            <w:r>
              <w:rPr>
                <w:rFonts w:hint="eastAsia" w:ascii="宋体" w:hAnsi="宋体"/>
                <w:color w:val="auto"/>
                <w:szCs w:val="24"/>
              </w:rPr>
              <w:t>3、在7</w:t>
            </w:r>
            <w:r>
              <w:rPr>
                <w:rFonts w:ascii="宋体" w:hAnsi="宋体"/>
                <w:color w:val="auto"/>
                <w:szCs w:val="24"/>
              </w:rPr>
              <w:t>.1</w:t>
            </w:r>
            <w:r>
              <w:rPr>
                <w:rFonts w:hint="eastAsia" w:ascii="宋体" w:hAnsi="宋体"/>
                <w:color w:val="auto"/>
                <w:szCs w:val="24"/>
              </w:rPr>
              <w:t>章节进行了补充；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57"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4</w:t>
            </w:r>
          </w:p>
        </w:tc>
        <w:tc>
          <w:tcPr>
            <w:tcW w:w="4763"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福田区政府</w:t>
            </w:r>
          </w:p>
        </w:tc>
        <w:tc>
          <w:tcPr>
            <w:tcW w:w="11162" w:type="dxa"/>
            <w:vAlign w:val="center"/>
          </w:tcPr>
          <w:p>
            <w:pPr>
              <w:spacing w:line="560" w:lineRule="exact"/>
              <w:jc w:val="left"/>
              <w:rPr>
                <w:rFonts w:ascii="宋体" w:hAnsi="宋体" w:eastAsia="宋体" w:cs="仿宋_GB2312"/>
                <w:color w:val="auto"/>
                <w:sz w:val="24"/>
                <w:szCs w:val="24"/>
              </w:rPr>
            </w:pPr>
            <w:r>
              <w:rPr>
                <w:rFonts w:hint="eastAsia" w:ascii="宋体" w:hAnsi="宋体" w:eastAsia="宋体" w:cs="仿宋_GB2312"/>
                <w:color w:val="auto"/>
                <w:sz w:val="24"/>
                <w:szCs w:val="24"/>
              </w:rPr>
              <w:t>无意见</w:t>
            </w:r>
          </w:p>
        </w:tc>
        <w:tc>
          <w:tcPr>
            <w:tcW w:w="3548" w:type="dxa"/>
            <w:vAlign w:val="center"/>
          </w:tcPr>
          <w:p>
            <w:pPr>
              <w:spacing w:line="560" w:lineRule="exact"/>
              <w:jc w:val="center"/>
              <w:rPr>
                <w:rFonts w:ascii="宋体" w:hAnsi="宋体" w:eastAsia="宋体" w:cs="黑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57"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5</w:t>
            </w:r>
          </w:p>
        </w:tc>
        <w:tc>
          <w:tcPr>
            <w:tcW w:w="4763"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罗湖区政府</w:t>
            </w:r>
          </w:p>
        </w:tc>
        <w:tc>
          <w:tcPr>
            <w:tcW w:w="11162" w:type="dxa"/>
            <w:vAlign w:val="center"/>
          </w:tcPr>
          <w:p>
            <w:pPr>
              <w:numPr>
                <w:ilvl w:val="0"/>
                <w:numId w:val="15"/>
              </w:numPr>
              <w:spacing w:line="540" w:lineRule="exact"/>
              <w:ind w:firstLine="480" w:firstLineChars="200"/>
              <w:rPr>
                <w:rFonts w:ascii="宋体" w:hAnsi="宋体" w:eastAsia="宋体" w:cs="仿宋_GB2312"/>
                <w:color w:val="auto"/>
                <w:sz w:val="24"/>
                <w:szCs w:val="24"/>
              </w:rPr>
            </w:pPr>
            <w:r>
              <w:rPr>
                <w:rFonts w:hint="eastAsia" w:ascii="宋体" w:hAnsi="宋体" w:eastAsia="宋体" w:cs="仿宋_GB2312"/>
                <w:color w:val="auto"/>
                <w:sz w:val="24"/>
                <w:szCs w:val="24"/>
              </w:rPr>
              <w:t>深圳市已于2020年3月公布了《深圳市历史建筑（第二批）保护名录》，建议《</w:t>
            </w:r>
            <w:r>
              <w:rPr>
                <w:rFonts w:hint="eastAsia" w:ascii="宋体" w:hAnsi="宋体" w:eastAsia="宋体" w:cs="仿宋_GB2312"/>
                <w:color w:val="auto"/>
                <w:sz w:val="24"/>
                <w:szCs w:val="24"/>
                <w:lang w:val="en"/>
              </w:rPr>
              <w:t>深圳改革开放重要史迹保护利用战略规划征求意见稿</w:t>
            </w:r>
            <w:r>
              <w:rPr>
                <w:rFonts w:hint="eastAsia" w:ascii="宋体" w:hAnsi="宋体" w:eastAsia="宋体" w:cs="仿宋_GB2312"/>
                <w:color w:val="auto"/>
                <w:sz w:val="24"/>
                <w:szCs w:val="24"/>
              </w:rPr>
              <w:t>》相关表述与之保持一致。</w:t>
            </w:r>
          </w:p>
          <w:p>
            <w:pPr>
              <w:numPr>
                <w:ilvl w:val="0"/>
                <w:numId w:val="15"/>
              </w:numPr>
              <w:spacing w:line="540" w:lineRule="exact"/>
              <w:ind w:firstLine="480" w:firstLineChars="200"/>
              <w:rPr>
                <w:rFonts w:ascii="宋体" w:hAnsi="宋体" w:eastAsia="宋体" w:cs="仿宋_GB2312"/>
                <w:color w:val="auto"/>
                <w:sz w:val="24"/>
                <w:szCs w:val="24"/>
              </w:rPr>
            </w:pPr>
            <w:r>
              <w:rPr>
                <w:rFonts w:hint="eastAsia" w:ascii="宋体" w:hAnsi="宋体" w:eastAsia="宋体" w:cs="仿宋_GB2312"/>
                <w:color w:val="auto"/>
                <w:sz w:val="24"/>
                <w:szCs w:val="24"/>
              </w:rPr>
              <w:t>历史建筑、历史风貌区保护与利用策略措施建议与《深圳市紫线规划（修编）》《深圳市历史风貌区和历史建筑保护办法》中保护与利用措施等内容相衔接。</w:t>
            </w:r>
          </w:p>
          <w:p>
            <w:pPr>
              <w:numPr>
                <w:ilvl w:val="0"/>
                <w:numId w:val="15"/>
              </w:numPr>
              <w:spacing w:line="540" w:lineRule="exact"/>
              <w:ind w:firstLine="480" w:firstLineChars="200"/>
              <w:rPr>
                <w:rFonts w:ascii="宋体" w:hAnsi="宋体" w:eastAsia="宋体" w:cs="仿宋_GB2312"/>
                <w:color w:val="auto"/>
                <w:sz w:val="24"/>
                <w:szCs w:val="24"/>
                <w:lang w:val="en"/>
              </w:rPr>
            </w:pPr>
            <w:r>
              <w:rPr>
                <w:rFonts w:hint="eastAsia" w:ascii="宋体" w:hAnsi="宋体" w:eastAsia="宋体" w:cs="仿宋_GB2312"/>
                <w:color w:val="auto"/>
                <w:sz w:val="24"/>
                <w:szCs w:val="24"/>
              </w:rPr>
              <w:t>根据省市要求，我区即将开展新一轮历史建筑等普查工作，建议规划中对未来确认需保护的对象有恰当的表述。</w:t>
            </w:r>
          </w:p>
          <w:p>
            <w:pPr>
              <w:spacing w:line="560" w:lineRule="exact"/>
              <w:jc w:val="center"/>
              <w:rPr>
                <w:rFonts w:ascii="宋体" w:hAnsi="宋体" w:eastAsia="宋体" w:cs="仿宋_GB2312"/>
                <w:color w:val="auto"/>
                <w:sz w:val="24"/>
                <w:szCs w:val="24"/>
              </w:rPr>
            </w:pPr>
          </w:p>
        </w:tc>
        <w:tc>
          <w:tcPr>
            <w:tcW w:w="3548" w:type="dxa"/>
            <w:vAlign w:val="center"/>
          </w:tcPr>
          <w:p>
            <w:pPr>
              <w:pStyle w:val="8"/>
              <w:rPr>
                <w:rFonts w:ascii="宋体" w:hAnsi="宋体"/>
                <w:color w:val="auto"/>
                <w:szCs w:val="24"/>
              </w:rPr>
            </w:pPr>
            <w:r>
              <w:rPr>
                <w:rFonts w:ascii="宋体" w:hAnsi="宋体"/>
                <w:color w:val="auto"/>
                <w:szCs w:val="24"/>
              </w:rPr>
              <w:t>1</w:t>
            </w:r>
            <w:r>
              <w:rPr>
                <w:rFonts w:hint="eastAsia" w:ascii="宋体" w:hAnsi="宋体"/>
                <w:color w:val="auto"/>
                <w:szCs w:val="24"/>
              </w:rPr>
              <w:t>、已对附录三进行修改；</w:t>
            </w:r>
          </w:p>
          <w:p>
            <w:pPr>
              <w:pStyle w:val="8"/>
              <w:rPr>
                <w:rFonts w:ascii="宋体" w:hAnsi="宋体"/>
                <w:color w:val="auto"/>
                <w:szCs w:val="24"/>
              </w:rPr>
            </w:pPr>
            <w:r>
              <w:rPr>
                <w:rFonts w:hint="eastAsia" w:ascii="宋体" w:hAnsi="宋体"/>
                <w:color w:val="auto"/>
                <w:szCs w:val="24"/>
              </w:rPr>
              <w:t>2、在5</w:t>
            </w:r>
            <w:r>
              <w:rPr>
                <w:rFonts w:ascii="宋体" w:hAnsi="宋体"/>
                <w:color w:val="auto"/>
                <w:szCs w:val="24"/>
              </w:rPr>
              <w:t>.2</w:t>
            </w:r>
            <w:r>
              <w:rPr>
                <w:rFonts w:hint="eastAsia" w:ascii="宋体" w:hAnsi="宋体"/>
                <w:color w:val="auto"/>
                <w:szCs w:val="24"/>
              </w:rPr>
              <w:t>章节已经进行修改补充；</w:t>
            </w:r>
          </w:p>
          <w:p>
            <w:pPr>
              <w:pStyle w:val="8"/>
              <w:rPr>
                <w:rFonts w:ascii="宋体" w:hAnsi="宋体"/>
                <w:color w:val="auto"/>
                <w:szCs w:val="24"/>
              </w:rPr>
            </w:pPr>
            <w:r>
              <w:rPr>
                <w:rFonts w:hint="eastAsia" w:ascii="宋体" w:hAnsi="宋体"/>
                <w:color w:val="auto"/>
                <w:szCs w:val="24"/>
              </w:rPr>
              <w:t>3、在5</w:t>
            </w:r>
            <w:r>
              <w:rPr>
                <w:rFonts w:ascii="宋体" w:hAnsi="宋体"/>
                <w:color w:val="auto"/>
                <w:szCs w:val="24"/>
              </w:rPr>
              <w:t>.2</w:t>
            </w:r>
            <w:r>
              <w:rPr>
                <w:rFonts w:hint="eastAsia" w:ascii="宋体" w:hAnsi="宋体"/>
                <w:color w:val="auto"/>
                <w:szCs w:val="24"/>
              </w:rPr>
              <w:t>章节已经进行修改补充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57"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6</w:t>
            </w:r>
          </w:p>
        </w:tc>
        <w:tc>
          <w:tcPr>
            <w:tcW w:w="4763"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南山区政府</w:t>
            </w:r>
          </w:p>
        </w:tc>
        <w:tc>
          <w:tcPr>
            <w:tcW w:w="11162" w:type="dxa"/>
            <w:vAlign w:val="center"/>
          </w:tcPr>
          <w:p>
            <w:pPr>
              <w:spacing w:line="560" w:lineRule="exact"/>
              <w:ind w:firstLine="480" w:firstLineChars="200"/>
              <w:rPr>
                <w:rFonts w:ascii="宋体" w:hAnsi="宋体" w:eastAsia="宋体" w:cs="仿宋_GB2312"/>
                <w:color w:val="auto"/>
                <w:sz w:val="24"/>
                <w:szCs w:val="24"/>
              </w:rPr>
            </w:pPr>
            <w:r>
              <w:rPr>
                <w:rFonts w:hint="eastAsia" w:ascii="宋体" w:hAnsi="宋体" w:eastAsia="宋体" w:cs="仿宋_GB2312"/>
                <w:color w:val="auto"/>
                <w:sz w:val="24"/>
                <w:szCs w:val="24"/>
              </w:rPr>
              <w:t>一、深圳市已公布两批历史建筑及第一批历史风貌区保护名录，《征求意见稿》相关表述应与之保持一致。</w:t>
            </w:r>
          </w:p>
          <w:p>
            <w:pPr>
              <w:spacing w:line="560" w:lineRule="exact"/>
              <w:ind w:firstLine="480" w:firstLineChars="200"/>
              <w:rPr>
                <w:rFonts w:ascii="宋体" w:hAnsi="宋体" w:eastAsia="宋体" w:cs="仿宋_GB2312"/>
                <w:color w:val="auto"/>
                <w:sz w:val="24"/>
                <w:szCs w:val="24"/>
              </w:rPr>
            </w:pPr>
            <w:r>
              <w:rPr>
                <w:rFonts w:hint="eastAsia" w:ascii="宋体" w:hAnsi="宋体" w:eastAsia="宋体" w:cs="仿宋_GB2312"/>
                <w:color w:val="auto"/>
                <w:sz w:val="24"/>
                <w:szCs w:val="24"/>
              </w:rPr>
              <w:t>二、目前我市已出台文物保护、历史建筑保护相关政策，对相应对象各有保护利用管理规定。《征求意见稿》中改革开放重要史迹与文保单位、历史建筑及城市紫线等范围多有重合，建议其保护要求与相关保护办法相衔接。</w:t>
            </w:r>
          </w:p>
          <w:p>
            <w:pPr>
              <w:spacing w:line="560" w:lineRule="exact"/>
              <w:ind w:firstLine="480" w:firstLineChars="200"/>
              <w:rPr>
                <w:rFonts w:ascii="宋体" w:hAnsi="宋体" w:eastAsia="宋体" w:cs="仿宋_GB2312"/>
                <w:color w:val="auto"/>
                <w:sz w:val="24"/>
                <w:szCs w:val="24"/>
              </w:rPr>
            </w:pPr>
            <w:r>
              <w:rPr>
                <w:rFonts w:hint="eastAsia" w:ascii="宋体" w:hAnsi="宋体" w:eastAsia="宋体" w:cs="仿宋_GB2312"/>
                <w:color w:val="auto"/>
                <w:sz w:val="24"/>
                <w:szCs w:val="24"/>
              </w:rPr>
              <w:t>三、建议改革开放重要史迹管理办法中明确重要史迹中涉及已公布历史建筑的修缮、加固及活化利用工程的牵头部门及实施路径。</w:t>
            </w:r>
          </w:p>
          <w:p>
            <w:pPr>
              <w:spacing w:line="560" w:lineRule="exact"/>
              <w:ind w:firstLine="480" w:firstLineChars="200"/>
              <w:rPr>
                <w:rFonts w:ascii="宋体" w:hAnsi="宋体" w:eastAsia="宋体" w:cs="仿宋_GB2312"/>
                <w:color w:val="auto"/>
                <w:sz w:val="24"/>
                <w:szCs w:val="24"/>
              </w:rPr>
            </w:pPr>
            <w:r>
              <w:rPr>
                <w:rFonts w:hint="eastAsia" w:ascii="宋体" w:hAnsi="宋体" w:eastAsia="宋体" w:cs="仿宋_GB2312"/>
                <w:color w:val="auto"/>
                <w:sz w:val="24"/>
                <w:szCs w:val="24"/>
              </w:rPr>
              <w:t>四、建议开展改革开放史迹线索征集活动，建立改革开放重要史迹预备库，明确改革开放重要史迹确定及退出机制。</w:t>
            </w:r>
          </w:p>
        </w:tc>
        <w:tc>
          <w:tcPr>
            <w:tcW w:w="3548" w:type="dxa"/>
            <w:vAlign w:val="center"/>
          </w:tcPr>
          <w:p>
            <w:pPr>
              <w:pStyle w:val="8"/>
              <w:rPr>
                <w:rFonts w:ascii="宋体" w:hAnsi="宋体"/>
                <w:color w:val="auto"/>
                <w:szCs w:val="24"/>
              </w:rPr>
            </w:pPr>
            <w:r>
              <w:rPr>
                <w:rFonts w:hint="eastAsia" w:ascii="宋体" w:hAnsi="宋体"/>
                <w:color w:val="auto"/>
                <w:szCs w:val="24"/>
              </w:rPr>
              <w:t>1、已对附录三进行修改；</w:t>
            </w:r>
          </w:p>
          <w:p>
            <w:pPr>
              <w:pStyle w:val="8"/>
              <w:rPr>
                <w:rFonts w:ascii="宋体" w:hAnsi="宋体"/>
                <w:color w:val="auto"/>
                <w:szCs w:val="24"/>
              </w:rPr>
            </w:pPr>
            <w:r>
              <w:rPr>
                <w:rFonts w:hint="eastAsia" w:ascii="宋体" w:hAnsi="宋体"/>
                <w:color w:val="auto"/>
                <w:szCs w:val="24"/>
              </w:rPr>
              <w:t>2、、在5</w:t>
            </w:r>
            <w:r>
              <w:rPr>
                <w:rFonts w:ascii="宋体" w:hAnsi="宋体"/>
                <w:color w:val="auto"/>
                <w:szCs w:val="24"/>
              </w:rPr>
              <w:t>.2</w:t>
            </w:r>
            <w:r>
              <w:rPr>
                <w:rFonts w:hint="eastAsia" w:ascii="宋体" w:hAnsi="宋体"/>
                <w:color w:val="auto"/>
                <w:szCs w:val="24"/>
              </w:rPr>
              <w:t>章节已经进行修改补充；</w:t>
            </w:r>
          </w:p>
          <w:p>
            <w:pPr>
              <w:pStyle w:val="16"/>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57"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7</w:t>
            </w:r>
          </w:p>
        </w:tc>
        <w:tc>
          <w:tcPr>
            <w:tcW w:w="4763"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盐田区政府</w:t>
            </w:r>
          </w:p>
        </w:tc>
        <w:tc>
          <w:tcPr>
            <w:tcW w:w="11162" w:type="dxa"/>
            <w:vAlign w:val="center"/>
          </w:tcPr>
          <w:p>
            <w:pPr>
              <w:spacing w:line="580" w:lineRule="exact"/>
              <w:ind w:firstLine="480" w:firstLineChars="200"/>
              <w:rPr>
                <w:rFonts w:ascii="宋体" w:hAnsi="宋体" w:eastAsia="宋体" w:cs="仿宋_GB2312"/>
                <w:color w:val="auto"/>
                <w:sz w:val="24"/>
                <w:szCs w:val="24"/>
              </w:rPr>
            </w:pPr>
            <w:r>
              <w:rPr>
                <w:rFonts w:hint="eastAsia" w:ascii="宋体" w:hAnsi="宋体" w:eastAsia="宋体" w:cs="仿宋_GB2312"/>
                <w:color w:val="auto"/>
                <w:sz w:val="24"/>
                <w:szCs w:val="24"/>
              </w:rPr>
              <w:t>一、沙保片区城市更新项目前期立项已启动。沙头角保税区1栋建筑为海沙楼建筑，存在较大安全隐患，且产权组成复杂，作为独栋建筑保留的难度较大。为更好保留和展示沙头角保税区改革开放的历史脉络，建议将《规划》第30页“沙头角保税区（海边纪念博物馆），可新建盐田区保税区纪念馆……对沙头角保税区进行相关资料收集和整理工作，对沙头角保税区内的保留的1栋建筑进行空间利用改造”修改为“可结合沙保片区城市更新项目，对沙头角保税区进行相关资料收集和整理工作，打造沙头角保税历史展览馆（暂定名）”。</w:t>
            </w:r>
          </w:p>
          <w:p>
            <w:pPr>
              <w:spacing w:line="560" w:lineRule="exact"/>
              <w:ind w:firstLine="480" w:firstLineChars="200"/>
              <w:jc w:val="left"/>
              <w:rPr>
                <w:rFonts w:ascii="宋体" w:hAnsi="宋体" w:eastAsia="宋体" w:cs="仿宋_GB2312"/>
                <w:color w:val="auto"/>
                <w:sz w:val="24"/>
                <w:szCs w:val="24"/>
              </w:rPr>
            </w:pPr>
            <w:r>
              <w:rPr>
                <w:rFonts w:hint="eastAsia" w:ascii="宋体" w:hAnsi="宋体" w:eastAsia="宋体" w:cs="仿宋_GB2312"/>
                <w:color w:val="auto"/>
                <w:sz w:val="24"/>
                <w:szCs w:val="24"/>
              </w:rPr>
              <w:t>二、根据深圳市第二批历史建筑名录，无小梅沙滨海旅游中心，建议将《规划》第47页附录三深圳市第二批历史建筑推荐名录“17-盐田区-小梅沙滨海旅游中心”项删除。</w:t>
            </w:r>
          </w:p>
        </w:tc>
        <w:tc>
          <w:tcPr>
            <w:tcW w:w="3548" w:type="dxa"/>
            <w:vAlign w:val="center"/>
          </w:tcPr>
          <w:p>
            <w:pPr>
              <w:pStyle w:val="8"/>
              <w:rPr>
                <w:rFonts w:ascii="宋体" w:hAnsi="宋体" w:cs="黑体"/>
                <w:color w:val="auto"/>
                <w:szCs w:val="24"/>
              </w:rPr>
            </w:pPr>
            <w:r>
              <w:rPr>
                <w:rFonts w:hint="eastAsia" w:ascii="宋体" w:hAnsi="宋体"/>
                <w:color w:val="auto"/>
                <w:szCs w:val="24"/>
              </w:rPr>
              <w:t>已对意见相应的部分进行修改；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57"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8</w:t>
            </w:r>
          </w:p>
        </w:tc>
        <w:tc>
          <w:tcPr>
            <w:tcW w:w="4763"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宝安区政府</w:t>
            </w:r>
          </w:p>
        </w:tc>
        <w:tc>
          <w:tcPr>
            <w:tcW w:w="11162" w:type="dxa"/>
            <w:vAlign w:val="center"/>
          </w:tcPr>
          <w:p>
            <w:pPr>
              <w:spacing w:line="580" w:lineRule="exact"/>
              <w:ind w:firstLine="480" w:firstLineChars="200"/>
              <w:rPr>
                <w:rFonts w:ascii="宋体" w:hAnsi="宋体" w:eastAsia="宋体" w:cs="仿宋_GB2312"/>
                <w:color w:val="auto"/>
                <w:kern w:val="0"/>
                <w:sz w:val="24"/>
                <w:szCs w:val="24"/>
              </w:rPr>
            </w:pPr>
            <w:r>
              <w:rPr>
                <w:rFonts w:hint="eastAsia" w:ascii="宋体" w:hAnsi="宋体" w:eastAsia="宋体" w:cs="仿宋_GB2312"/>
                <w:color w:val="auto"/>
                <w:kern w:val="0"/>
                <w:sz w:val="24"/>
                <w:szCs w:val="24"/>
              </w:rPr>
              <w:t>建议补充2处深圳改革开放重要史迹：</w:t>
            </w:r>
          </w:p>
          <w:p>
            <w:pPr>
              <w:spacing w:line="580" w:lineRule="exact"/>
              <w:ind w:firstLine="480" w:firstLineChars="200"/>
              <w:rPr>
                <w:rFonts w:ascii="宋体" w:hAnsi="宋体" w:eastAsia="宋体" w:cs="仿宋_GB2312"/>
                <w:color w:val="auto"/>
                <w:kern w:val="0"/>
                <w:sz w:val="24"/>
                <w:szCs w:val="24"/>
              </w:rPr>
            </w:pPr>
            <w:r>
              <w:rPr>
                <w:rFonts w:hint="eastAsia" w:ascii="宋体" w:hAnsi="宋体" w:eastAsia="宋体" w:cs="仿宋_GB2312"/>
                <w:color w:val="auto"/>
                <w:kern w:val="0"/>
                <w:sz w:val="24"/>
                <w:szCs w:val="24"/>
              </w:rPr>
              <w:t>一、深圳市沙井蚝厂。理由是：1953年，沙井蚝厂建成；1979年，改名为深圳市沙井蚝厂。1984年，国营企业改为聘任制，该厂向银行借款60万元，建成全国第一家沙井蚝油生产线。并于当年成功投产，蚝油年产量达300吨，产值500万元。90年代，深圳市宝安沙井水产公司成立，与台山市共同建成现代发展蚝业产业联盟，形成“专业户+合作社+公司+文化”模式。深圳市沙井蚝厂见证了改革开放以来中</w:t>
            </w:r>
            <w:r>
              <w:rPr>
                <w:rFonts w:hint="eastAsia" w:ascii="宋体" w:hAnsi="宋体" w:eastAsia="宋体" w:cs="仿宋_GB2312"/>
                <w:color w:val="auto"/>
                <w:kern w:val="0"/>
                <w:sz w:val="24"/>
                <w:szCs w:val="24"/>
                <w:lang w:val="en-US" w:eastAsia="zh-CN"/>
              </w:rPr>
              <w:t>华</w:t>
            </w:r>
            <w:bookmarkStart w:id="395" w:name="_GoBack"/>
            <w:bookmarkEnd w:id="395"/>
            <w:r>
              <w:rPr>
                <w:rFonts w:hint="eastAsia" w:ascii="宋体" w:hAnsi="宋体" w:eastAsia="宋体" w:cs="仿宋_GB2312"/>
                <w:color w:val="auto"/>
                <w:kern w:val="0"/>
                <w:sz w:val="24"/>
                <w:szCs w:val="24"/>
              </w:rPr>
              <w:t>民族养殖业主动变革，谋生存、求发展的历程。</w:t>
            </w:r>
          </w:p>
          <w:p>
            <w:pPr>
              <w:spacing w:line="580" w:lineRule="exact"/>
              <w:ind w:firstLine="480" w:firstLineChars="200"/>
              <w:rPr>
                <w:rFonts w:ascii="宋体" w:hAnsi="宋体" w:eastAsia="宋体" w:cs="仿宋_GB2312"/>
                <w:color w:val="auto"/>
                <w:sz w:val="24"/>
                <w:szCs w:val="24"/>
              </w:rPr>
            </w:pPr>
            <w:r>
              <w:rPr>
                <w:rFonts w:hint="eastAsia" w:ascii="宋体" w:hAnsi="宋体" w:eastAsia="宋体" w:cs="仿宋_GB2312"/>
                <w:color w:val="auto"/>
                <w:kern w:val="0"/>
                <w:sz w:val="24"/>
                <w:szCs w:val="24"/>
              </w:rPr>
              <w:t>二、华为旧厂房（西乡街道西成工业区建成大厦）。理由是：1991年—2005年间，该旧厂房由深圳市华为技术有限公司使用，见证了改革开放以来民族工业的崛起和享誉全球的华为高科技产业所走过的发展道路。</w:t>
            </w:r>
          </w:p>
        </w:tc>
        <w:tc>
          <w:tcPr>
            <w:tcW w:w="3548" w:type="dxa"/>
            <w:vAlign w:val="center"/>
          </w:tcPr>
          <w:p>
            <w:pPr>
              <w:spacing w:line="560" w:lineRule="exact"/>
              <w:ind w:firstLine="480" w:firstLineChars="200"/>
              <w:jc w:val="left"/>
              <w:rPr>
                <w:rFonts w:ascii="宋体" w:hAnsi="宋体" w:eastAsia="宋体" w:cs="黑体"/>
                <w:color w:val="auto"/>
                <w:sz w:val="24"/>
                <w:szCs w:val="24"/>
              </w:rPr>
            </w:pPr>
            <w:r>
              <w:rPr>
                <w:rFonts w:hint="eastAsia" w:ascii="宋体" w:hAnsi="宋体" w:eastAsia="宋体" w:cs="黑体"/>
                <w:color w:val="auto"/>
                <w:sz w:val="24"/>
                <w:szCs w:val="24"/>
              </w:rPr>
              <w:t>一、经认真研究，与其他重要史迹点相比，深圳市沙井蚝厂代表性较弱，建议暂不列入；</w:t>
            </w:r>
          </w:p>
          <w:p>
            <w:pPr>
              <w:spacing w:line="560" w:lineRule="exact"/>
              <w:ind w:firstLine="480" w:firstLineChars="200"/>
              <w:jc w:val="left"/>
              <w:rPr>
                <w:rFonts w:ascii="宋体" w:hAnsi="宋体" w:eastAsia="宋体" w:cs="黑体"/>
                <w:color w:val="auto"/>
                <w:sz w:val="24"/>
                <w:szCs w:val="24"/>
              </w:rPr>
            </w:pPr>
            <w:r>
              <w:rPr>
                <w:rFonts w:hint="eastAsia" w:ascii="宋体" w:hAnsi="宋体" w:eastAsia="宋体" w:cs="黑体"/>
                <w:color w:val="auto"/>
                <w:sz w:val="24"/>
                <w:szCs w:val="24"/>
              </w:rPr>
              <w:t>二、后续经与宝安区确认，暂不补充华为旧厂房。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57"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9</w:t>
            </w:r>
          </w:p>
        </w:tc>
        <w:tc>
          <w:tcPr>
            <w:tcW w:w="4763"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龙岗区政府</w:t>
            </w:r>
          </w:p>
        </w:tc>
        <w:tc>
          <w:tcPr>
            <w:tcW w:w="11162" w:type="dxa"/>
            <w:vAlign w:val="center"/>
          </w:tcPr>
          <w:p>
            <w:pPr>
              <w:spacing w:line="540" w:lineRule="exact"/>
              <w:ind w:firstLine="480" w:firstLineChars="200"/>
              <w:rPr>
                <w:rFonts w:ascii="宋体" w:hAnsi="宋体" w:eastAsia="宋体" w:cs="仿宋_GB2312"/>
                <w:color w:val="auto"/>
                <w:sz w:val="24"/>
                <w:szCs w:val="24"/>
              </w:rPr>
            </w:pPr>
            <w:r>
              <w:rPr>
                <w:rFonts w:hint="eastAsia" w:ascii="宋体" w:hAnsi="宋体" w:eastAsia="宋体" w:cs="仿宋_GB2312"/>
                <w:color w:val="auto"/>
                <w:sz w:val="24"/>
                <w:szCs w:val="24"/>
              </w:rPr>
              <w:t>对于征求意见稿中提到的南岭村委办公楼改造项目，因南岭村社区现设有致富思源馆、村史馆，其中前者位于社区党群服务中心四楼，后者位于村委大楼二楼，是两个不同的展馆，不能合二为一，建议可对村委大楼的村史馆进行修缮。</w:t>
            </w:r>
          </w:p>
        </w:tc>
        <w:tc>
          <w:tcPr>
            <w:tcW w:w="3548" w:type="dxa"/>
            <w:vAlign w:val="center"/>
          </w:tcPr>
          <w:p>
            <w:pPr>
              <w:spacing w:line="560" w:lineRule="exact"/>
              <w:jc w:val="center"/>
              <w:rPr>
                <w:rFonts w:ascii="宋体" w:hAnsi="宋体" w:eastAsia="宋体" w:cs="黑体"/>
                <w:color w:val="auto"/>
                <w:sz w:val="24"/>
                <w:szCs w:val="24"/>
              </w:rPr>
            </w:pPr>
            <w:r>
              <w:rPr>
                <w:rFonts w:hint="eastAsia" w:ascii="宋体" w:hAnsi="宋体" w:eastAsia="宋体" w:cs="仿宋_GB2312"/>
                <w:color w:val="auto"/>
                <w:sz w:val="24"/>
                <w:szCs w:val="24"/>
              </w:rPr>
              <w:t>已对意见相应的部分进行修改；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57"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10</w:t>
            </w:r>
          </w:p>
        </w:tc>
        <w:tc>
          <w:tcPr>
            <w:tcW w:w="4763"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龙华区政府</w:t>
            </w:r>
          </w:p>
        </w:tc>
        <w:tc>
          <w:tcPr>
            <w:tcW w:w="11162" w:type="dxa"/>
            <w:vAlign w:val="center"/>
          </w:tcPr>
          <w:p>
            <w:pPr>
              <w:pStyle w:val="6"/>
              <w:spacing w:line="560" w:lineRule="exact"/>
              <w:ind w:firstLine="0"/>
              <w:rPr>
                <w:rFonts w:ascii="宋体" w:hAnsi="宋体" w:cs="仿宋_GB2312"/>
                <w:color w:val="auto"/>
                <w:sz w:val="24"/>
                <w:szCs w:val="24"/>
              </w:rPr>
            </w:pPr>
            <w:r>
              <w:rPr>
                <w:rFonts w:hint="eastAsia" w:ascii="宋体" w:hAnsi="宋体" w:cs="仿宋_GB2312"/>
                <w:color w:val="auto"/>
                <w:sz w:val="24"/>
                <w:szCs w:val="24"/>
              </w:rPr>
              <w:t>无意见</w:t>
            </w:r>
          </w:p>
        </w:tc>
        <w:tc>
          <w:tcPr>
            <w:tcW w:w="3548" w:type="dxa"/>
            <w:vAlign w:val="center"/>
          </w:tcPr>
          <w:p>
            <w:pPr>
              <w:spacing w:line="560" w:lineRule="exact"/>
              <w:jc w:val="center"/>
              <w:rPr>
                <w:rFonts w:ascii="宋体" w:hAnsi="宋体" w:eastAsia="宋体" w:cs="黑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57"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11</w:t>
            </w:r>
          </w:p>
        </w:tc>
        <w:tc>
          <w:tcPr>
            <w:tcW w:w="4763"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坪山区政府</w:t>
            </w:r>
          </w:p>
        </w:tc>
        <w:tc>
          <w:tcPr>
            <w:tcW w:w="11162" w:type="dxa"/>
            <w:vAlign w:val="center"/>
          </w:tcPr>
          <w:p>
            <w:pPr>
              <w:spacing w:line="560" w:lineRule="exact"/>
              <w:jc w:val="left"/>
              <w:rPr>
                <w:rFonts w:ascii="宋体" w:hAnsi="宋体" w:eastAsia="宋体" w:cs="仿宋_GB2312"/>
                <w:color w:val="auto"/>
                <w:sz w:val="24"/>
                <w:szCs w:val="24"/>
              </w:rPr>
            </w:pPr>
            <w:r>
              <w:rPr>
                <w:rFonts w:hint="eastAsia" w:ascii="宋体" w:hAnsi="宋体" w:eastAsia="宋体" w:cs="仿宋_GB2312"/>
                <w:color w:val="auto"/>
                <w:kern w:val="0"/>
                <w:sz w:val="24"/>
                <w:szCs w:val="24"/>
              </w:rPr>
              <w:t>无意见</w:t>
            </w:r>
          </w:p>
        </w:tc>
        <w:tc>
          <w:tcPr>
            <w:tcW w:w="3548" w:type="dxa"/>
            <w:vAlign w:val="center"/>
          </w:tcPr>
          <w:p>
            <w:pPr>
              <w:spacing w:line="560" w:lineRule="exact"/>
              <w:jc w:val="center"/>
              <w:rPr>
                <w:rFonts w:ascii="宋体" w:hAnsi="宋体" w:eastAsia="宋体" w:cs="黑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57"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12</w:t>
            </w:r>
          </w:p>
        </w:tc>
        <w:tc>
          <w:tcPr>
            <w:tcW w:w="4763"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光明区政府</w:t>
            </w:r>
          </w:p>
        </w:tc>
        <w:tc>
          <w:tcPr>
            <w:tcW w:w="11162" w:type="dxa"/>
            <w:vAlign w:val="center"/>
          </w:tcPr>
          <w:p>
            <w:pPr>
              <w:spacing w:line="560" w:lineRule="exact"/>
              <w:rPr>
                <w:rFonts w:ascii="宋体" w:hAnsi="宋体" w:eastAsia="宋体" w:cs="仿宋_GB2312"/>
                <w:color w:val="auto"/>
                <w:sz w:val="24"/>
                <w:szCs w:val="24"/>
              </w:rPr>
            </w:pPr>
            <w:r>
              <w:rPr>
                <w:rFonts w:hint="eastAsia" w:ascii="宋体" w:hAnsi="宋体" w:eastAsia="宋体" w:cs="仿宋_GB2312"/>
                <w:color w:val="auto"/>
                <w:sz w:val="24"/>
                <w:szCs w:val="24"/>
              </w:rPr>
              <w:t>无意见</w:t>
            </w:r>
          </w:p>
        </w:tc>
        <w:tc>
          <w:tcPr>
            <w:tcW w:w="3548" w:type="dxa"/>
            <w:vAlign w:val="center"/>
          </w:tcPr>
          <w:p>
            <w:pPr>
              <w:spacing w:line="560" w:lineRule="exact"/>
              <w:jc w:val="center"/>
              <w:rPr>
                <w:rFonts w:ascii="宋体" w:hAnsi="宋体" w:eastAsia="宋体" w:cs="黑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57"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13</w:t>
            </w:r>
          </w:p>
        </w:tc>
        <w:tc>
          <w:tcPr>
            <w:tcW w:w="4763" w:type="dxa"/>
            <w:vAlign w:val="center"/>
          </w:tcPr>
          <w:p>
            <w:pPr>
              <w:spacing w:line="560" w:lineRule="exact"/>
              <w:jc w:val="center"/>
              <w:rPr>
                <w:rFonts w:ascii="宋体" w:hAnsi="宋体" w:eastAsia="宋体" w:cs="仿宋_GB2312"/>
                <w:color w:val="auto"/>
                <w:sz w:val="24"/>
                <w:szCs w:val="24"/>
              </w:rPr>
            </w:pPr>
            <w:r>
              <w:rPr>
                <w:rFonts w:hint="eastAsia" w:ascii="宋体" w:hAnsi="宋体" w:eastAsia="宋体" w:cs="仿宋_GB2312"/>
                <w:color w:val="auto"/>
                <w:sz w:val="24"/>
                <w:szCs w:val="24"/>
              </w:rPr>
              <w:t>大鹏新区管委会</w:t>
            </w:r>
          </w:p>
        </w:tc>
        <w:tc>
          <w:tcPr>
            <w:tcW w:w="11162" w:type="dxa"/>
            <w:vAlign w:val="center"/>
          </w:tcPr>
          <w:p>
            <w:pPr>
              <w:spacing w:line="560" w:lineRule="exact"/>
              <w:ind w:firstLine="480" w:firstLineChars="200"/>
              <w:rPr>
                <w:rFonts w:ascii="宋体" w:hAnsi="宋体" w:eastAsia="宋体" w:cs="仿宋_GB2312"/>
                <w:color w:val="auto"/>
                <w:kern w:val="0"/>
                <w:sz w:val="24"/>
                <w:szCs w:val="24"/>
              </w:rPr>
            </w:pPr>
            <w:r>
              <w:rPr>
                <w:rFonts w:hint="eastAsia" w:ascii="宋体" w:hAnsi="宋体" w:eastAsia="宋体" w:cs="仿宋_GB2312"/>
                <w:color w:val="auto"/>
                <w:kern w:val="0"/>
                <w:sz w:val="24"/>
                <w:szCs w:val="24"/>
              </w:rPr>
              <w:t>一、袁庚故居已核定更改为袁庚祖居，建议修改其名称。</w:t>
            </w:r>
          </w:p>
          <w:p>
            <w:pPr>
              <w:spacing w:line="560" w:lineRule="exact"/>
              <w:ind w:firstLine="480" w:firstLineChars="200"/>
              <w:rPr>
                <w:rFonts w:ascii="宋体" w:hAnsi="宋体" w:eastAsia="宋体" w:cs="仿宋_GB2312"/>
                <w:color w:val="auto"/>
                <w:kern w:val="0"/>
                <w:sz w:val="24"/>
                <w:szCs w:val="24"/>
              </w:rPr>
            </w:pPr>
            <w:r>
              <w:rPr>
                <w:rFonts w:hint="eastAsia" w:ascii="宋体" w:hAnsi="宋体" w:eastAsia="宋体" w:cs="仿宋_GB2312"/>
                <w:color w:val="auto"/>
                <w:kern w:val="0"/>
                <w:sz w:val="24"/>
                <w:szCs w:val="24"/>
              </w:rPr>
              <w:t>二、第41页序号86，咸头岭遗址应为“全国十大考古新发现”而非“全国四大考古新发现”。</w:t>
            </w:r>
          </w:p>
          <w:p>
            <w:pPr>
              <w:spacing w:line="560" w:lineRule="exact"/>
              <w:ind w:firstLine="480" w:firstLineChars="200"/>
              <w:rPr>
                <w:rFonts w:ascii="宋体" w:hAnsi="宋体" w:eastAsia="宋体" w:cs="仿宋_GB2312"/>
                <w:color w:val="auto"/>
                <w:kern w:val="0"/>
                <w:sz w:val="24"/>
                <w:szCs w:val="24"/>
              </w:rPr>
            </w:pPr>
            <w:r>
              <w:rPr>
                <w:rFonts w:hint="eastAsia" w:ascii="宋体" w:hAnsi="宋体" w:eastAsia="宋体" w:cs="仿宋_GB2312"/>
                <w:color w:val="auto"/>
                <w:kern w:val="0"/>
                <w:sz w:val="24"/>
                <w:szCs w:val="24"/>
              </w:rPr>
              <w:t>三、第146页“东西冲徒步路线”应改为“东西涌徒步路线”。</w:t>
            </w:r>
          </w:p>
          <w:p>
            <w:pPr>
              <w:spacing w:line="560" w:lineRule="exact"/>
              <w:ind w:firstLine="480" w:firstLineChars="200"/>
              <w:rPr>
                <w:rFonts w:ascii="宋体" w:hAnsi="宋体" w:eastAsia="宋体" w:cs="仿宋_GB2312"/>
                <w:color w:val="auto"/>
                <w:kern w:val="0"/>
                <w:sz w:val="24"/>
                <w:szCs w:val="24"/>
              </w:rPr>
            </w:pPr>
            <w:r>
              <w:rPr>
                <w:rFonts w:hint="eastAsia" w:ascii="宋体" w:hAnsi="宋体" w:eastAsia="宋体" w:cs="仿宋_GB2312"/>
                <w:color w:val="auto"/>
                <w:kern w:val="0"/>
                <w:sz w:val="24"/>
                <w:szCs w:val="24"/>
              </w:rPr>
              <w:t>四、建议来文附件提及的“房屋和主管部门”“城建管理部门”统一修改为“住房和建设主管部门”。</w:t>
            </w:r>
          </w:p>
          <w:p>
            <w:pPr>
              <w:spacing w:line="560" w:lineRule="exact"/>
              <w:ind w:firstLine="480" w:firstLineChars="200"/>
              <w:rPr>
                <w:rFonts w:ascii="宋体" w:hAnsi="宋体" w:eastAsia="宋体" w:cs="仿宋_GB2312"/>
                <w:color w:val="auto"/>
                <w:sz w:val="24"/>
                <w:szCs w:val="24"/>
              </w:rPr>
            </w:pPr>
            <w:r>
              <w:rPr>
                <w:rFonts w:hint="eastAsia" w:ascii="宋体" w:hAnsi="宋体" w:eastAsia="宋体" w:cs="仿宋_GB2312"/>
                <w:color w:val="auto"/>
                <w:kern w:val="0"/>
                <w:sz w:val="24"/>
                <w:szCs w:val="24"/>
              </w:rPr>
              <w:t>五、因文保单位类史迹建设控制地带内的修建活动一般不满足新建项目规划用地审批要求，建议来文附件第13页中“......是否允许在这个地带内进行修建,应征得有关部门的同意和报请规划部门批准”修改为“......是否允许在这个地带内进行修建,应征得有关部门的同意”。</w:t>
            </w:r>
          </w:p>
        </w:tc>
        <w:tc>
          <w:tcPr>
            <w:tcW w:w="3548" w:type="dxa"/>
            <w:vAlign w:val="center"/>
          </w:tcPr>
          <w:p>
            <w:pPr>
              <w:spacing w:line="560" w:lineRule="exact"/>
              <w:jc w:val="center"/>
              <w:rPr>
                <w:rFonts w:ascii="宋体" w:hAnsi="宋体" w:eastAsia="宋体" w:cs="黑体"/>
                <w:color w:val="auto"/>
                <w:sz w:val="24"/>
                <w:szCs w:val="24"/>
              </w:rPr>
            </w:pPr>
            <w:r>
              <w:rPr>
                <w:rFonts w:hint="eastAsia" w:ascii="宋体" w:hAnsi="宋体" w:eastAsia="宋体" w:cs="仿宋_GB2312"/>
                <w:color w:val="auto"/>
                <w:sz w:val="24"/>
                <w:szCs w:val="24"/>
              </w:rPr>
              <w:t>已对意见相应的部分进行修改；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57" w:type="dxa"/>
            <w:vAlign w:val="center"/>
          </w:tcPr>
          <w:p>
            <w:pPr>
              <w:spacing w:line="560" w:lineRule="exact"/>
              <w:jc w:val="center"/>
              <w:rPr>
                <w:rFonts w:ascii="宋体" w:hAnsi="宋体" w:eastAsia="宋体" w:cs="仿宋_GB2312"/>
                <w:color w:val="auto"/>
                <w:sz w:val="24"/>
                <w:szCs w:val="24"/>
              </w:rPr>
            </w:pPr>
            <w:r>
              <w:rPr>
                <w:rFonts w:ascii="宋体" w:hAnsi="宋体" w:eastAsia="宋体" w:cs="仿宋_GB2312"/>
                <w:color w:val="auto"/>
                <w:sz w:val="24"/>
                <w:szCs w:val="24"/>
              </w:rPr>
              <w:t>14</w:t>
            </w:r>
          </w:p>
        </w:tc>
        <w:tc>
          <w:tcPr>
            <w:tcW w:w="4763" w:type="dxa"/>
            <w:vAlign w:val="center"/>
          </w:tcPr>
          <w:p>
            <w:pPr>
              <w:spacing w:line="560" w:lineRule="exact"/>
              <w:jc w:val="center"/>
              <w:rPr>
                <w:rFonts w:ascii="宋体" w:hAnsi="宋体" w:eastAsia="宋体" w:cs="仿宋_GB2312"/>
                <w:color w:val="auto"/>
                <w:sz w:val="24"/>
                <w:szCs w:val="24"/>
              </w:rPr>
            </w:pPr>
            <w:r>
              <w:rPr>
                <w:rFonts w:ascii="宋体" w:hAnsi="宋体" w:eastAsia="宋体" w:cs="仿宋_GB2312"/>
                <w:color w:val="auto"/>
                <w:sz w:val="24"/>
                <w:szCs w:val="24"/>
              </w:rPr>
              <w:t>深汕特别合作区党政办公室</w:t>
            </w:r>
          </w:p>
        </w:tc>
        <w:tc>
          <w:tcPr>
            <w:tcW w:w="11162" w:type="dxa"/>
            <w:vAlign w:val="center"/>
          </w:tcPr>
          <w:p>
            <w:pPr>
              <w:spacing w:line="560" w:lineRule="exact"/>
              <w:ind w:firstLine="480" w:firstLineChars="200"/>
              <w:rPr>
                <w:rFonts w:ascii="宋体" w:hAnsi="宋体" w:eastAsia="宋体" w:cs="仿宋_GB2312"/>
                <w:color w:val="auto"/>
                <w:sz w:val="24"/>
                <w:szCs w:val="24"/>
              </w:rPr>
            </w:pPr>
            <w:r>
              <w:rPr>
                <w:rFonts w:hint="eastAsia" w:ascii="宋体" w:hAnsi="宋体" w:eastAsia="宋体" w:cs="仿宋_GB2312"/>
                <w:color w:val="auto"/>
                <w:sz w:val="24"/>
                <w:szCs w:val="24"/>
              </w:rPr>
              <w:t>无意见</w:t>
            </w:r>
          </w:p>
        </w:tc>
        <w:tc>
          <w:tcPr>
            <w:tcW w:w="3548" w:type="dxa"/>
            <w:vAlign w:val="center"/>
          </w:tcPr>
          <w:p>
            <w:pPr>
              <w:spacing w:line="560" w:lineRule="exact"/>
              <w:jc w:val="center"/>
              <w:rPr>
                <w:rFonts w:ascii="宋体" w:hAnsi="宋体" w:eastAsia="宋体" w:cs="黑体"/>
                <w:color w:val="auto"/>
                <w:sz w:val="24"/>
                <w:szCs w:val="24"/>
              </w:rPr>
            </w:pPr>
          </w:p>
        </w:tc>
      </w:tr>
    </w:tbl>
    <w:p>
      <w:pPr>
        <w:jc w:val="left"/>
        <w:rPr>
          <w:rFonts w:ascii="黑体" w:eastAsia="黑体"/>
          <w:b/>
          <w:bCs/>
          <w:color w:val="auto"/>
          <w:sz w:val="36"/>
          <w:szCs w:val="36"/>
        </w:rPr>
      </w:pPr>
    </w:p>
    <w:p>
      <w:pPr>
        <w:rPr>
          <w:color w:val="auto"/>
        </w:rPr>
      </w:pPr>
    </w:p>
    <w:p>
      <w:pPr>
        <w:jc w:val="center"/>
        <w:rPr>
          <w:color w:val="auto"/>
        </w:rPr>
      </w:pPr>
    </w:p>
    <w:sectPr>
      <w:pgSz w:w="23811" w:h="16838" w:orient="landscape"/>
      <w:pgMar w:top="1800" w:right="1440" w:bottom="1800" w:left="1440" w:header="851" w:footer="992" w:gutter="0"/>
      <w:cols w:space="1051"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auto"/>
    <w:pitch w:val="default"/>
    <w:sig w:usb0="A00002BF" w:usb1="184F6CFA" w:usb2="00000012" w:usb3="00000000" w:csb0="00040001" w:csb1="00000000"/>
  </w:font>
  <w:font w:name="font-weight : 400">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华文仿宋">
    <w:altName w:val="仿宋"/>
    <w:panose1 w:val="02010600040101010101"/>
    <w:charset w:val="86"/>
    <w:family w:val="auto"/>
    <w:pitch w:val="default"/>
    <w:sig w:usb0="00000000" w:usb1="00000000" w:usb2="00000000" w:usb3="00000000" w:csb0="0004009F" w:csb1="DFD7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315024"/>
    </w:sdtPr>
    <w:sdtContent>
      <w:p>
        <w:pPr>
          <w:pStyle w:val="11"/>
          <w:jc w:val="center"/>
        </w:pPr>
        <w:r>
          <w:fldChar w:fldCharType="begin"/>
        </w:r>
        <w:r>
          <w:instrText xml:space="preserve">PAGE   \* MERGEFORMAT</w:instrText>
        </w:r>
        <w:r>
          <w:fldChar w:fldCharType="separate"/>
        </w:r>
        <w:r>
          <w:rPr>
            <w:lang w:val="zh-CN"/>
          </w:rPr>
          <w:t>iv</w:t>
        </w:r>
        <w:r>
          <w:fldChar w:fldCharType="end"/>
        </w:r>
      </w:p>
    </w:sdtContent>
  </w:sdt>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8254369"/>
    </w:sdtPr>
    <w:sdtContent>
      <w:p>
        <w:pPr>
          <w:pStyle w:val="11"/>
          <w:jc w:val="center"/>
        </w:pPr>
        <w:r>
          <w:fldChar w:fldCharType="begin"/>
        </w:r>
        <w:r>
          <w:instrText xml:space="preserve">PAGE   \* MERGEFORMAT</w:instrText>
        </w:r>
        <w:r>
          <w:fldChar w:fldCharType="separate"/>
        </w:r>
        <w:r>
          <w:rPr>
            <w:lang w:val="zh-CN"/>
          </w:rPr>
          <w:t>10</w:t>
        </w:r>
        <w:r>
          <w:fldChar w:fldCharType="end"/>
        </w:r>
      </w:p>
    </w:sdtContent>
  </w:sdt>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jc w:val="right"/>
      <w:rPr>
        <w:rFonts w:ascii="宋体" w:hAnsi="宋体" w:eastAsia="宋体"/>
      </w:rPr>
    </w:pPr>
    <w:r>
      <w:rPr>
        <w:rFonts w:hint="eastAsia" w:ascii="宋体" w:hAnsi="宋体" w:eastAsia="宋体"/>
      </w:rPr>
      <w:t>深圳市改革开放重要史迹保护利用战略规划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FE7C64"/>
    <w:multiLevelType w:val="singleLevel"/>
    <w:tmpl w:val="EEFE7C64"/>
    <w:lvl w:ilvl="0" w:tentative="0">
      <w:start w:val="1"/>
      <w:numFmt w:val="chineseCounting"/>
      <w:suff w:val="nothing"/>
      <w:lvlText w:val="%1、"/>
      <w:lvlJc w:val="left"/>
      <w:rPr>
        <w:rFonts w:hint="eastAsia"/>
      </w:rPr>
    </w:lvl>
  </w:abstractNum>
  <w:abstractNum w:abstractNumId="1">
    <w:nsid w:val="0158342E"/>
    <w:multiLevelType w:val="multilevel"/>
    <w:tmpl w:val="0158342E"/>
    <w:lvl w:ilvl="0" w:tentative="0">
      <w:start w:val="1"/>
      <w:numFmt w:val="lowerLetter"/>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07127BA0"/>
    <w:multiLevelType w:val="multilevel"/>
    <w:tmpl w:val="07127BA0"/>
    <w:lvl w:ilvl="0" w:tentative="0">
      <w:start w:val="1"/>
      <w:numFmt w:val="japaneseCounting"/>
      <w:lvlText w:val="%1，"/>
      <w:lvlJc w:val="left"/>
      <w:pPr>
        <w:ind w:left="960" w:hanging="48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8986AE2"/>
    <w:multiLevelType w:val="multilevel"/>
    <w:tmpl w:val="08986AE2"/>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DFF78C2"/>
    <w:multiLevelType w:val="multilevel"/>
    <w:tmpl w:val="1DFF78C2"/>
    <w:lvl w:ilvl="0" w:tentative="0">
      <w:start w:val="1"/>
      <w:numFmt w:val="japaneseCounting"/>
      <w:lvlText w:val="%1、"/>
      <w:lvlJc w:val="left"/>
      <w:pPr>
        <w:ind w:left="960" w:hanging="48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30543C34"/>
    <w:multiLevelType w:val="multilevel"/>
    <w:tmpl w:val="30543C34"/>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3A3700BE"/>
    <w:multiLevelType w:val="multilevel"/>
    <w:tmpl w:val="3A3700BE"/>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4EB120EC"/>
    <w:multiLevelType w:val="multilevel"/>
    <w:tmpl w:val="4EB120EC"/>
    <w:lvl w:ilvl="0" w:tentative="0">
      <w:start w:val="1"/>
      <w:numFmt w:val="lowerLetter"/>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585F7E2F"/>
    <w:multiLevelType w:val="multilevel"/>
    <w:tmpl w:val="585F7E2F"/>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60DB0087"/>
    <w:multiLevelType w:val="multilevel"/>
    <w:tmpl w:val="60DB0087"/>
    <w:lvl w:ilvl="0" w:tentative="0">
      <w:start w:val="1"/>
      <w:numFmt w:val="japaneseCounting"/>
      <w:lvlText w:val="%1、"/>
      <w:lvlJc w:val="left"/>
      <w:pPr>
        <w:ind w:left="960" w:hanging="48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62941D1F"/>
    <w:multiLevelType w:val="multilevel"/>
    <w:tmpl w:val="62941D1F"/>
    <w:lvl w:ilvl="0" w:tentative="0">
      <w:start w:val="1"/>
      <w:numFmt w:val="japaneseCounting"/>
      <w:lvlText w:val="（%1）"/>
      <w:lvlJc w:val="left"/>
      <w:pPr>
        <w:ind w:left="765" w:hanging="7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6E80DB6"/>
    <w:multiLevelType w:val="multilevel"/>
    <w:tmpl w:val="66E80DB6"/>
    <w:lvl w:ilvl="0" w:tentative="0">
      <w:start w:val="1"/>
      <w:numFmt w:val="lowerLetter"/>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1982DCD"/>
    <w:multiLevelType w:val="multilevel"/>
    <w:tmpl w:val="71982DCD"/>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3B710B6"/>
    <w:multiLevelType w:val="multilevel"/>
    <w:tmpl w:val="73B710B6"/>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7FD13E7F"/>
    <w:multiLevelType w:val="multilevel"/>
    <w:tmpl w:val="7FD13E7F"/>
    <w:lvl w:ilvl="0" w:tentative="0">
      <w:start w:val="1"/>
      <w:numFmt w:val="decimal"/>
      <w:lvlText w:val="（%1）"/>
      <w:lvlJc w:val="left"/>
      <w:pPr>
        <w:ind w:left="1287" w:hanging="72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14"/>
  </w:num>
  <w:num w:numId="2">
    <w:abstractNumId w:val="13"/>
  </w:num>
  <w:num w:numId="3">
    <w:abstractNumId w:val="9"/>
  </w:num>
  <w:num w:numId="4">
    <w:abstractNumId w:val="4"/>
  </w:num>
  <w:num w:numId="5">
    <w:abstractNumId w:val="6"/>
  </w:num>
  <w:num w:numId="6">
    <w:abstractNumId w:val="5"/>
  </w:num>
  <w:num w:numId="7">
    <w:abstractNumId w:val="8"/>
  </w:num>
  <w:num w:numId="8">
    <w:abstractNumId w:val="3"/>
  </w:num>
  <w:num w:numId="9">
    <w:abstractNumId w:val="12"/>
  </w:num>
  <w:num w:numId="10">
    <w:abstractNumId w:val="7"/>
  </w:num>
  <w:num w:numId="11">
    <w:abstractNumId w:val="11"/>
  </w:num>
  <w:num w:numId="12">
    <w:abstractNumId w:val="1"/>
  </w:num>
  <w:num w:numId="13">
    <w:abstractNumId w:val="2"/>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1"/>
  <w:bordersDoNotSurroundFooter w:val="1"/>
  <w:hideSpellingErrors/>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lmNzNlYmYxZTk4MTUzNTc1MjBhOWZiNzlhY2QxNDEifQ=="/>
    <w:docVar w:name="NE.Ref{B62B397D-4B48-438E-A7B0-DFCA66C6ABA9}" w:val=" ADDIN NE.Ref.{B62B397D-4B48-438E-A7B0-DFCA66C6ABA9}&lt;Citation&gt;&lt;Group&gt;&lt;References&gt;&lt;Item&gt;&lt;ID&gt;14&lt;/ID&gt;&lt;UID&gt;{24230958-9904-4F96-9EF8-618EA682D749}&lt;/UID&gt;&lt;Title&gt;中国特色社会主义经济特区建设研究_赵胜文&lt;/Title&gt;&lt;Template&gt;Book Section&lt;/Template&gt;&lt;Star&gt;0&lt;/Star&gt;&lt;Tag&gt;0&lt;/Tag&gt;&lt;Author/&gt;&lt;Year&gt;0&lt;/Year&gt;&lt;Details&gt;&lt;_created&gt;63972633&lt;/_created&gt;&lt;_modified&gt;63982946&lt;/_modified&gt;&lt;_accessed&gt;63982946&lt;/_accessed&gt;&lt;/Details&gt;&lt;Extra&gt;&lt;DBUID&gt;{2531641D-D99C-4FB2-80B4-CEA5F5C5448C}&lt;/DBUID&gt;&lt;/Extra&gt;&lt;/Item&gt;&lt;/References&gt;&lt;/Group&gt;&lt;/Citation&gt;_x000a_"/>
    <w:docVar w:name="NE.Ref{D49EFB69-3C58-434B-B469-3D6A172AC7F3}" w:val=" ADDIN NE.Ref.{D49EFB69-3C58-434B-B469-3D6A172AC7F3}&lt;Citation&gt;&lt;Group&gt;&lt;References&gt;&lt;Item&gt;&lt;ID&gt;15&lt;/ID&gt;&lt;UID&gt;{00B7F6A4-61E3-45A2-BE5D-081769DB6247}&lt;/UID&gt;&lt;Title&gt;改革开放以来快速城市空间形态演变的成因机制研究——深圳和厦门案例&lt;/Title&gt;&lt;Template&gt;Book Section&lt;/Template&gt;&lt;Star&gt;0&lt;/Star&gt;&lt;Tag&gt;0&lt;/Tag&gt;&lt;Author/&gt;&lt;Year&gt;0&lt;/Year&gt;&lt;Details&gt;&lt;_created&gt;63982952&lt;/_created&gt;&lt;_modified&gt;63982952&lt;/_modified&gt;&lt;/Details&gt;&lt;Extra&gt;&lt;DBUID&gt;{2531641D-D99C-4FB2-80B4-CEA5F5C5448C}&lt;/DBUID&gt;&lt;/Extra&gt;&lt;/Item&gt;&lt;/References&gt;&lt;/Group&gt;&lt;/Citation&gt;_x000a_"/>
    <w:docVar w:name="NE.Ref{EA548631-C552-4F21-9899-227EDFD67955}" w:val=" ADDIN NE.Ref.{EA548631-C552-4F21-9899-227EDFD67955}&lt;Citation&gt;&lt;Group&gt;&lt;References&gt;&lt;Item&gt;&lt;ID&gt;2&lt;/ID&gt;&lt;UID&gt;{9117437A-130C-40DA-84F6-B2E3E57B3DA8}&lt;/UID&gt;&lt;Title&gt;深圳改革开放初期城市建筑遗产构成初探&lt;/Title&gt;&lt;Template&gt;Thesis&lt;/Template&gt;&lt;Star&gt;1&lt;/Star&gt;&lt;Tag&gt;0&lt;/Tag&gt;&lt;Author&gt;崔玲&lt;/Author&gt;&lt;Year&gt;2011&lt;/Year&gt;&lt;Details&gt;&lt;_accessed&gt;63981611&lt;/_accessed&gt;&lt;_cited_count&gt;4&lt;/_cited_count&gt;&lt;_created&gt;63970101&lt;/_created&gt;&lt;_db_updated&gt;CNKI - Reference&lt;/_db_updated&gt;&lt;_keywords&gt;深圳改革开放初期;当代城市建筑遗产;认定标准;遗产体系;遗产构成&lt;/_keywords&gt;&lt;_modified&gt;63972638&lt;/_modified&gt;&lt;_pages&gt;91&lt;/_pages&gt;&lt;_publisher&gt;西安建筑科技大学&lt;/_publisher&gt;&lt;_tertiary_author&gt;尤涛&lt;/_tertiary_author&gt;&lt;_url&gt;https://kns.cnki.net/kcms/detail/detail.aspx?FileName=1012045191.nh&amp;amp;DbName=CMFD2013&lt;/_url&gt;&lt;_volume&gt;硕士&lt;/_volume&gt;&lt;_translated_author&gt;Cui, Ling&lt;/_translated_author&gt;&lt;_translated_tertiary_author&gt;You, Tao&lt;/_translated_tertiary_author&gt;&lt;/Details&gt;&lt;Extra&gt;&lt;DBUID&gt;{2531641D-D99C-4FB2-80B4-CEA5F5C5448C}&lt;/DBUID&gt;&lt;/Extra&gt;&lt;/Item&gt;&lt;/References&gt;&lt;/Group&gt;&lt;/Citation&gt;_x000a_"/>
    <w:docVar w:name="ne_docsoft" w:val="MSWord"/>
    <w:docVar w:name="ne_docversion" w:val="NoteExpress 2.0"/>
    <w:docVar w:name="ne_stylename" w:val="Acad Emergency Med"/>
  </w:docVars>
  <w:rsids>
    <w:rsidRoot w:val="00172A27"/>
    <w:rsid w:val="000017B9"/>
    <w:rsid w:val="00001A60"/>
    <w:rsid w:val="00002863"/>
    <w:rsid w:val="00002EAE"/>
    <w:rsid w:val="000036A3"/>
    <w:rsid w:val="000037C1"/>
    <w:rsid w:val="00004C67"/>
    <w:rsid w:val="0000517B"/>
    <w:rsid w:val="000051AB"/>
    <w:rsid w:val="000054FD"/>
    <w:rsid w:val="000056F9"/>
    <w:rsid w:val="00005711"/>
    <w:rsid w:val="000057F1"/>
    <w:rsid w:val="00005C9E"/>
    <w:rsid w:val="00005E44"/>
    <w:rsid w:val="000061E2"/>
    <w:rsid w:val="00007043"/>
    <w:rsid w:val="0000728F"/>
    <w:rsid w:val="00007638"/>
    <w:rsid w:val="00007B72"/>
    <w:rsid w:val="00007FD6"/>
    <w:rsid w:val="00007FE9"/>
    <w:rsid w:val="000100E0"/>
    <w:rsid w:val="0001018D"/>
    <w:rsid w:val="0001081C"/>
    <w:rsid w:val="000108C0"/>
    <w:rsid w:val="00010ABF"/>
    <w:rsid w:val="00010CB8"/>
    <w:rsid w:val="00011137"/>
    <w:rsid w:val="00011544"/>
    <w:rsid w:val="000116B3"/>
    <w:rsid w:val="000119EB"/>
    <w:rsid w:val="0001215C"/>
    <w:rsid w:val="0001238B"/>
    <w:rsid w:val="00012643"/>
    <w:rsid w:val="00012918"/>
    <w:rsid w:val="000135FD"/>
    <w:rsid w:val="000138D5"/>
    <w:rsid w:val="00013928"/>
    <w:rsid w:val="00013A18"/>
    <w:rsid w:val="00013A36"/>
    <w:rsid w:val="00013E05"/>
    <w:rsid w:val="00013E67"/>
    <w:rsid w:val="0001447B"/>
    <w:rsid w:val="00015718"/>
    <w:rsid w:val="00015ABF"/>
    <w:rsid w:val="00016E0B"/>
    <w:rsid w:val="00016EA6"/>
    <w:rsid w:val="000170BD"/>
    <w:rsid w:val="00017377"/>
    <w:rsid w:val="000173FD"/>
    <w:rsid w:val="000179F9"/>
    <w:rsid w:val="00017B61"/>
    <w:rsid w:val="00020006"/>
    <w:rsid w:val="00020225"/>
    <w:rsid w:val="00020B45"/>
    <w:rsid w:val="0002117D"/>
    <w:rsid w:val="0002227A"/>
    <w:rsid w:val="000228AD"/>
    <w:rsid w:val="00022A66"/>
    <w:rsid w:val="00022D5B"/>
    <w:rsid w:val="00022EB9"/>
    <w:rsid w:val="00023E1E"/>
    <w:rsid w:val="00024E04"/>
    <w:rsid w:val="00025241"/>
    <w:rsid w:val="0002543B"/>
    <w:rsid w:val="000266E9"/>
    <w:rsid w:val="00027472"/>
    <w:rsid w:val="00027607"/>
    <w:rsid w:val="00027A29"/>
    <w:rsid w:val="00030DDB"/>
    <w:rsid w:val="00030F85"/>
    <w:rsid w:val="000310A1"/>
    <w:rsid w:val="00031169"/>
    <w:rsid w:val="00031295"/>
    <w:rsid w:val="00031702"/>
    <w:rsid w:val="00031DF4"/>
    <w:rsid w:val="00031FEE"/>
    <w:rsid w:val="00033288"/>
    <w:rsid w:val="000334E2"/>
    <w:rsid w:val="0003389C"/>
    <w:rsid w:val="00033E1D"/>
    <w:rsid w:val="000346F7"/>
    <w:rsid w:val="0003496A"/>
    <w:rsid w:val="000351E2"/>
    <w:rsid w:val="00035957"/>
    <w:rsid w:val="00035BC2"/>
    <w:rsid w:val="00037762"/>
    <w:rsid w:val="0003797D"/>
    <w:rsid w:val="00037B69"/>
    <w:rsid w:val="00037B89"/>
    <w:rsid w:val="00037CFE"/>
    <w:rsid w:val="00037D6A"/>
    <w:rsid w:val="0004044A"/>
    <w:rsid w:val="00040947"/>
    <w:rsid w:val="00041F86"/>
    <w:rsid w:val="000423BF"/>
    <w:rsid w:val="00043132"/>
    <w:rsid w:val="00043E61"/>
    <w:rsid w:val="00044980"/>
    <w:rsid w:val="00044CB1"/>
    <w:rsid w:val="00045C31"/>
    <w:rsid w:val="00045E3D"/>
    <w:rsid w:val="00046214"/>
    <w:rsid w:val="00046307"/>
    <w:rsid w:val="0004635C"/>
    <w:rsid w:val="00046959"/>
    <w:rsid w:val="00046A3A"/>
    <w:rsid w:val="00046A68"/>
    <w:rsid w:val="00046B32"/>
    <w:rsid w:val="00046D8D"/>
    <w:rsid w:val="000478E5"/>
    <w:rsid w:val="000505C1"/>
    <w:rsid w:val="00050A5D"/>
    <w:rsid w:val="000510CA"/>
    <w:rsid w:val="000517BC"/>
    <w:rsid w:val="00051F0A"/>
    <w:rsid w:val="00052D28"/>
    <w:rsid w:val="0005303B"/>
    <w:rsid w:val="000544F4"/>
    <w:rsid w:val="000547F7"/>
    <w:rsid w:val="00054FCD"/>
    <w:rsid w:val="000551FB"/>
    <w:rsid w:val="00055425"/>
    <w:rsid w:val="0005614E"/>
    <w:rsid w:val="00056983"/>
    <w:rsid w:val="00056B50"/>
    <w:rsid w:val="00056DDA"/>
    <w:rsid w:val="00056EEC"/>
    <w:rsid w:val="0005777B"/>
    <w:rsid w:val="0005778A"/>
    <w:rsid w:val="0005793F"/>
    <w:rsid w:val="00057E23"/>
    <w:rsid w:val="00060A51"/>
    <w:rsid w:val="00060B0E"/>
    <w:rsid w:val="00061036"/>
    <w:rsid w:val="000611D1"/>
    <w:rsid w:val="000615A8"/>
    <w:rsid w:val="00062048"/>
    <w:rsid w:val="00062832"/>
    <w:rsid w:val="00063D39"/>
    <w:rsid w:val="00064023"/>
    <w:rsid w:val="0006453F"/>
    <w:rsid w:val="0006485E"/>
    <w:rsid w:val="00064DA7"/>
    <w:rsid w:val="00065027"/>
    <w:rsid w:val="00066308"/>
    <w:rsid w:val="00066A51"/>
    <w:rsid w:val="00066DBB"/>
    <w:rsid w:val="00066DFD"/>
    <w:rsid w:val="00066F30"/>
    <w:rsid w:val="0006760E"/>
    <w:rsid w:val="00067832"/>
    <w:rsid w:val="00067B62"/>
    <w:rsid w:val="0007060C"/>
    <w:rsid w:val="00070BAB"/>
    <w:rsid w:val="00070CDA"/>
    <w:rsid w:val="00070DAC"/>
    <w:rsid w:val="00070E85"/>
    <w:rsid w:val="000714CA"/>
    <w:rsid w:val="000717EE"/>
    <w:rsid w:val="0007201C"/>
    <w:rsid w:val="00072C2E"/>
    <w:rsid w:val="00073121"/>
    <w:rsid w:val="000731E0"/>
    <w:rsid w:val="00073F9C"/>
    <w:rsid w:val="00074667"/>
    <w:rsid w:val="000749BB"/>
    <w:rsid w:val="00074EAA"/>
    <w:rsid w:val="00075A2E"/>
    <w:rsid w:val="00075EE4"/>
    <w:rsid w:val="00075FC4"/>
    <w:rsid w:val="00076069"/>
    <w:rsid w:val="000762A2"/>
    <w:rsid w:val="00076651"/>
    <w:rsid w:val="00076AAA"/>
    <w:rsid w:val="0007705F"/>
    <w:rsid w:val="0007732C"/>
    <w:rsid w:val="00077EE3"/>
    <w:rsid w:val="00080088"/>
    <w:rsid w:val="000807B2"/>
    <w:rsid w:val="00080A7C"/>
    <w:rsid w:val="00081411"/>
    <w:rsid w:val="00081616"/>
    <w:rsid w:val="00081A71"/>
    <w:rsid w:val="00081FB1"/>
    <w:rsid w:val="00082A2B"/>
    <w:rsid w:val="00082B67"/>
    <w:rsid w:val="00082E58"/>
    <w:rsid w:val="00083BC7"/>
    <w:rsid w:val="00083D78"/>
    <w:rsid w:val="00083FEA"/>
    <w:rsid w:val="0008471B"/>
    <w:rsid w:val="00084AB5"/>
    <w:rsid w:val="00084AB9"/>
    <w:rsid w:val="00084DDD"/>
    <w:rsid w:val="00085961"/>
    <w:rsid w:val="00086857"/>
    <w:rsid w:val="000868DD"/>
    <w:rsid w:val="00087491"/>
    <w:rsid w:val="0008761A"/>
    <w:rsid w:val="000900ED"/>
    <w:rsid w:val="0009024C"/>
    <w:rsid w:val="0009042C"/>
    <w:rsid w:val="00090636"/>
    <w:rsid w:val="00090BC2"/>
    <w:rsid w:val="000910CE"/>
    <w:rsid w:val="000919ED"/>
    <w:rsid w:val="000922C3"/>
    <w:rsid w:val="0009235A"/>
    <w:rsid w:val="000923A8"/>
    <w:rsid w:val="000929C1"/>
    <w:rsid w:val="000932EB"/>
    <w:rsid w:val="00094345"/>
    <w:rsid w:val="00094395"/>
    <w:rsid w:val="00094AAC"/>
    <w:rsid w:val="00094AD4"/>
    <w:rsid w:val="000952B8"/>
    <w:rsid w:val="00095A40"/>
    <w:rsid w:val="00095DA4"/>
    <w:rsid w:val="000962C2"/>
    <w:rsid w:val="0009728B"/>
    <w:rsid w:val="00097636"/>
    <w:rsid w:val="0009798E"/>
    <w:rsid w:val="000A046B"/>
    <w:rsid w:val="000A0DA8"/>
    <w:rsid w:val="000A0EA0"/>
    <w:rsid w:val="000A11A5"/>
    <w:rsid w:val="000A14B9"/>
    <w:rsid w:val="000A26A0"/>
    <w:rsid w:val="000A349C"/>
    <w:rsid w:val="000A3518"/>
    <w:rsid w:val="000A379E"/>
    <w:rsid w:val="000A49D4"/>
    <w:rsid w:val="000A55E8"/>
    <w:rsid w:val="000A56FA"/>
    <w:rsid w:val="000A5FA3"/>
    <w:rsid w:val="000A68C6"/>
    <w:rsid w:val="000A6978"/>
    <w:rsid w:val="000A6A94"/>
    <w:rsid w:val="000A70F7"/>
    <w:rsid w:val="000A749D"/>
    <w:rsid w:val="000B02AD"/>
    <w:rsid w:val="000B0C33"/>
    <w:rsid w:val="000B1176"/>
    <w:rsid w:val="000B2509"/>
    <w:rsid w:val="000B2663"/>
    <w:rsid w:val="000B42BA"/>
    <w:rsid w:val="000B46D8"/>
    <w:rsid w:val="000B51F6"/>
    <w:rsid w:val="000B522A"/>
    <w:rsid w:val="000B57A8"/>
    <w:rsid w:val="000B5A6B"/>
    <w:rsid w:val="000B5AA0"/>
    <w:rsid w:val="000B66F3"/>
    <w:rsid w:val="000B720E"/>
    <w:rsid w:val="000B7280"/>
    <w:rsid w:val="000B7B5C"/>
    <w:rsid w:val="000C043C"/>
    <w:rsid w:val="000C06CF"/>
    <w:rsid w:val="000C0D45"/>
    <w:rsid w:val="000C2070"/>
    <w:rsid w:val="000C20A0"/>
    <w:rsid w:val="000C2326"/>
    <w:rsid w:val="000C305E"/>
    <w:rsid w:val="000C354F"/>
    <w:rsid w:val="000C3752"/>
    <w:rsid w:val="000C4BF0"/>
    <w:rsid w:val="000C4FDC"/>
    <w:rsid w:val="000C507D"/>
    <w:rsid w:val="000C5402"/>
    <w:rsid w:val="000C55DE"/>
    <w:rsid w:val="000C5B7F"/>
    <w:rsid w:val="000C60DA"/>
    <w:rsid w:val="000C62CA"/>
    <w:rsid w:val="000C63ED"/>
    <w:rsid w:val="000C6FD9"/>
    <w:rsid w:val="000C7CC2"/>
    <w:rsid w:val="000D061F"/>
    <w:rsid w:val="000D0C5D"/>
    <w:rsid w:val="000D0E69"/>
    <w:rsid w:val="000D19F4"/>
    <w:rsid w:val="000D21CD"/>
    <w:rsid w:val="000D26F7"/>
    <w:rsid w:val="000D3851"/>
    <w:rsid w:val="000D39C1"/>
    <w:rsid w:val="000D425A"/>
    <w:rsid w:val="000D44C0"/>
    <w:rsid w:val="000D4D03"/>
    <w:rsid w:val="000D4D55"/>
    <w:rsid w:val="000D54BF"/>
    <w:rsid w:val="000D58C0"/>
    <w:rsid w:val="000D59BF"/>
    <w:rsid w:val="000D6016"/>
    <w:rsid w:val="000D68F3"/>
    <w:rsid w:val="000D6AAC"/>
    <w:rsid w:val="000D6CEE"/>
    <w:rsid w:val="000D7271"/>
    <w:rsid w:val="000D74AC"/>
    <w:rsid w:val="000D7DBF"/>
    <w:rsid w:val="000E1C12"/>
    <w:rsid w:val="000E25B0"/>
    <w:rsid w:val="000E297A"/>
    <w:rsid w:val="000E2DB1"/>
    <w:rsid w:val="000E36A0"/>
    <w:rsid w:val="000E3AB4"/>
    <w:rsid w:val="000E3B21"/>
    <w:rsid w:val="000E40FC"/>
    <w:rsid w:val="000E4592"/>
    <w:rsid w:val="000E45B8"/>
    <w:rsid w:val="000E57C6"/>
    <w:rsid w:val="000E5C8E"/>
    <w:rsid w:val="000E6659"/>
    <w:rsid w:val="000E69DB"/>
    <w:rsid w:val="000E69DD"/>
    <w:rsid w:val="000E7961"/>
    <w:rsid w:val="000E7DA5"/>
    <w:rsid w:val="000F02C3"/>
    <w:rsid w:val="000F04BC"/>
    <w:rsid w:val="000F1125"/>
    <w:rsid w:val="000F19F0"/>
    <w:rsid w:val="000F1B4F"/>
    <w:rsid w:val="000F20CD"/>
    <w:rsid w:val="000F274E"/>
    <w:rsid w:val="000F2F4C"/>
    <w:rsid w:val="000F3073"/>
    <w:rsid w:val="000F3D2F"/>
    <w:rsid w:val="000F3EB4"/>
    <w:rsid w:val="000F41AB"/>
    <w:rsid w:val="000F4355"/>
    <w:rsid w:val="000F4E68"/>
    <w:rsid w:val="000F5015"/>
    <w:rsid w:val="000F578C"/>
    <w:rsid w:val="000F63E9"/>
    <w:rsid w:val="000F75D0"/>
    <w:rsid w:val="00101200"/>
    <w:rsid w:val="00102993"/>
    <w:rsid w:val="00102C76"/>
    <w:rsid w:val="00103D30"/>
    <w:rsid w:val="00104ABA"/>
    <w:rsid w:val="00104CA5"/>
    <w:rsid w:val="00105147"/>
    <w:rsid w:val="001066A5"/>
    <w:rsid w:val="001067B8"/>
    <w:rsid w:val="00106904"/>
    <w:rsid w:val="0010735A"/>
    <w:rsid w:val="0010759A"/>
    <w:rsid w:val="001079E8"/>
    <w:rsid w:val="0011088D"/>
    <w:rsid w:val="0011186D"/>
    <w:rsid w:val="00111A9F"/>
    <w:rsid w:val="0011275B"/>
    <w:rsid w:val="00112C89"/>
    <w:rsid w:val="00112DD2"/>
    <w:rsid w:val="0011367B"/>
    <w:rsid w:val="00114101"/>
    <w:rsid w:val="0011481C"/>
    <w:rsid w:val="00114A08"/>
    <w:rsid w:val="00114A29"/>
    <w:rsid w:val="00114ECE"/>
    <w:rsid w:val="00114EF7"/>
    <w:rsid w:val="0011514D"/>
    <w:rsid w:val="001157D7"/>
    <w:rsid w:val="00117A0B"/>
    <w:rsid w:val="00117F88"/>
    <w:rsid w:val="00120490"/>
    <w:rsid w:val="00120820"/>
    <w:rsid w:val="001208C0"/>
    <w:rsid w:val="00121908"/>
    <w:rsid w:val="00121B49"/>
    <w:rsid w:val="001239D5"/>
    <w:rsid w:val="00123D15"/>
    <w:rsid w:val="0012410A"/>
    <w:rsid w:val="0012424B"/>
    <w:rsid w:val="001246FC"/>
    <w:rsid w:val="00124B49"/>
    <w:rsid w:val="0012584B"/>
    <w:rsid w:val="00125AE2"/>
    <w:rsid w:val="00125CA6"/>
    <w:rsid w:val="00126D4C"/>
    <w:rsid w:val="00127114"/>
    <w:rsid w:val="00127814"/>
    <w:rsid w:val="00127867"/>
    <w:rsid w:val="00127988"/>
    <w:rsid w:val="00127C7C"/>
    <w:rsid w:val="00130620"/>
    <w:rsid w:val="00130B1C"/>
    <w:rsid w:val="00130F5F"/>
    <w:rsid w:val="00131A71"/>
    <w:rsid w:val="00132465"/>
    <w:rsid w:val="0013258E"/>
    <w:rsid w:val="00132CE7"/>
    <w:rsid w:val="0013366E"/>
    <w:rsid w:val="00134545"/>
    <w:rsid w:val="001346A6"/>
    <w:rsid w:val="00134B1C"/>
    <w:rsid w:val="00134F19"/>
    <w:rsid w:val="001357EC"/>
    <w:rsid w:val="00135A62"/>
    <w:rsid w:val="00135CFA"/>
    <w:rsid w:val="00136335"/>
    <w:rsid w:val="00136771"/>
    <w:rsid w:val="00136864"/>
    <w:rsid w:val="00136AF6"/>
    <w:rsid w:val="00136D12"/>
    <w:rsid w:val="00137390"/>
    <w:rsid w:val="0014081C"/>
    <w:rsid w:val="0014105D"/>
    <w:rsid w:val="00141411"/>
    <w:rsid w:val="00143114"/>
    <w:rsid w:val="00144126"/>
    <w:rsid w:val="00145D00"/>
    <w:rsid w:val="00146440"/>
    <w:rsid w:val="00146956"/>
    <w:rsid w:val="00146B99"/>
    <w:rsid w:val="00146F91"/>
    <w:rsid w:val="001474DB"/>
    <w:rsid w:val="0015089C"/>
    <w:rsid w:val="00150DA9"/>
    <w:rsid w:val="00150DCE"/>
    <w:rsid w:val="00151C78"/>
    <w:rsid w:val="00151F5E"/>
    <w:rsid w:val="00152801"/>
    <w:rsid w:val="00152C0D"/>
    <w:rsid w:val="001538D5"/>
    <w:rsid w:val="00153956"/>
    <w:rsid w:val="00154042"/>
    <w:rsid w:val="0015424A"/>
    <w:rsid w:val="00154649"/>
    <w:rsid w:val="00154BE7"/>
    <w:rsid w:val="001550A4"/>
    <w:rsid w:val="001555DC"/>
    <w:rsid w:val="0015582C"/>
    <w:rsid w:val="00155D0F"/>
    <w:rsid w:val="0015760B"/>
    <w:rsid w:val="0016022C"/>
    <w:rsid w:val="00160282"/>
    <w:rsid w:val="00160A26"/>
    <w:rsid w:val="0016199B"/>
    <w:rsid w:val="00161D2D"/>
    <w:rsid w:val="001625C5"/>
    <w:rsid w:val="00162A27"/>
    <w:rsid w:val="00162C66"/>
    <w:rsid w:val="00164539"/>
    <w:rsid w:val="0016454A"/>
    <w:rsid w:val="0016480B"/>
    <w:rsid w:val="00164A0F"/>
    <w:rsid w:val="00165D2A"/>
    <w:rsid w:val="00165F32"/>
    <w:rsid w:val="00166932"/>
    <w:rsid w:val="001669C9"/>
    <w:rsid w:val="00166CD7"/>
    <w:rsid w:val="0016769F"/>
    <w:rsid w:val="00167A6B"/>
    <w:rsid w:val="00167BD1"/>
    <w:rsid w:val="00170494"/>
    <w:rsid w:val="00170962"/>
    <w:rsid w:val="00170F32"/>
    <w:rsid w:val="001716CC"/>
    <w:rsid w:val="001719B3"/>
    <w:rsid w:val="001719C0"/>
    <w:rsid w:val="00171E70"/>
    <w:rsid w:val="00172A27"/>
    <w:rsid w:val="001739C0"/>
    <w:rsid w:val="00173A59"/>
    <w:rsid w:val="00173CBD"/>
    <w:rsid w:val="00173E73"/>
    <w:rsid w:val="00173FB8"/>
    <w:rsid w:val="001740AB"/>
    <w:rsid w:val="001748E1"/>
    <w:rsid w:val="00174952"/>
    <w:rsid w:val="00174D83"/>
    <w:rsid w:val="00175036"/>
    <w:rsid w:val="001751BD"/>
    <w:rsid w:val="0017541F"/>
    <w:rsid w:val="00175462"/>
    <w:rsid w:val="00175D68"/>
    <w:rsid w:val="00175DF8"/>
    <w:rsid w:val="0017636F"/>
    <w:rsid w:val="001764DE"/>
    <w:rsid w:val="001768A3"/>
    <w:rsid w:val="001768B4"/>
    <w:rsid w:val="00176BAF"/>
    <w:rsid w:val="00176D23"/>
    <w:rsid w:val="001770D2"/>
    <w:rsid w:val="001771FE"/>
    <w:rsid w:val="00177295"/>
    <w:rsid w:val="00177304"/>
    <w:rsid w:val="001774B6"/>
    <w:rsid w:val="00177870"/>
    <w:rsid w:val="00177B37"/>
    <w:rsid w:val="00180736"/>
    <w:rsid w:val="00180F8B"/>
    <w:rsid w:val="0018109E"/>
    <w:rsid w:val="00181241"/>
    <w:rsid w:val="00181CD3"/>
    <w:rsid w:val="00181F9C"/>
    <w:rsid w:val="00182048"/>
    <w:rsid w:val="00182982"/>
    <w:rsid w:val="00182C77"/>
    <w:rsid w:val="00183074"/>
    <w:rsid w:val="0018316C"/>
    <w:rsid w:val="0018337C"/>
    <w:rsid w:val="001834B4"/>
    <w:rsid w:val="001837C0"/>
    <w:rsid w:val="00184510"/>
    <w:rsid w:val="00184F77"/>
    <w:rsid w:val="00185489"/>
    <w:rsid w:val="0018572E"/>
    <w:rsid w:val="001857D6"/>
    <w:rsid w:val="0018580F"/>
    <w:rsid w:val="00185A11"/>
    <w:rsid w:val="001861C8"/>
    <w:rsid w:val="0018634F"/>
    <w:rsid w:val="001872EC"/>
    <w:rsid w:val="001877EB"/>
    <w:rsid w:val="00187CAE"/>
    <w:rsid w:val="00190310"/>
    <w:rsid w:val="00190498"/>
    <w:rsid w:val="001904A1"/>
    <w:rsid w:val="001908B3"/>
    <w:rsid w:val="00190AC4"/>
    <w:rsid w:val="00191114"/>
    <w:rsid w:val="0019177F"/>
    <w:rsid w:val="00193741"/>
    <w:rsid w:val="00193AE2"/>
    <w:rsid w:val="00193C47"/>
    <w:rsid w:val="00194363"/>
    <w:rsid w:val="001943FE"/>
    <w:rsid w:val="00194687"/>
    <w:rsid w:val="001948A4"/>
    <w:rsid w:val="001948AF"/>
    <w:rsid w:val="00194BF1"/>
    <w:rsid w:val="00195049"/>
    <w:rsid w:val="00195FC8"/>
    <w:rsid w:val="001964B7"/>
    <w:rsid w:val="00197345"/>
    <w:rsid w:val="00197CF8"/>
    <w:rsid w:val="00197E5C"/>
    <w:rsid w:val="001A02E5"/>
    <w:rsid w:val="001A059D"/>
    <w:rsid w:val="001A078F"/>
    <w:rsid w:val="001A0982"/>
    <w:rsid w:val="001A0C14"/>
    <w:rsid w:val="001A0C15"/>
    <w:rsid w:val="001A174E"/>
    <w:rsid w:val="001A17FC"/>
    <w:rsid w:val="001A1876"/>
    <w:rsid w:val="001A2872"/>
    <w:rsid w:val="001A290B"/>
    <w:rsid w:val="001A2A24"/>
    <w:rsid w:val="001A35B1"/>
    <w:rsid w:val="001A3D70"/>
    <w:rsid w:val="001A41D1"/>
    <w:rsid w:val="001A429A"/>
    <w:rsid w:val="001A4484"/>
    <w:rsid w:val="001A453C"/>
    <w:rsid w:val="001A5E85"/>
    <w:rsid w:val="001A5F0D"/>
    <w:rsid w:val="001A6FAA"/>
    <w:rsid w:val="001A7076"/>
    <w:rsid w:val="001A7527"/>
    <w:rsid w:val="001A794A"/>
    <w:rsid w:val="001B01CC"/>
    <w:rsid w:val="001B0AA0"/>
    <w:rsid w:val="001B1BFE"/>
    <w:rsid w:val="001B2A92"/>
    <w:rsid w:val="001B2E01"/>
    <w:rsid w:val="001B2F9D"/>
    <w:rsid w:val="001B3033"/>
    <w:rsid w:val="001B34B6"/>
    <w:rsid w:val="001B3D5B"/>
    <w:rsid w:val="001B40C4"/>
    <w:rsid w:val="001B435A"/>
    <w:rsid w:val="001B44FA"/>
    <w:rsid w:val="001B4BCB"/>
    <w:rsid w:val="001B4CF3"/>
    <w:rsid w:val="001B5110"/>
    <w:rsid w:val="001B6409"/>
    <w:rsid w:val="001B7160"/>
    <w:rsid w:val="001B751E"/>
    <w:rsid w:val="001C0575"/>
    <w:rsid w:val="001C0B6D"/>
    <w:rsid w:val="001C12CC"/>
    <w:rsid w:val="001C1CC2"/>
    <w:rsid w:val="001C1E92"/>
    <w:rsid w:val="001C1F6C"/>
    <w:rsid w:val="001C1FCD"/>
    <w:rsid w:val="001C2027"/>
    <w:rsid w:val="001C22FC"/>
    <w:rsid w:val="001C2727"/>
    <w:rsid w:val="001C3630"/>
    <w:rsid w:val="001C3BA4"/>
    <w:rsid w:val="001C3D3B"/>
    <w:rsid w:val="001C4E77"/>
    <w:rsid w:val="001C51A1"/>
    <w:rsid w:val="001C52EF"/>
    <w:rsid w:val="001C5D51"/>
    <w:rsid w:val="001C6035"/>
    <w:rsid w:val="001C70E6"/>
    <w:rsid w:val="001C76CF"/>
    <w:rsid w:val="001D0665"/>
    <w:rsid w:val="001D06B6"/>
    <w:rsid w:val="001D1234"/>
    <w:rsid w:val="001D147D"/>
    <w:rsid w:val="001D154A"/>
    <w:rsid w:val="001D216D"/>
    <w:rsid w:val="001D2CC7"/>
    <w:rsid w:val="001D34A5"/>
    <w:rsid w:val="001D3B1B"/>
    <w:rsid w:val="001D41E3"/>
    <w:rsid w:val="001D4A57"/>
    <w:rsid w:val="001D4E7F"/>
    <w:rsid w:val="001D5292"/>
    <w:rsid w:val="001D5451"/>
    <w:rsid w:val="001D5B05"/>
    <w:rsid w:val="001D6172"/>
    <w:rsid w:val="001D61A7"/>
    <w:rsid w:val="001D6B8F"/>
    <w:rsid w:val="001D7506"/>
    <w:rsid w:val="001D77F2"/>
    <w:rsid w:val="001D7A70"/>
    <w:rsid w:val="001E0B16"/>
    <w:rsid w:val="001E143E"/>
    <w:rsid w:val="001E167D"/>
    <w:rsid w:val="001E2900"/>
    <w:rsid w:val="001E2AB2"/>
    <w:rsid w:val="001E3030"/>
    <w:rsid w:val="001E3064"/>
    <w:rsid w:val="001E309F"/>
    <w:rsid w:val="001E3BC4"/>
    <w:rsid w:val="001E3D1D"/>
    <w:rsid w:val="001E5640"/>
    <w:rsid w:val="001E5F11"/>
    <w:rsid w:val="001E614A"/>
    <w:rsid w:val="001E6B8A"/>
    <w:rsid w:val="001E6E20"/>
    <w:rsid w:val="001E7627"/>
    <w:rsid w:val="001F0BCE"/>
    <w:rsid w:val="001F1121"/>
    <w:rsid w:val="001F1248"/>
    <w:rsid w:val="001F1565"/>
    <w:rsid w:val="001F1720"/>
    <w:rsid w:val="001F203C"/>
    <w:rsid w:val="001F31D1"/>
    <w:rsid w:val="001F3769"/>
    <w:rsid w:val="001F3DFD"/>
    <w:rsid w:val="001F419E"/>
    <w:rsid w:val="001F483E"/>
    <w:rsid w:val="001F51D5"/>
    <w:rsid w:val="001F57CA"/>
    <w:rsid w:val="001F5FAA"/>
    <w:rsid w:val="001F6491"/>
    <w:rsid w:val="001F65DA"/>
    <w:rsid w:val="001F65F6"/>
    <w:rsid w:val="001F6CEB"/>
    <w:rsid w:val="001F6E08"/>
    <w:rsid w:val="001F7560"/>
    <w:rsid w:val="001F7B0B"/>
    <w:rsid w:val="002000A6"/>
    <w:rsid w:val="00200530"/>
    <w:rsid w:val="002007E7"/>
    <w:rsid w:val="00200D40"/>
    <w:rsid w:val="00201EE8"/>
    <w:rsid w:val="002034DA"/>
    <w:rsid w:val="002048BE"/>
    <w:rsid w:val="00204927"/>
    <w:rsid w:val="00204EA2"/>
    <w:rsid w:val="002052A1"/>
    <w:rsid w:val="00205427"/>
    <w:rsid w:val="0020572A"/>
    <w:rsid w:val="0020597F"/>
    <w:rsid w:val="002063BB"/>
    <w:rsid w:val="002069EA"/>
    <w:rsid w:val="00206AC9"/>
    <w:rsid w:val="00207172"/>
    <w:rsid w:val="002074F2"/>
    <w:rsid w:val="00207CE9"/>
    <w:rsid w:val="002100ED"/>
    <w:rsid w:val="002106BB"/>
    <w:rsid w:val="0021094F"/>
    <w:rsid w:val="002114B6"/>
    <w:rsid w:val="00212004"/>
    <w:rsid w:val="00212B62"/>
    <w:rsid w:val="00212FF7"/>
    <w:rsid w:val="002136C6"/>
    <w:rsid w:val="00214289"/>
    <w:rsid w:val="002143C1"/>
    <w:rsid w:val="002143FD"/>
    <w:rsid w:val="00214816"/>
    <w:rsid w:val="00214D54"/>
    <w:rsid w:val="0021522D"/>
    <w:rsid w:val="00215DC4"/>
    <w:rsid w:val="00216547"/>
    <w:rsid w:val="00216740"/>
    <w:rsid w:val="0021744C"/>
    <w:rsid w:val="00217778"/>
    <w:rsid w:val="00217C16"/>
    <w:rsid w:val="0022075E"/>
    <w:rsid w:val="00221026"/>
    <w:rsid w:val="00221F67"/>
    <w:rsid w:val="002226B2"/>
    <w:rsid w:val="002228E1"/>
    <w:rsid w:val="00223765"/>
    <w:rsid w:val="002239B8"/>
    <w:rsid w:val="00224343"/>
    <w:rsid w:val="00224698"/>
    <w:rsid w:val="00224962"/>
    <w:rsid w:val="00224D43"/>
    <w:rsid w:val="00225762"/>
    <w:rsid w:val="0022586E"/>
    <w:rsid w:val="00225B4F"/>
    <w:rsid w:val="00225E98"/>
    <w:rsid w:val="00225F0C"/>
    <w:rsid w:val="002260A4"/>
    <w:rsid w:val="00226211"/>
    <w:rsid w:val="002275F8"/>
    <w:rsid w:val="002307B2"/>
    <w:rsid w:val="00230BC4"/>
    <w:rsid w:val="00230D87"/>
    <w:rsid w:val="00231195"/>
    <w:rsid w:val="00231C3F"/>
    <w:rsid w:val="00231F6D"/>
    <w:rsid w:val="00232DEF"/>
    <w:rsid w:val="0023329C"/>
    <w:rsid w:val="00233C87"/>
    <w:rsid w:val="002340A6"/>
    <w:rsid w:val="0023526A"/>
    <w:rsid w:val="002355D9"/>
    <w:rsid w:val="002358B5"/>
    <w:rsid w:val="00235AB4"/>
    <w:rsid w:val="00235DE2"/>
    <w:rsid w:val="00236410"/>
    <w:rsid w:val="00237001"/>
    <w:rsid w:val="002408CF"/>
    <w:rsid w:val="00240A8E"/>
    <w:rsid w:val="00240E70"/>
    <w:rsid w:val="00241195"/>
    <w:rsid w:val="0024127F"/>
    <w:rsid w:val="00241369"/>
    <w:rsid w:val="00242658"/>
    <w:rsid w:val="00242AD1"/>
    <w:rsid w:val="00242B33"/>
    <w:rsid w:val="00242E69"/>
    <w:rsid w:val="00244483"/>
    <w:rsid w:val="00245252"/>
    <w:rsid w:val="00245306"/>
    <w:rsid w:val="0024551C"/>
    <w:rsid w:val="00245B6A"/>
    <w:rsid w:val="00246078"/>
    <w:rsid w:val="00246A90"/>
    <w:rsid w:val="00246AD0"/>
    <w:rsid w:val="00247336"/>
    <w:rsid w:val="00247435"/>
    <w:rsid w:val="0024746D"/>
    <w:rsid w:val="002474A5"/>
    <w:rsid w:val="002477B0"/>
    <w:rsid w:val="00247D79"/>
    <w:rsid w:val="002507F6"/>
    <w:rsid w:val="0025172A"/>
    <w:rsid w:val="002522D7"/>
    <w:rsid w:val="002524F1"/>
    <w:rsid w:val="00253BD3"/>
    <w:rsid w:val="0025438A"/>
    <w:rsid w:val="00254800"/>
    <w:rsid w:val="00254819"/>
    <w:rsid w:val="00254C5B"/>
    <w:rsid w:val="00254F28"/>
    <w:rsid w:val="0025502F"/>
    <w:rsid w:val="002559EB"/>
    <w:rsid w:val="00255E5B"/>
    <w:rsid w:val="00256871"/>
    <w:rsid w:val="00256B2E"/>
    <w:rsid w:val="00257586"/>
    <w:rsid w:val="002609B4"/>
    <w:rsid w:val="00260CB0"/>
    <w:rsid w:val="00260FED"/>
    <w:rsid w:val="002615FD"/>
    <w:rsid w:val="00262915"/>
    <w:rsid w:val="00263484"/>
    <w:rsid w:val="00263BD6"/>
    <w:rsid w:val="00263E92"/>
    <w:rsid w:val="00264151"/>
    <w:rsid w:val="00264491"/>
    <w:rsid w:val="00264734"/>
    <w:rsid w:val="0026491B"/>
    <w:rsid w:val="00264CA8"/>
    <w:rsid w:val="00264CB9"/>
    <w:rsid w:val="00264DAD"/>
    <w:rsid w:val="0026536C"/>
    <w:rsid w:val="00265703"/>
    <w:rsid w:val="00265BDE"/>
    <w:rsid w:val="002662E9"/>
    <w:rsid w:val="0026654C"/>
    <w:rsid w:val="00270707"/>
    <w:rsid w:val="00270A8D"/>
    <w:rsid w:val="0027282E"/>
    <w:rsid w:val="0027420F"/>
    <w:rsid w:val="0027525F"/>
    <w:rsid w:val="00276C3C"/>
    <w:rsid w:val="00277488"/>
    <w:rsid w:val="002806A3"/>
    <w:rsid w:val="00281596"/>
    <w:rsid w:val="002816A3"/>
    <w:rsid w:val="0028179F"/>
    <w:rsid w:val="00281C14"/>
    <w:rsid w:val="00281ED6"/>
    <w:rsid w:val="00282125"/>
    <w:rsid w:val="002821B9"/>
    <w:rsid w:val="002821DE"/>
    <w:rsid w:val="002831E5"/>
    <w:rsid w:val="00284EF1"/>
    <w:rsid w:val="002850AF"/>
    <w:rsid w:val="00286DF7"/>
    <w:rsid w:val="00287368"/>
    <w:rsid w:val="002921CB"/>
    <w:rsid w:val="0029271B"/>
    <w:rsid w:val="00292A18"/>
    <w:rsid w:val="002936C2"/>
    <w:rsid w:val="00293CBF"/>
    <w:rsid w:val="00294BD5"/>
    <w:rsid w:val="00294FE0"/>
    <w:rsid w:val="00295654"/>
    <w:rsid w:val="00295D2B"/>
    <w:rsid w:val="00296339"/>
    <w:rsid w:val="00296F81"/>
    <w:rsid w:val="00297496"/>
    <w:rsid w:val="002A04DE"/>
    <w:rsid w:val="002A12A7"/>
    <w:rsid w:val="002A18BB"/>
    <w:rsid w:val="002A18DB"/>
    <w:rsid w:val="002A1AB1"/>
    <w:rsid w:val="002A1B0F"/>
    <w:rsid w:val="002A1B2E"/>
    <w:rsid w:val="002A243B"/>
    <w:rsid w:val="002A27F2"/>
    <w:rsid w:val="002A294E"/>
    <w:rsid w:val="002A29D2"/>
    <w:rsid w:val="002A2B50"/>
    <w:rsid w:val="002A2C0C"/>
    <w:rsid w:val="002A2DAA"/>
    <w:rsid w:val="002A2E25"/>
    <w:rsid w:val="002A305C"/>
    <w:rsid w:val="002A389A"/>
    <w:rsid w:val="002A3CA2"/>
    <w:rsid w:val="002A3F27"/>
    <w:rsid w:val="002A4105"/>
    <w:rsid w:val="002A4E3E"/>
    <w:rsid w:val="002A5596"/>
    <w:rsid w:val="002A5851"/>
    <w:rsid w:val="002A5CE9"/>
    <w:rsid w:val="002A5D4B"/>
    <w:rsid w:val="002A62E4"/>
    <w:rsid w:val="002A6569"/>
    <w:rsid w:val="002A67F5"/>
    <w:rsid w:val="002B000F"/>
    <w:rsid w:val="002B0053"/>
    <w:rsid w:val="002B00FF"/>
    <w:rsid w:val="002B07E6"/>
    <w:rsid w:val="002B1161"/>
    <w:rsid w:val="002B1203"/>
    <w:rsid w:val="002B132E"/>
    <w:rsid w:val="002B1647"/>
    <w:rsid w:val="002B183A"/>
    <w:rsid w:val="002B2172"/>
    <w:rsid w:val="002B2444"/>
    <w:rsid w:val="002B25AD"/>
    <w:rsid w:val="002B285D"/>
    <w:rsid w:val="002B2EB4"/>
    <w:rsid w:val="002B38BB"/>
    <w:rsid w:val="002B3BC6"/>
    <w:rsid w:val="002B3C0D"/>
    <w:rsid w:val="002B3F64"/>
    <w:rsid w:val="002B46B3"/>
    <w:rsid w:val="002B47FA"/>
    <w:rsid w:val="002B4C91"/>
    <w:rsid w:val="002B60A8"/>
    <w:rsid w:val="002B62B6"/>
    <w:rsid w:val="002B69E5"/>
    <w:rsid w:val="002B7459"/>
    <w:rsid w:val="002B7764"/>
    <w:rsid w:val="002B7CC4"/>
    <w:rsid w:val="002B7E80"/>
    <w:rsid w:val="002C0291"/>
    <w:rsid w:val="002C0F40"/>
    <w:rsid w:val="002C1483"/>
    <w:rsid w:val="002C1C5F"/>
    <w:rsid w:val="002C275B"/>
    <w:rsid w:val="002C2A0B"/>
    <w:rsid w:val="002C31AC"/>
    <w:rsid w:val="002C3401"/>
    <w:rsid w:val="002C432B"/>
    <w:rsid w:val="002C4650"/>
    <w:rsid w:val="002C46C5"/>
    <w:rsid w:val="002C4F6C"/>
    <w:rsid w:val="002C5492"/>
    <w:rsid w:val="002C57CD"/>
    <w:rsid w:val="002C59EF"/>
    <w:rsid w:val="002C5CB7"/>
    <w:rsid w:val="002C6150"/>
    <w:rsid w:val="002C6295"/>
    <w:rsid w:val="002C62A5"/>
    <w:rsid w:val="002C756B"/>
    <w:rsid w:val="002C7A0A"/>
    <w:rsid w:val="002C7EF6"/>
    <w:rsid w:val="002D0226"/>
    <w:rsid w:val="002D0346"/>
    <w:rsid w:val="002D07BE"/>
    <w:rsid w:val="002D08DB"/>
    <w:rsid w:val="002D14F1"/>
    <w:rsid w:val="002D33B3"/>
    <w:rsid w:val="002D3AC5"/>
    <w:rsid w:val="002D48F6"/>
    <w:rsid w:val="002D4AE0"/>
    <w:rsid w:val="002D53F3"/>
    <w:rsid w:val="002D5E90"/>
    <w:rsid w:val="002D5EED"/>
    <w:rsid w:val="002D6B4A"/>
    <w:rsid w:val="002D7C99"/>
    <w:rsid w:val="002E033A"/>
    <w:rsid w:val="002E0751"/>
    <w:rsid w:val="002E0A7F"/>
    <w:rsid w:val="002E0B0B"/>
    <w:rsid w:val="002E137A"/>
    <w:rsid w:val="002E14BA"/>
    <w:rsid w:val="002E1DC6"/>
    <w:rsid w:val="002E253F"/>
    <w:rsid w:val="002E376A"/>
    <w:rsid w:val="002E47DE"/>
    <w:rsid w:val="002E4D29"/>
    <w:rsid w:val="002E508D"/>
    <w:rsid w:val="002E5649"/>
    <w:rsid w:val="002E5FEE"/>
    <w:rsid w:val="002E6656"/>
    <w:rsid w:val="002E6734"/>
    <w:rsid w:val="002E6CB3"/>
    <w:rsid w:val="002E75C9"/>
    <w:rsid w:val="002E7AAE"/>
    <w:rsid w:val="002E7C6C"/>
    <w:rsid w:val="002F0073"/>
    <w:rsid w:val="002F0577"/>
    <w:rsid w:val="002F0749"/>
    <w:rsid w:val="002F1C5A"/>
    <w:rsid w:val="002F1C6A"/>
    <w:rsid w:val="002F220F"/>
    <w:rsid w:val="002F2229"/>
    <w:rsid w:val="002F2DF3"/>
    <w:rsid w:val="002F3192"/>
    <w:rsid w:val="002F3388"/>
    <w:rsid w:val="002F34B4"/>
    <w:rsid w:val="002F356F"/>
    <w:rsid w:val="002F399C"/>
    <w:rsid w:val="002F39FD"/>
    <w:rsid w:val="002F3A78"/>
    <w:rsid w:val="002F3D84"/>
    <w:rsid w:val="002F409A"/>
    <w:rsid w:val="002F4A07"/>
    <w:rsid w:val="002F53E7"/>
    <w:rsid w:val="002F5626"/>
    <w:rsid w:val="002F56D7"/>
    <w:rsid w:val="002F5CCA"/>
    <w:rsid w:val="002F639F"/>
    <w:rsid w:val="002F660D"/>
    <w:rsid w:val="002F6D05"/>
    <w:rsid w:val="002F7829"/>
    <w:rsid w:val="002F7DFE"/>
    <w:rsid w:val="0030032A"/>
    <w:rsid w:val="00301F79"/>
    <w:rsid w:val="003022C3"/>
    <w:rsid w:val="00302B14"/>
    <w:rsid w:val="00302BB5"/>
    <w:rsid w:val="00304399"/>
    <w:rsid w:val="0030463E"/>
    <w:rsid w:val="00304715"/>
    <w:rsid w:val="00304B5F"/>
    <w:rsid w:val="00305867"/>
    <w:rsid w:val="003059D9"/>
    <w:rsid w:val="00305FCD"/>
    <w:rsid w:val="00306824"/>
    <w:rsid w:val="0030687B"/>
    <w:rsid w:val="00306A0C"/>
    <w:rsid w:val="00306A3C"/>
    <w:rsid w:val="00307BA8"/>
    <w:rsid w:val="003102FF"/>
    <w:rsid w:val="00310835"/>
    <w:rsid w:val="00310884"/>
    <w:rsid w:val="00311368"/>
    <w:rsid w:val="003119EF"/>
    <w:rsid w:val="00311F92"/>
    <w:rsid w:val="0031217C"/>
    <w:rsid w:val="00312391"/>
    <w:rsid w:val="003128E7"/>
    <w:rsid w:val="00312965"/>
    <w:rsid w:val="00313198"/>
    <w:rsid w:val="00313897"/>
    <w:rsid w:val="00313910"/>
    <w:rsid w:val="0031392A"/>
    <w:rsid w:val="00313BA0"/>
    <w:rsid w:val="00314540"/>
    <w:rsid w:val="0031505C"/>
    <w:rsid w:val="00315521"/>
    <w:rsid w:val="00315C05"/>
    <w:rsid w:val="003164CE"/>
    <w:rsid w:val="003169A6"/>
    <w:rsid w:val="003173CB"/>
    <w:rsid w:val="00317AB2"/>
    <w:rsid w:val="00317C16"/>
    <w:rsid w:val="00317DCA"/>
    <w:rsid w:val="00317F1B"/>
    <w:rsid w:val="00317FE4"/>
    <w:rsid w:val="00320CF3"/>
    <w:rsid w:val="00320D7B"/>
    <w:rsid w:val="00322175"/>
    <w:rsid w:val="00322737"/>
    <w:rsid w:val="00322A91"/>
    <w:rsid w:val="003238E9"/>
    <w:rsid w:val="0032473F"/>
    <w:rsid w:val="0032489F"/>
    <w:rsid w:val="00324B9E"/>
    <w:rsid w:val="00324ED0"/>
    <w:rsid w:val="003250AB"/>
    <w:rsid w:val="00325A24"/>
    <w:rsid w:val="00325AC8"/>
    <w:rsid w:val="00325CA7"/>
    <w:rsid w:val="00325E51"/>
    <w:rsid w:val="003261DA"/>
    <w:rsid w:val="00327069"/>
    <w:rsid w:val="00327683"/>
    <w:rsid w:val="00327CA4"/>
    <w:rsid w:val="00327F4A"/>
    <w:rsid w:val="003300B0"/>
    <w:rsid w:val="003301D8"/>
    <w:rsid w:val="003311A7"/>
    <w:rsid w:val="003315D1"/>
    <w:rsid w:val="00331FDB"/>
    <w:rsid w:val="00332094"/>
    <w:rsid w:val="003322E8"/>
    <w:rsid w:val="00332EC7"/>
    <w:rsid w:val="00333521"/>
    <w:rsid w:val="00333687"/>
    <w:rsid w:val="00334384"/>
    <w:rsid w:val="00334668"/>
    <w:rsid w:val="00334BD0"/>
    <w:rsid w:val="00334F91"/>
    <w:rsid w:val="00335388"/>
    <w:rsid w:val="0033558D"/>
    <w:rsid w:val="0033611D"/>
    <w:rsid w:val="0033712D"/>
    <w:rsid w:val="00337C95"/>
    <w:rsid w:val="00337FED"/>
    <w:rsid w:val="00340322"/>
    <w:rsid w:val="003405F0"/>
    <w:rsid w:val="00341C60"/>
    <w:rsid w:val="00342B92"/>
    <w:rsid w:val="00342E59"/>
    <w:rsid w:val="003431C7"/>
    <w:rsid w:val="00343546"/>
    <w:rsid w:val="00344916"/>
    <w:rsid w:val="003449C9"/>
    <w:rsid w:val="0034579D"/>
    <w:rsid w:val="00345D24"/>
    <w:rsid w:val="00345DCA"/>
    <w:rsid w:val="00345E97"/>
    <w:rsid w:val="003468D5"/>
    <w:rsid w:val="00346AD9"/>
    <w:rsid w:val="00347323"/>
    <w:rsid w:val="00347C2A"/>
    <w:rsid w:val="00347C94"/>
    <w:rsid w:val="00347E69"/>
    <w:rsid w:val="00350369"/>
    <w:rsid w:val="00350B88"/>
    <w:rsid w:val="003512EB"/>
    <w:rsid w:val="00351BD9"/>
    <w:rsid w:val="00352DE3"/>
    <w:rsid w:val="00353D46"/>
    <w:rsid w:val="00354CB6"/>
    <w:rsid w:val="00354CF9"/>
    <w:rsid w:val="003551E1"/>
    <w:rsid w:val="003563A2"/>
    <w:rsid w:val="00357117"/>
    <w:rsid w:val="00357656"/>
    <w:rsid w:val="0035787E"/>
    <w:rsid w:val="0036056E"/>
    <w:rsid w:val="00360C84"/>
    <w:rsid w:val="00360ECE"/>
    <w:rsid w:val="0036203A"/>
    <w:rsid w:val="00362A2A"/>
    <w:rsid w:val="00362C2E"/>
    <w:rsid w:val="00362F1C"/>
    <w:rsid w:val="00362FBA"/>
    <w:rsid w:val="00363348"/>
    <w:rsid w:val="003638E9"/>
    <w:rsid w:val="00364B3D"/>
    <w:rsid w:val="00364CD3"/>
    <w:rsid w:val="00365D6D"/>
    <w:rsid w:val="003671BE"/>
    <w:rsid w:val="003674D4"/>
    <w:rsid w:val="00367989"/>
    <w:rsid w:val="00370355"/>
    <w:rsid w:val="00371534"/>
    <w:rsid w:val="0037156A"/>
    <w:rsid w:val="00371729"/>
    <w:rsid w:val="00372147"/>
    <w:rsid w:val="00372354"/>
    <w:rsid w:val="00372D1C"/>
    <w:rsid w:val="00372D36"/>
    <w:rsid w:val="00372FA2"/>
    <w:rsid w:val="00373B98"/>
    <w:rsid w:val="003742C7"/>
    <w:rsid w:val="00374666"/>
    <w:rsid w:val="003748BD"/>
    <w:rsid w:val="00374F35"/>
    <w:rsid w:val="003751A2"/>
    <w:rsid w:val="00375305"/>
    <w:rsid w:val="003759A7"/>
    <w:rsid w:val="00376D6C"/>
    <w:rsid w:val="00377A77"/>
    <w:rsid w:val="00377D29"/>
    <w:rsid w:val="00381802"/>
    <w:rsid w:val="00382726"/>
    <w:rsid w:val="00382D4D"/>
    <w:rsid w:val="00382F22"/>
    <w:rsid w:val="003835AB"/>
    <w:rsid w:val="003843D3"/>
    <w:rsid w:val="0038492C"/>
    <w:rsid w:val="003849ED"/>
    <w:rsid w:val="0038569E"/>
    <w:rsid w:val="00385B3E"/>
    <w:rsid w:val="00385D2F"/>
    <w:rsid w:val="00385D47"/>
    <w:rsid w:val="00385D87"/>
    <w:rsid w:val="00386999"/>
    <w:rsid w:val="00386E41"/>
    <w:rsid w:val="00387250"/>
    <w:rsid w:val="00387569"/>
    <w:rsid w:val="003903E4"/>
    <w:rsid w:val="00390AC3"/>
    <w:rsid w:val="00390ACE"/>
    <w:rsid w:val="00390F71"/>
    <w:rsid w:val="00391276"/>
    <w:rsid w:val="0039132D"/>
    <w:rsid w:val="00392535"/>
    <w:rsid w:val="003928B6"/>
    <w:rsid w:val="00392B1C"/>
    <w:rsid w:val="003932FB"/>
    <w:rsid w:val="0039366A"/>
    <w:rsid w:val="003936A5"/>
    <w:rsid w:val="00393D1B"/>
    <w:rsid w:val="00394BD0"/>
    <w:rsid w:val="00394EA8"/>
    <w:rsid w:val="00394FE8"/>
    <w:rsid w:val="00395864"/>
    <w:rsid w:val="00395865"/>
    <w:rsid w:val="003959BD"/>
    <w:rsid w:val="00396530"/>
    <w:rsid w:val="00396A49"/>
    <w:rsid w:val="00397962"/>
    <w:rsid w:val="00397BA0"/>
    <w:rsid w:val="003A0631"/>
    <w:rsid w:val="003A067D"/>
    <w:rsid w:val="003A1D2A"/>
    <w:rsid w:val="003A2353"/>
    <w:rsid w:val="003A2FB7"/>
    <w:rsid w:val="003A2FD8"/>
    <w:rsid w:val="003A3011"/>
    <w:rsid w:val="003A364A"/>
    <w:rsid w:val="003A36CB"/>
    <w:rsid w:val="003A3A91"/>
    <w:rsid w:val="003A4904"/>
    <w:rsid w:val="003A4ED0"/>
    <w:rsid w:val="003A61D7"/>
    <w:rsid w:val="003A6D81"/>
    <w:rsid w:val="003A755A"/>
    <w:rsid w:val="003A79A2"/>
    <w:rsid w:val="003A7DF0"/>
    <w:rsid w:val="003B030B"/>
    <w:rsid w:val="003B05EA"/>
    <w:rsid w:val="003B11B2"/>
    <w:rsid w:val="003B1641"/>
    <w:rsid w:val="003B16D5"/>
    <w:rsid w:val="003B187E"/>
    <w:rsid w:val="003B1EEF"/>
    <w:rsid w:val="003B222D"/>
    <w:rsid w:val="003B26F9"/>
    <w:rsid w:val="003B28D8"/>
    <w:rsid w:val="003B2BAA"/>
    <w:rsid w:val="003B2D2B"/>
    <w:rsid w:val="003B3D83"/>
    <w:rsid w:val="003B4083"/>
    <w:rsid w:val="003B45E8"/>
    <w:rsid w:val="003B4FEF"/>
    <w:rsid w:val="003B500E"/>
    <w:rsid w:val="003B5188"/>
    <w:rsid w:val="003B5354"/>
    <w:rsid w:val="003B57E3"/>
    <w:rsid w:val="003B67DA"/>
    <w:rsid w:val="003B7399"/>
    <w:rsid w:val="003B7EC7"/>
    <w:rsid w:val="003B7EE6"/>
    <w:rsid w:val="003B7FE5"/>
    <w:rsid w:val="003C14AC"/>
    <w:rsid w:val="003C15F4"/>
    <w:rsid w:val="003C1980"/>
    <w:rsid w:val="003C2707"/>
    <w:rsid w:val="003C2FB7"/>
    <w:rsid w:val="003C35C0"/>
    <w:rsid w:val="003C375E"/>
    <w:rsid w:val="003C3F2A"/>
    <w:rsid w:val="003C4060"/>
    <w:rsid w:val="003C4BB1"/>
    <w:rsid w:val="003C4D55"/>
    <w:rsid w:val="003C5133"/>
    <w:rsid w:val="003C616E"/>
    <w:rsid w:val="003C67B9"/>
    <w:rsid w:val="003C6944"/>
    <w:rsid w:val="003C69AA"/>
    <w:rsid w:val="003C6CFB"/>
    <w:rsid w:val="003C73D3"/>
    <w:rsid w:val="003C74CB"/>
    <w:rsid w:val="003D043C"/>
    <w:rsid w:val="003D0470"/>
    <w:rsid w:val="003D0ED2"/>
    <w:rsid w:val="003D114D"/>
    <w:rsid w:val="003D1319"/>
    <w:rsid w:val="003D1F1A"/>
    <w:rsid w:val="003D23C2"/>
    <w:rsid w:val="003D27DB"/>
    <w:rsid w:val="003D2913"/>
    <w:rsid w:val="003D2BF4"/>
    <w:rsid w:val="003D2CEF"/>
    <w:rsid w:val="003D2F56"/>
    <w:rsid w:val="003D373F"/>
    <w:rsid w:val="003D443B"/>
    <w:rsid w:val="003D486F"/>
    <w:rsid w:val="003D49B7"/>
    <w:rsid w:val="003D5273"/>
    <w:rsid w:val="003D54EF"/>
    <w:rsid w:val="003D6F3B"/>
    <w:rsid w:val="003D74AB"/>
    <w:rsid w:val="003D7724"/>
    <w:rsid w:val="003E02A4"/>
    <w:rsid w:val="003E096F"/>
    <w:rsid w:val="003E0CBE"/>
    <w:rsid w:val="003E0F52"/>
    <w:rsid w:val="003E12F9"/>
    <w:rsid w:val="003E15AA"/>
    <w:rsid w:val="003E1620"/>
    <w:rsid w:val="003E1A6C"/>
    <w:rsid w:val="003E2E25"/>
    <w:rsid w:val="003E30D4"/>
    <w:rsid w:val="003E3A69"/>
    <w:rsid w:val="003E41BF"/>
    <w:rsid w:val="003E4AEB"/>
    <w:rsid w:val="003E5550"/>
    <w:rsid w:val="003E5957"/>
    <w:rsid w:val="003E66C8"/>
    <w:rsid w:val="003E6748"/>
    <w:rsid w:val="003E6B7C"/>
    <w:rsid w:val="003E6DF8"/>
    <w:rsid w:val="003E78C8"/>
    <w:rsid w:val="003E7EFE"/>
    <w:rsid w:val="003F0047"/>
    <w:rsid w:val="003F10BE"/>
    <w:rsid w:val="003F16C0"/>
    <w:rsid w:val="003F1776"/>
    <w:rsid w:val="003F1ADE"/>
    <w:rsid w:val="003F24F1"/>
    <w:rsid w:val="003F302E"/>
    <w:rsid w:val="003F342E"/>
    <w:rsid w:val="003F346D"/>
    <w:rsid w:val="003F3B15"/>
    <w:rsid w:val="003F3C51"/>
    <w:rsid w:val="003F3DC8"/>
    <w:rsid w:val="003F4804"/>
    <w:rsid w:val="003F60C5"/>
    <w:rsid w:val="003F6362"/>
    <w:rsid w:val="003F6429"/>
    <w:rsid w:val="003F6570"/>
    <w:rsid w:val="003F661A"/>
    <w:rsid w:val="003F76C2"/>
    <w:rsid w:val="003F7B61"/>
    <w:rsid w:val="00400EB6"/>
    <w:rsid w:val="004010FA"/>
    <w:rsid w:val="00401B4F"/>
    <w:rsid w:val="00402A1A"/>
    <w:rsid w:val="00402F07"/>
    <w:rsid w:val="00402F9A"/>
    <w:rsid w:val="0040317F"/>
    <w:rsid w:val="0040426E"/>
    <w:rsid w:val="00404312"/>
    <w:rsid w:val="00405026"/>
    <w:rsid w:val="00405FC7"/>
    <w:rsid w:val="004060D1"/>
    <w:rsid w:val="0040616E"/>
    <w:rsid w:val="00406280"/>
    <w:rsid w:val="00406E9E"/>
    <w:rsid w:val="00410730"/>
    <w:rsid w:val="00410BA2"/>
    <w:rsid w:val="00410CA0"/>
    <w:rsid w:val="004110DD"/>
    <w:rsid w:val="00412819"/>
    <w:rsid w:val="004132C2"/>
    <w:rsid w:val="004132E1"/>
    <w:rsid w:val="00413446"/>
    <w:rsid w:val="004134CD"/>
    <w:rsid w:val="00413793"/>
    <w:rsid w:val="00413998"/>
    <w:rsid w:val="00413ADC"/>
    <w:rsid w:val="00414889"/>
    <w:rsid w:val="00414BFA"/>
    <w:rsid w:val="00414C11"/>
    <w:rsid w:val="00414C31"/>
    <w:rsid w:val="00415725"/>
    <w:rsid w:val="004157C3"/>
    <w:rsid w:val="004159C7"/>
    <w:rsid w:val="00416376"/>
    <w:rsid w:val="004166C7"/>
    <w:rsid w:val="00416963"/>
    <w:rsid w:val="00417124"/>
    <w:rsid w:val="00417700"/>
    <w:rsid w:val="004213F4"/>
    <w:rsid w:val="00422774"/>
    <w:rsid w:val="004228AB"/>
    <w:rsid w:val="00422E26"/>
    <w:rsid w:val="004233B1"/>
    <w:rsid w:val="00423492"/>
    <w:rsid w:val="00423CC5"/>
    <w:rsid w:val="00423CF8"/>
    <w:rsid w:val="00424333"/>
    <w:rsid w:val="00424422"/>
    <w:rsid w:val="00424467"/>
    <w:rsid w:val="004245D6"/>
    <w:rsid w:val="00424F91"/>
    <w:rsid w:val="00425929"/>
    <w:rsid w:val="00425BCE"/>
    <w:rsid w:val="00425D5E"/>
    <w:rsid w:val="00426193"/>
    <w:rsid w:val="00426960"/>
    <w:rsid w:val="00426F9C"/>
    <w:rsid w:val="00427F13"/>
    <w:rsid w:val="004318F2"/>
    <w:rsid w:val="0043191D"/>
    <w:rsid w:val="00432442"/>
    <w:rsid w:val="00432FE1"/>
    <w:rsid w:val="00432FEF"/>
    <w:rsid w:val="004343AA"/>
    <w:rsid w:val="004345EA"/>
    <w:rsid w:val="00434992"/>
    <w:rsid w:val="0043668B"/>
    <w:rsid w:val="00436B83"/>
    <w:rsid w:val="00437113"/>
    <w:rsid w:val="0043731B"/>
    <w:rsid w:val="004373B7"/>
    <w:rsid w:val="00437D80"/>
    <w:rsid w:val="00437EA5"/>
    <w:rsid w:val="00440920"/>
    <w:rsid w:val="0044108F"/>
    <w:rsid w:val="00442477"/>
    <w:rsid w:val="004427C6"/>
    <w:rsid w:val="00443EB0"/>
    <w:rsid w:val="00444089"/>
    <w:rsid w:val="004442A8"/>
    <w:rsid w:val="00444D6D"/>
    <w:rsid w:val="004459E6"/>
    <w:rsid w:val="00445B53"/>
    <w:rsid w:val="00445D96"/>
    <w:rsid w:val="00445E71"/>
    <w:rsid w:val="004461BA"/>
    <w:rsid w:val="00446721"/>
    <w:rsid w:val="004473C6"/>
    <w:rsid w:val="00447F73"/>
    <w:rsid w:val="0045054C"/>
    <w:rsid w:val="004507E2"/>
    <w:rsid w:val="0045089B"/>
    <w:rsid w:val="00451D26"/>
    <w:rsid w:val="00451E63"/>
    <w:rsid w:val="00451FAC"/>
    <w:rsid w:val="00452179"/>
    <w:rsid w:val="004528BC"/>
    <w:rsid w:val="00453974"/>
    <w:rsid w:val="00453D63"/>
    <w:rsid w:val="0045426F"/>
    <w:rsid w:val="00454CCE"/>
    <w:rsid w:val="0045607C"/>
    <w:rsid w:val="0045641C"/>
    <w:rsid w:val="0045655C"/>
    <w:rsid w:val="00457543"/>
    <w:rsid w:val="004575E6"/>
    <w:rsid w:val="00457661"/>
    <w:rsid w:val="00460137"/>
    <w:rsid w:val="004614FA"/>
    <w:rsid w:val="004627B3"/>
    <w:rsid w:val="00463466"/>
    <w:rsid w:val="00463524"/>
    <w:rsid w:val="0046376A"/>
    <w:rsid w:val="00463A22"/>
    <w:rsid w:val="0046434F"/>
    <w:rsid w:val="004648EB"/>
    <w:rsid w:val="0046494F"/>
    <w:rsid w:val="00464A47"/>
    <w:rsid w:val="00464E2D"/>
    <w:rsid w:val="004655A2"/>
    <w:rsid w:val="004656EE"/>
    <w:rsid w:val="00466736"/>
    <w:rsid w:val="00466E42"/>
    <w:rsid w:val="00467438"/>
    <w:rsid w:val="00467EC5"/>
    <w:rsid w:val="00470D02"/>
    <w:rsid w:val="00471C04"/>
    <w:rsid w:val="00471E13"/>
    <w:rsid w:val="004720A8"/>
    <w:rsid w:val="004732ED"/>
    <w:rsid w:val="004734FC"/>
    <w:rsid w:val="0047422A"/>
    <w:rsid w:val="004750A4"/>
    <w:rsid w:val="0047528E"/>
    <w:rsid w:val="004753D2"/>
    <w:rsid w:val="00476557"/>
    <w:rsid w:val="004768A1"/>
    <w:rsid w:val="00476FA7"/>
    <w:rsid w:val="004770A9"/>
    <w:rsid w:val="004770BB"/>
    <w:rsid w:val="00477120"/>
    <w:rsid w:val="00477658"/>
    <w:rsid w:val="00477E91"/>
    <w:rsid w:val="00480175"/>
    <w:rsid w:val="00480375"/>
    <w:rsid w:val="004806E1"/>
    <w:rsid w:val="00480896"/>
    <w:rsid w:val="00480D56"/>
    <w:rsid w:val="004816D9"/>
    <w:rsid w:val="00481B33"/>
    <w:rsid w:val="00482010"/>
    <w:rsid w:val="00482787"/>
    <w:rsid w:val="00482C38"/>
    <w:rsid w:val="00483189"/>
    <w:rsid w:val="004832CB"/>
    <w:rsid w:val="0048414C"/>
    <w:rsid w:val="00484E9C"/>
    <w:rsid w:val="00484EBB"/>
    <w:rsid w:val="004852E3"/>
    <w:rsid w:val="004853BC"/>
    <w:rsid w:val="004865AA"/>
    <w:rsid w:val="00486F63"/>
    <w:rsid w:val="00486FC8"/>
    <w:rsid w:val="00487266"/>
    <w:rsid w:val="004875E4"/>
    <w:rsid w:val="0048761C"/>
    <w:rsid w:val="0048773E"/>
    <w:rsid w:val="00491021"/>
    <w:rsid w:val="004910D2"/>
    <w:rsid w:val="00491B4C"/>
    <w:rsid w:val="0049287F"/>
    <w:rsid w:val="00492B4E"/>
    <w:rsid w:val="00492D08"/>
    <w:rsid w:val="00492E10"/>
    <w:rsid w:val="00492FB9"/>
    <w:rsid w:val="00492FF8"/>
    <w:rsid w:val="004932C8"/>
    <w:rsid w:val="004934AB"/>
    <w:rsid w:val="0049357C"/>
    <w:rsid w:val="00493920"/>
    <w:rsid w:val="004943A8"/>
    <w:rsid w:val="00494606"/>
    <w:rsid w:val="00495741"/>
    <w:rsid w:val="004959CE"/>
    <w:rsid w:val="00495B19"/>
    <w:rsid w:val="00495DD6"/>
    <w:rsid w:val="00495E54"/>
    <w:rsid w:val="004960C1"/>
    <w:rsid w:val="00496242"/>
    <w:rsid w:val="004962EC"/>
    <w:rsid w:val="00497E39"/>
    <w:rsid w:val="004A0633"/>
    <w:rsid w:val="004A1C32"/>
    <w:rsid w:val="004A2111"/>
    <w:rsid w:val="004A3263"/>
    <w:rsid w:val="004A4869"/>
    <w:rsid w:val="004A5060"/>
    <w:rsid w:val="004A5A68"/>
    <w:rsid w:val="004A6CC2"/>
    <w:rsid w:val="004A6CCF"/>
    <w:rsid w:val="004A6D34"/>
    <w:rsid w:val="004A6DF2"/>
    <w:rsid w:val="004A6E19"/>
    <w:rsid w:val="004A7129"/>
    <w:rsid w:val="004A7239"/>
    <w:rsid w:val="004A75B1"/>
    <w:rsid w:val="004A7D13"/>
    <w:rsid w:val="004B09FC"/>
    <w:rsid w:val="004B0A66"/>
    <w:rsid w:val="004B0EE9"/>
    <w:rsid w:val="004B12D0"/>
    <w:rsid w:val="004B1833"/>
    <w:rsid w:val="004B1B69"/>
    <w:rsid w:val="004B2391"/>
    <w:rsid w:val="004B26EB"/>
    <w:rsid w:val="004B27E6"/>
    <w:rsid w:val="004B2E12"/>
    <w:rsid w:val="004B332A"/>
    <w:rsid w:val="004B3A8D"/>
    <w:rsid w:val="004B40C8"/>
    <w:rsid w:val="004B4EBD"/>
    <w:rsid w:val="004B5304"/>
    <w:rsid w:val="004B5EA2"/>
    <w:rsid w:val="004B5F8B"/>
    <w:rsid w:val="004B60E3"/>
    <w:rsid w:val="004B6361"/>
    <w:rsid w:val="004B7268"/>
    <w:rsid w:val="004B74E1"/>
    <w:rsid w:val="004B74F0"/>
    <w:rsid w:val="004C0963"/>
    <w:rsid w:val="004C0B0A"/>
    <w:rsid w:val="004C1097"/>
    <w:rsid w:val="004C1759"/>
    <w:rsid w:val="004C1B47"/>
    <w:rsid w:val="004C1DC0"/>
    <w:rsid w:val="004C2346"/>
    <w:rsid w:val="004C306A"/>
    <w:rsid w:val="004C3B0B"/>
    <w:rsid w:val="004C427E"/>
    <w:rsid w:val="004C5540"/>
    <w:rsid w:val="004C5784"/>
    <w:rsid w:val="004C66CF"/>
    <w:rsid w:val="004C6742"/>
    <w:rsid w:val="004C7232"/>
    <w:rsid w:val="004C7A44"/>
    <w:rsid w:val="004C7D48"/>
    <w:rsid w:val="004D037B"/>
    <w:rsid w:val="004D0C4B"/>
    <w:rsid w:val="004D0EB4"/>
    <w:rsid w:val="004D0FAB"/>
    <w:rsid w:val="004D17A6"/>
    <w:rsid w:val="004D17F0"/>
    <w:rsid w:val="004D1DBD"/>
    <w:rsid w:val="004D1DCB"/>
    <w:rsid w:val="004D23A1"/>
    <w:rsid w:val="004D3121"/>
    <w:rsid w:val="004D3381"/>
    <w:rsid w:val="004D365D"/>
    <w:rsid w:val="004D39D3"/>
    <w:rsid w:val="004D3F69"/>
    <w:rsid w:val="004D43E1"/>
    <w:rsid w:val="004D475B"/>
    <w:rsid w:val="004D4FF6"/>
    <w:rsid w:val="004D51FB"/>
    <w:rsid w:val="004D5618"/>
    <w:rsid w:val="004D5AD7"/>
    <w:rsid w:val="004D5F78"/>
    <w:rsid w:val="004D6038"/>
    <w:rsid w:val="004D6841"/>
    <w:rsid w:val="004D6C23"/>
    <w:rsid w:val="004D6CC5"/>
    <w:rsid w:val="004D6E46"/>
    <w:rsid w:val="004D766E"/>
    <w:rsid w:val="004D76D6"/>
    <w:rsid w:val="004D7C75"/>
    <w:rsid w:val="004D7F7E"/>
    <w:rsid w:val="004E07B6"/>
    <w:rsid w:val="004E0894"/>
    <w:rsid w:val="004E1705"/>
    <w:rsid w:val="004E19BE"/>
    <w:rsid w:val="004E1B79"/>
    <w:rsid w:val="004E3124"/>
    <w:rsid w:val="004E33AD"/>
    <w:rsid w:val="004E3DC4"/>
    <w:rsid w:val="004E3F7C"/>
    <w:rsid w:val="004E41C4"/>
    <w:rsid w:val="004E4ABD"/>
    <w:rsid w:val="004E4BF9"/>
    <w:rsid w:val="004E4F85"/>
    <w:rsid w:val="004E5897"/>
    <w:rsid w:val="004E5ABC"/>
    <w:rsid w:val="004E5DE7"/>
    <w:rsid w:val="004E6AEE"/>
    <w:rsid w:val="004E72E5"/>
    <w:rsid w:val="004E7588"/>
    <w:rsid w:val="004E7A2B"/>
    <w:rsid w:val="004E7AF6"/>
    <w:rsid w:val="004E7DCF"/>
    <w:rsid w:val="004F0066"/>
    <w:rsid w:val="004F00B7"/>
    <w:rsid w:val="004F0451"/>
    <w:rsid w:val="004F1D03"/>
    <w:rsid w:val="004F1F39"/>
    <w:rsid w:val="004F1FBD"/>
    <w:rsid w:val="004F2800"/>
    <w:rsid w:val="004F2B23"/>
    <w:rsid w:val="004F419E"/>
    <w:rsid w:val="004F467B"/>
    <w:rsid w:val="004F472E"/>
    <w:rsid w:val="004F56B7"/>
    <w:rsid w:val="004F60AE"/>
    <w:rsid w:val="004F6379"/>
    <w:rsid w:val="004F640E"/>
    <w:rsid w:val="004F698D"/>
    <w:rsid w:val="004F6E2C"/>
    <w:rsid w:val="004F7558"/>
    <w:rsid w:val="004F757F"/>
    <w:rsid w:val="004F7D78"/>
    <w:rsid w:val="004F7E2C"/>
    <w:rsid w:val="004F7F81"/>
    <w:rsid w:val="00500DC6"/>
    <w:rsid w:val="005017B1"/>
    <w:rsid w:val="00501896"/>
    <w:rsid w:val="00501D28"/>
    <w:rsid w:val="005023E5"/>
    <w:rsid w:val="005028A5"/>
    <w:rsid w:val="005033E7"/>
    <w:rsid w:val="005049BE"/>
    <w:rsid w:val="00504DF3"/>
    <w:rsid w:val="0050509F"/>
    <w:rsid w:val="005050ED"/>
    <w:rsid w:val="0050529F"/>
    <w:rsid w:val="00505309"/>
    <w:rsid w:val="00505334"/>
    <w:rsid w:val="00505FBB"/>
    <w:rsid w:val="00506119"/>
    <w:rsid w:val="00506EB8"/>
    <w:rsid w:val="00507806"/>
    <w:rsid w:val="00507D42"/>
    <w:rsid w:val="00507D47"/>
    <w:rsid w:val="00511714"/>
    <w:rsid w:val="00511827"/>
    <w:rsid w:val="00512462"/>
    <w:rsid w:val="00512BB4"/>
    <w:rsid w:val="00513088"/>
    <w:rsid w:val="00514738"/>
    <w:rsid w:val="0051501B"/>
    <w:rsid w:val="00515D4E"/>
    <w:rsid w:val="005160EB"/>
    <w:rsid w:val="005161E4"/>
    <w:rsid w:val="00516449"/>
    <w:rsid w:val="00516E79"/>
    <w:rsid w:val="00517561"/>
    <w:rsid w:val="005176BF"/>
    <w:rsid w:val="0051792C"/>
    <w:rsid w:val="00517C66"/>
    <w:rsid w:val="00521DBB"/>
    <w:rsid w:val="00523391"/>
    <w:rsid w:val="00523C19"/>
    <w:rsid w:val="0052406C"/>
    <w:rsid w:val="005247E1"/>
    <w:rsid w:val="00524964"/>
    <w:rsid w:val="00525581"/>
    <w:rsid w:val="00525A30"/>
    <w:rsid w:val="00525F72"/>
    <w:rsid w:val="00527386"/>
    <w:rsid w:val="00527C52"/>
    <w:rsid w:val="00527F0E"/>
    <w:rsid w:val="005301E9"/>
    <w:rsid w:val="005303A1"/>
    <w:rsid w:val="00530683"/>
    <w:rsid w:val="00530688"/>
    <w:rsid w:val="00530A23"/>
    <w:rsid w:val="005310C0"/>
    <w:rsid w:val="005312B1"/>
    <w:rsid w:val="00532BC7"/>
    <w:rsid w:val="00532D82"/>
    <w:rsid w:val="005339D6"/>
    <w:rsid w:val="00533EF3"/>
    <w:rsid w:val="00534618"/>
    <w:rsid w:val="00534894"/>
    <w:rsid w:val="00534ACD"/>
    <w:rsid w:val="00534D53"/>
    <w:rsid w:val="005352B1"/>
    <w:rsid w:val="0053670E"/>
    <w:rsid w:val="005371FE"/>
    <w:rsid w:val="0053739A"/>
    <w:rsid w:val="0053798D"/>
    <w:rsid w:val="00537F7B"/>
    <w:rsid w:val="00540744"/>
    <w:rsid w:val="0054139F"/>
    <w:rsid w:val="005415EB"/>
    <w:rsid w:val="0054198D"/>
    <w:rsid w:val="005428FD"/>
    <w:rsid w:val="00542D43"/>
    <w:rsid w:val="0054320C"/>
    <w:rsid w:val="00545012"/>
    <w:rsid w:val="005450CA"/>
    <w:rsid w:val="00545E82"/>
    <w:rsid w:val="00546C72"/>
    <w:rsid w:val="005478AA"/>
    <w:rsid w:val="005479FB"/>
    <w:rsid w:val="00547A38"/>
    <w:rsid w:val="00547D7B"/>
    <w:rsid w:val="00547E82"/>
    <w:rsid w:val="0055026A"/>
    <w:rsid w:val="005505C9"/>
    <w:rsid w:val="00550F18"/>
    <w:rsid w:val="00551589"/>
    <w:rsid w:val="00551774"/>
    <w:rsid w:val="00552025"/>
    <w:rsid w:val="0055224A"/>
    <w:rsid w:val="005532B7"/>
    <w:rsid w:val="00553BA3"/>
    <w:rsid w:val="0055431A"/>
    <w:rsid w:val="00554B13"/>
    <w:rsid w:val="00554B63"/>
    <w:rsid w:val="00554C0A"/>
    <w:rsid w:val="00554C35"/>
    <w:rsid w:val="00554E71"/>
    <w:rsid w:val="00554F6B"/>
    <w:rsid w:val="0055594C"/>
    <w:rsid w:val="00555DC2"/>
    <w:rsid w:val="0055617B"/>
    <w:rsid w:val="005567E4"/>
    <w:rsid w:val="00556EEB"/>
    <w:rsid w:val="00557C00"/>
    <w:rsid w:val="005600D8"/>
    <w:rsid w:val="00560A94"/>
    <w:rsid w:val="00562BFE"/>
    <w:rsid w:val="00562E70"/>
    <w:rsid w:val="00563F87"/>
    <w:rsid w:val="005643AF"/>
    <w:rsid w:val="005645B4"/>
    <w:rsid w:val="00564C8B"/>
    <w:rsid w:val="0056597F"/>
    <w:rsid w:val="005660DD"/>
    <w:rsid w:val="00570088"/>
    <w:rsid w:val="005702BA"/>
    <w:rsid w:val="0057127C"/>
    <w:rsid w:val="005713B8"/>
    <w:rsid w:val="00572AFE"/>
    <w:rsid w:val="00572B73"/>
    <w:rsid w:val="005737FF"/>
    <w:rsid w:val="00573D41"/>
    <w:rsid w:val="00573F6F"/>
    <w:rsid w:val="00574645"/>
    <w:rsid w:val="0057478B"/>
    <w:rsid w:val="00574F21"/>
    <w:rsid w:val="00575273"/>
    <w:rsid w:val="005755A7"/>
    <w:rsid w:val="00575ADD"/>
    <w:rsid w:val="0057601A"/>
    <w:rsid w:val="00576060"/>
    <w:rsid w:val="00576276"/>
    <w:rsid w:val="0057628A"/>
    <w:rsid w:val="005766BB"/>
    <w:rsid w:val="005769D0"/>
    <w:rsid w:val="00577950"/>
    <w:rsid w:val="00577F44"/>
    <w:rsid w:val="0058065C"/>
    <w:rsid w:val="005806B9"/>
    <w:rsid w:val="0058139D"/>
    <w:rsid w:val="00581714"/>
    <w:rsid w:val="00581F5E"/>
    <w:rsid w:val="0058241D"/>
    <w:rsid w:val="00582E23"/>
    <w:rsid w:val="00582FE9"/>
    <w:rsid w:val="005831EE"/>
    <w:rsid w:val="0058419F"/>
    <w:rsid w:val="00584444"/>
    <w:rsid w:val="005853E8"/>
    <w:rsid w:val="00586911"/>
    <w:rsid w:val="005869D0"/>
    <w:rsid w:val="00586D71"/>
    <w:rsid w:val="0058744C"/>
    <w:rsid w:val="00587799"/>
    <w:rsid w:val="005877AF"/>
    <w:rsid w:val="00587DEF"/>
    <w:rsid w:val="00587EFB"/>
    <w:rsid w:val="005902EE"/>
    <w:rsid w:val="00590F37"/>
    <w:rsid w:val="00590F57"/>
    <w:rsid w:val="00591404"/>
    <w:rsid w:val="00591792"/>
    <w:rsid w:val="00591E5C"/>
    <w:rsid w:val="00591F94"/>
    <w:rsid w:val="0059230D"/>
    <w:rsid w:val="00593055"/>
    <w:rsid w:val="00593C81"/>
    <w:rsid w:val="00593D7B"/>
    <w:rsid w:val="00593E92"/>
    <w:rsid w:val="00594219"/>
    <w:rsid w:val="00594971"/>
    <w:rsid w:val="005949AA"/>
    <w:rsid w:val="00594B2E"/>
    <w:rsid w:val="00594D04"/>
    <w:rsid w:val="0059514C"/>
    <w:rsid w:val="005951B2"/>
    <w:rsid w:val="005953EB"/>
    <w:rsid w:val="00595874"/>
    <w:rsid w:val="00596DDE"/>
    <w:rsid w:val="0059728E"/>
    <w:rsid w:val="005975BE"/>
    <w:rsid w:val="00597939"/>
    <w:rsid w:val="005A0415"/>
    <w:rsid w:val="005A06A8"/>
    <w:rsid w:val="005A0F54"/>
    <w:rsid w:val="005A1237"/>
    <w:rsid w:val="005A12C1"/>
    <w:rsid w:val="005A19B9"/>
    <w:rsid w:val="005A1C76"/>
    <w:rsid w:val="005A21C2"/>
    <w:rsid w:val="005A2DFE"/>
    <w:rsid w:val="005A3045"/>
    <w:rsid w:val="005A35AA"/>
    <w:rsid w:val="005A4723"/>
    <w:rsid w:val="005A484F"/>
    <w:rsid w:val="005A4852"/>
    <w:rsid w:val="005A4A2B"/>
    <w:rsid w:val="005A4F51"/>
    <w:rsid w:val="005A4FE2"/>
    <w:rsid w:val="005A5653"/>
    <w:rsid w:val="005A5802"/>
    <w:rsid w:val="005A5A8A"/>
    <w:rsid w:val="005A5AF2"/>
    <w:rsid w:val="005A5C1C"/>
    <w:rsid w:val="005A610B"/>
    <w:rsid w:val="005A61CD"/>
    <w:rsid w:val="005A656E"/>
    <w:rsid w:val="005B0E9C"/>
    <w:rsid w:val="005B1CE0"/>
    <w:rsid w:val="005B1DE4"/>
    <w:rsid w:val="005B2296"/>
    <w:rsid w:val="005B2617"/>
    <w:rsid w:val="005B2978"/>
    <w:rsid w:val="005B2D11"/>
    <w:rsid w:val="005B384D"/>
    <w:rsid w:val="005B3850"/>
    <w:rsid w:val="005B441B"/>
    <w:rsid w:val="005B4B1B"/>
    <w:rsid w:val="005B4B1D"/>
    <w:rsid w:val="005B589C"/>
    <w:rsid w:val="005B6158"/>
    <w:rsid w:val="005B63B5"/>
    <w:rsid w:val="005B66E0"/>
    <w:rsid w:val="005B6D8C"/>
    <w:rsid w:val="005B7595"/>
    <w:rsid w:val="005B76FC"/>
    <w:rsid w:val="005B77B3"/>
    <w:rsid w:val="005B79EA"/>
    <w:rsid w:val="005B7C1A"/>
    <w:rsid w:val="005B7E66"/>
    <w:rsid w:val="005B7F86"/>
    <w:rsid w:val="005C01B3"/>
    <w:rsid w:val="005C21A6"/>
    <w:rsid w:val="005C26C6"/>
    <w:rsid w:val="005C2C5C"/>
    <w:rsid w:val="005C2D61"/>
    <w:rsid w:val="005C3113"/>
    <w:rsid w:val="005C3145"/>
    <w:rsid w:val="005C3178"/>
    <w:rsid w:val="005C3A47"/>
    <w:rsid w:val="005C3DDA"/>
    <w:rsid w:val="005C4F59"/>
    <w:rsid w:val="005C597B"/>
    <w:rsid w:val="005C5C7D"/>
    <w:rsid w:val="005C7132"/>
    <w:rsid w:val="005C7555"/>
    <w:rsid w:val="005C780A"/>
    <w:rsid w:val="005C7A18"/>
    <w:rsid w:val="005C7DF5"/>
    <w:rsid w:val="005D094C"/>
    <w:rsid w:val="005D0D5E"/>
    <w:rsid w:val="005D1E26"/>
    <w:rsid w:val="005D2259"/>
    <w:rsid w:val="005D3341"/>
    <w:rsid w:val="005D3F9B"/>
    <w:rsid w:val="005D40AF"/>
    <w:rsid w:val="005D4A7F"/>
    <w:rsid w:val="005D50E1"/>
    <w:rsid w:val="005D516F"/>
    <w:rsid w:val="005D5AB6"/>
    <w:rsid w:val="005D65DA"/>
    <w:rsid w:val="005D71E4"/>
    <w:rsid w:val="005D797D"/>
    <w:rsid w:val="005D7CA5"/>
    <w:rsid w:val="005D7DE7"/>
    <w:rsid w:val="005E050B"/>
    <w:rsid w:val="005E06AB"/>
    <w:rsid w:val="005E0EFC"/>
    <w:rsid w:val="005E0FDF"/>
    <w:rsid w:val="005E1DC1"/>
    <w:rsid w:val="005E1E25"/>
    <w:rsid w:val="005E1E6A"/>
    <w:rsid w:val="005E2E2A"/>
    <w:rsid w:val="005E41D1"/>
    <w:rsid w:val="005E42A1"/>
    <w:rsid w:val="005E4639"/>
    <w:rsid w:val="005E483E"/>
    <w:rsid w:val="005E4AB9"/>
    <w:rsid w:val="005E5457"/>
    <w:rsid w:val="005E55CB"/>
    <w:rsid w:val="005E79C7"/>
    <w:rsid w:val="005E7F1F"/>
    <w:rsid w:val="005F058E"/>
    <w:rsid w:val="005F074A"/>
    <w:rsid w:val="005F0938"/>
    <w:rsid w:val="005F121F"/>
    <w:rsid w:val="005F1CF8"/>
    <w:rsid w:val="005F1F30"/>
    <w:rsid w:val="005F1FFD"/>
    <w:rsid w:val="005F2C19"/>
    <w:rsid w:val="005F30C4"/>
    <w:rsid w:val="005F340E"/>
    <w:rsid w:val="005F3447"/>
    <w:rsid w:val="005F38C1"/>
    <w:rsid w:val="005F3E8D"/>
    <w:rsid w:val="005F408F"/>
    <w:rsid w:val="005F5219"/>
    <w:rsid w:val="005F5C90"/>
    <w:rsid w:val="005F5E93"/>
    <w:rsid w:val="005F6935"/>
    <w:rsid w:val="005F698D"/>
    <w:rsid w:val="005F70D9"/>
    <w:rsid w:val="005F7719"/>
    <w:rsid w:val="005F7B41"/>
    <w:rsid w:val="005F7D56"/>
    <w:rsid w:val="005F7DBE"/>
    <w:rsid w:val="006003DA"/>
    <w:rsid w:val="00601AB8"/>
    <w:rsid w:val="00601D1A"/>
    <w:rsid w:val="00601FB4"/>
    <w:rsid w:val="006025C9"/>
    <w:rsid w:val="00602A77"/>
    <w:rsid w:val="006032A4"/>
    <w:rsid w:val="0060430B"/>
    <w:rsid w:val="006043D8"/>
    <w:rsid w:val="00604EC4"/>
    <w:rsid w:val="0060539C"/>
    <w:rsid w:val="00605556"/>
    <w:rsid w:val="00605612"/>
    <w:rsid w:val="00605965"/>
    <w:rsid w:val="006060E0"/>
    <w:rsid w:val="00606245"/>
    <w:rsid w:val="006064A8"/>
    <w:rsid w:val="0060659F"/>
    <w:rsid w:val="00606CB8"/>
    <w:rsid w:val="0060761A"/>
    <w:rsid w:val="0060764F"/>
    <w:rsid w:val="0060790A"/>
    <w:rsid w:val="00607962"/>
    <w:rsid w:val="00607A3A"/>
    <w:rsid w:val="00607E49"/>
    <w:rsid w:val="006101A3"/>
    <w:rsid w:val="006106DA"/>
    <w:rsid w:val="00610BDC"/>
    <w:rsid w:val="0061157D"/>
    <w:rsid w:val="006115D3"/>
    <w:rsid w:val="0061165E"/>
    <w:rsid w:val="00612EDC"/>
    <w:rsid w:val="00613353"/>
    <w:rsid w:val="00613583"/>
    <w:rsid w:val="00613F4F"/>
    <w:rsid w:val="00614C14"/>
    <w:rsid w:val="00614EF2"/>
    <w:rsid w:val="006150E9"/>
    <w:rsid w:val="0061584D"/>
    <w:rsid w:val="00615ED4"/>
    <w:rsid w:val="0061614A"/>
    <w:rsid w:val="00616191"/>
    <w:rsid w:val="006168BB"/>
    <w:rsid w:val="00616C62"/>
    <w:rsid w:val="00616CDD"/>
    <w:rsid w:val="00617139"/>
    <w:rsid w:val="00617788"/>
    <w:rsid w:val="006177C3"/>
    <w:rsid w:val="00620328"/>
    <w:rsid w:val="00620E4E"/>
    <w:rsid w:val="00621706"/>
    <w:rsid w:val="00621D34"/>
    <w:rsid w:val="00622357"/>
    <w:rsid w:val="00622581"/>
    <w:rsid w:val="006233A5"/>
    <w:rsid w:val="006240E0"/>
    <w:rsid w:val="00624717"/>
    <w:rsid w:val="006248CE"/>
    <w:rsid w:val="00624A1D"/>
    <w:rsid w:val="00624A9B"/>
    <w:rsid w:val="00626DFF"/>
    <w:rsid w:val="00627269"/>
    <w:rsid w:val="00627578"/>
    <w:rsid w:val="00627963"/>
    <w:rsid w:val="00627A5D"/>
    <w:rsid w:val="00627F3A"/>
    <w:rsid w:val="006307FE"/>
    <w:rsid w:val="00630915"/>
    <w:rsid w:val="00630967"/>
    <w:rsid w:val="00630EA2"/>
    <w:rsid w:val="006313E6"/>
    <w:rsid w:val="006316EE"/>
    <w:rsid w:val="00631742"/>
    <w:rsid w:val="00632340"/>
    <w:rsid w:val="0063243F"/>
    <w:rsid w:val="00632DD9"/>
    <w:rsid w:val="00633675"/>
    <w:rsid w:val="00633D7A"/>
    <w:rsid w:val="00633F21"/>
    <w:rsid w:val="00634F37"/>
    <w:rsid w:val="00635136"/>
    <w:rsid w:val="00635794"/>
    <w:rsid w:val="0063686E"/>
    <w:rsid w:val="00636D63"/>
    <w:rsid w:val="00637532"/>
    <w:rsid w:val="006375D4"/>
    <w:rsid w:val="0063790D"/>
    <w:rsid w:val="006379D9"/>
    <w:rsid w:val="00637A23"/>
    <w:rsid w:val="006403AE"/>
    <w:rsid w:val="00640893"/>
    <w:rsid w:val="00641224"/>
    <w:rsid w:val="0064146B"/>
    <w:rsid w:val="0064190E"/>
    <w:rsid w:val="006420E0"/>
    <w:rsid w:val="00642BDE"/>
    <w:rsid w:val="00642FDF"/>
    <w:rsid w:val="0064305D"/>
    <w:rsid w:val="006434DB"/>
    <w:rsid w:val="00643510"/>
    <w:rsid w:val="006438F0"/>
    <w:rsid w:val="0064495F"/>
    <w:rsid w:val="006454C1"/>
    <w:rsid w:val="0064574D"/>
    <w:rsid w:val="00645898"/>
    <w:rsid w:val="006462EB"/>
    <w:rsid w:val="006465AC"/>
    <w:rsid w:val="00646EC5"/>
    <w:rsid w:val="00647051"/>
    <w:rsid w:val="0064759A"/>
    <w:rsid w:val="0064767F"/>
    <w:rsid w:val="0064769F"/>
    <w:rsid w:val="006477E3"/>
    <w:rsid w:val="00647932"/>
    <w:rsid w:val="006506C7"/>
    <w:rsid w:val="00651540"/>
    <w:rsid w:val="00651609"/>
    <w:rsid w:val="006521C8"/>
    <w:rsid w:val="0065237D"/>
    <w:rsid w:val="006530FE"/>
    <w:rsid w:val="0065339E"/>
    <w:rsid w:val="00653431"/>
    <w:rsid w:val="00653ED5"/>
    <w:rsid w:val="00654594"/>
    <w:rsid w:val="00654702"/>
    <w:rsid w:val="006556EC"/>
    <w:rsid w:val="006557C1"/>
    <w:rsid w:val="006560AE"/>
    <w:rsid w:val="00656A7B"/>
    <w:rsid w:val="00656DAF"/>
    <w:rsid w:val="00656E04"/>
    <w:rsid w:val="006570CD"/>
    <w:rsid w:val="00657EEC"/>
    <w:rsid w:val="0066048E"/>
    <w:rsid w:val="00660792"/>
    <w:rsid w:val="0066111C"/>
    <w:rsid w:val="00661984"/>
    <w:rsid w:val="00661C50"/>
    <w:rsid w:val="00662852"/>
    <w:rsid w:val="00662A79"/>
    <w:rsid w:val="00662D91"/>
    <w:rsid w:val="00663641"/>
    <w:rsid w:val="0066368F"/>
    <w:rsid w:val="006636DC"/>
    <w:rsid w:val="00664332"/>
    <w:rsid w:val="00664948"/>
    <w:rsid w:val="00664BE4"/>
    <w:rsid w:val="00664F69"/>
    <w:rsid w:val="00665253"/>
    <w:rsid w:val="00665519"/>
    <w:rsid w:val="006655D9"/>
    <w:rsid w:val="006661B0"/>
    <w:rsid w:val="00666371"/>
    <w:rsid w:val="006665AF"/>
    <w:rsid w:val="0066665D"/>
    <w:rsid w:val="0066705B"/>
    <w:rsid w:val="00667594"/>
    <w:rsid w:val="0066764A"/>
    <w:rsid w:val="0066787F"/>
    <w:rsid w:val="00667A0E"/>
    <w:rsid w:val="00667F67"/>
    <w:rsid w:val="00670273"/>
    <w:rsid w:val="006708F2"/>
    <w:rsid w:val="00671074"/>
    <w:rsid w:val="0067122D"/>
    <w:rsid w:val="00671C61"/>
    <w:rsid w:val="00671EA1"/>
    <w:rsid w:val="00672A83"/>
    <w:rsid w:val="00672F64"/>
    <w:rsid w:val="00673739"/>
    <w:rsid w:val="00673C5A"/>
    <w:rsid w:val="006740D2"/>
    <w:rsid w:val="0067465F"/>
    <w:rsid w:val="00674EF3"/>
    <w:rsid w:val="00674F18"/>
    <w:rsid w:val="006759C2"/>
    <w:rsid w:val="0067605F"/>
    <w:rsid w:val="006774CF"/>
    <w:rsid w:val="00677BC3"/>
    <w:rsid w:val="00677C41"/>
    <w:rsid w:val="0068023E"/>
    <w:rsid w:val="00680BFF"/>
    <w:rsid w:val="00681362"/>
    <w:rsid w:val="0068266C"/>
    <w:rsid w:val="006827A1"/>
    <w:rsid w:val="006827A7"/>
    <w:rsid w:val="0068292A"/>
    <w:rsid w:val="00682931"/>
    <w:rsid w:val="006829F9"/>
    <w:rsid w:val="00682B18"/>
    <w:rsid w:val="00682BCC"/>
    <w:rsid w:val="00682EA4"/>
    <w:rsid w:val="00683180"/>
    <w:rsid w:val="0068334F"/>
    <w:rsid w:val="006834AC"/>
    <w:rsid w:val="00683A1F"/>
    <w:rsid w:val="00684139"/>
    <w:rsid w:val="0068414C"/>
    <w:rsid w:val="006844DA"/>
    <w:rsid w:val="0068452C"/>
    <w:rsid w:val="00684695"/>
    <w:rsid w:val="00685371"/>
    <w:rsid w:val="0068565F"/>
    <w:rsid w:val="0068618D"/>
    <w:rsid w:val="00686732"/>
    <w:rsid w:val="00686A99"/>
    <w:rsid w:val="006878A7"/>
    <w:rsid w:val="00687BBF"/>
    <w:rsid w:val="00690023"/>
    <w:rsid w:val="00690689"/>
    <w:rsid w:val="006909C5"/>
    <w:rsid w:val="00691919"/>
    <w:rsid w:val="00691A6C"/>
    <w:rsid w:val="00692851"/>
    <w:rsid w:val="006931B8"/>
    <w:rsid w:val="006933BA"/>
    <w:rsid w:val="00693F1F"/>
    <w:rsid w:val="006965DB"/>
    <w:rsid w:val="006969A9"/>
    <w:rsid w:val="00696F38"/>
    <w:rsid w:val="00697D10"/>
    <w:rsid w:val="006A00BC"/>
    <w:rsid w:val="006A01FC"/>
    <w:rsid w:val="006A0212"/>
    <w:rsid w:val="006A0356"/>
    <w:rsid w:val="006A19A1"/>
    <w:rsid w:val="006A1F99"/>
    <w:rsid w:val="006A20AA"/>
    <w:rsid w:val="006A325F"/>
    <w:rsid w:val="006A3574"/>
    <w:rsid w:val="006A357A"/>
    <w:rsid w:val="006A3CAF"/>
    <w:rsid w:val="006A4DF9"/>
    <w:rsid w:val="006A4FD5"/>
    <w:rsid w:val="006A52BA"/>
    <w:rsid w:val="006A58DB"/>
    <w:rsid w:val="006A6D27"/>
    <w:rsid w:val="006A6FB7"/>
    <w:rsid w:val="006A7460"/>
    <w:rsid w:val="006A762F"/>
    <w:rsid w:val="006A7758"/>
    <w:rsid w:val="006A7809"/>
    <w:rsid w:val="006A7C9D"/>
    <w:rsid w:val="006B007E"/>
    <w:rsid w:val="006B077A"/>
    <w:rsid w:val="006B0B41"/>
    <w:rsid w:val="006B0B4B"/>
    <w:rsid w:val="006B109D"/>
    <w:rsid w:val="006B1D1D"/>
    <w:rsid w:val="006B2A5E"/>
    <w:rsid w:val="006B32CD"/>
    <w:rsid w:val="006B3AD2"/>
    <w:rsid w:val="006B3B3A"/>
    <w:rsid w:val="006B43D9"/>
    <w:rsid w:val="006B482D"/>
    <w:rsid w:val="006B50DD"/>
    <w:rsid w:val="006B618B"/>
    <w:rsid w:val="006B6B2A"/>
    <w:rsid w:val="006B6C45"/>
    <w:rsid w:val="006B6E73"/>
    <w:rsid w:val="006B6F60"/>
    <w:rsid w:val="006B6F7B"/>
    <w:rsid w:val="006B7393"/>
    <w:rsid w:val="006B7779"/>
    <w:rsid w:val="006B7D77"/>
    <w:rsid w:val="006C05EE"/>
    <w:rsid w:val="006C096A"/>
    <w:rsid w:val="006C13EE"/>
    <w:rsid w:val="006C165C"/>
    <w:rsid w:val="006C1EDB"/>
    <w:rsid w:val="006C2819"/>
    <w:rsid w:val="006C2F3C"/>
    <w:rsid w:val="006C30F0"/>
    <w:rsid w:val="006C32D8"/>
    <w:rsid w:val="006C3C11"/>
    <w:rsid w:val="006C3D49"/>
    <w:rsid w:val="006C424A"/>
    <w:rsid w:val="006C486C"/>
    <w:rsid w:val="006C5172"/>
    <w:rsid w:val="006C57A2"/>
    <w:rsid w:val="006C6AD8"/>
    <w:rsid w:val="006C6F93"/>
    <w:rsid w:val="006C7D4B"/>
    <w:rsid w:val="006C7F88"/>
    <w:rsid w:val="006D0126"/>
    <w:rsid w:val="006D0450"/>
    <w:rsid w:val="006D137B"/>
    <w:rsid w:val="006D1D84"/>
    <w:rsid w:val="006D1DB6"/>
    <w:rsid w:val="006D1E39"/>
    <w:rsid w:val="006D1E6A"/>
    <w:rsid w:val="006D1F81"/>
    <w:rsid w:val="006D2C9B"/>
    <w:rsid w:val="006D375A"/>
    <w:rsid w:val="006D37DD"/>
    <w:rsid w:val="006D4046"/>
    <w:rsid w:val="006D4203"/>
    <w:rsid w:val="006D49E6"/>
    <w:rsid w:val="006D6966"/>
    <w:rsid w:val="006D74D6"/>
    <w:rsid w:val="006D7D31"/>
    <w:rsid w:val="006E00F0"/>
    <w:rsid w:val="006E0140"/>
    <w:rsid w:val="006E02F2"/>
    <w:rsid w:val="006E05DC"/>
    <w:rsid w:val="006E10D5"/>
    <w:rsid w:val="006E11D5"/>
    <w:rsid w:val="006E130A"/>
    <w:rsid w:val="006E1935"/>
    <w:rsid w:val="006E1EF8"/>
    <w:rsid w:val="006E3661"/>
    <w:rsid w:val="006E3995"/>
    <w:rsid w:val="006E50F5"/>
    <w:rsid w:val="006E51AB"/>
    <w:rsid w:val="006E5B22"/>
    <w:rsid w:val="006E5EDF"/>
    <w:rsid w:val="006E6429"/>
    <w:rsid w:val="006E6815"/>
    <w:rsid w:val="006E69E8"/>
    <w:rsid w:val="006E6E15"/>
    <w:rsid w:val="006E7D9F"/>
    <w:rsid w:val="006F0E47"/>
    <w:rsid w:val="006F1529"/>
    <w:rsid w:val="006F1ED4"/>
    <w:rsid w:val="006F2612"/>
    <w:rsid w:val="006F386F"/>
    <w:rsid w:val="006F389C"/>
    <w:rsid w:val="006F3A56"/>
    <w:rsid w:val="006F404D"/>
    <w:rsid w:val="006F4BA2"/>
    <w:rsid w:val="006F55B1"/>
    <w:rsid w:val="006F5C4F"/>
    <w:rsid w:val="006F60C7"/>
    <w:rsid w:val="006F61DB"/>
    <w:rsid w:val="006F71CC"/>
    <w:rsid w:val="006F757E"/>
    <w:rsid w:val="006F7AE8"/>
    <w:rsid w:val="006F7B45"/>
    <w:rsid w:val="0070015B"/>
    <w:rsid w:val="00700181"/>
    <w:rsid w:val="0070078D"/>
    <w:rsid w:val="007009B5"/>
    <w:rsid w:val="00700C82"/>
    <w:rsid w:val="00700CB5"/>
    <w:rsid w:val="0070198A"/>
    <w:rsid w:val="00701DE6"/>
    <w:rsid w:val="00701E21"/>
    <w:rsid w:val="00702E46"/>
    <w:rsid w:val="00703C06"/>
    <w:rsid w:val="00704254"/>
    <w:rsid w:val="007055C6"/>
    <w:rsid w:val="007057E6"/>
    <w:rsid w:val="007059A7"/>
    <w:rsid w:val="00705B1A"/>
    <w:rsid w:val="0070650C"/>
    <w:rsid w:val="00706BD3"/>
    <w:rsid w:val="0070739F"/>
    <w:rsid w:val="0071036E"/>
    <w:rsid w:val="00710828"/>
    <w:rsid w:val="00711427"/>
    <w:rsid w:val="00711CF4"/>
    <w:rsid w:val="00711D27"/>
    <w:rsid w:val="00712013"/>
    <w:rsid w:val="00712232"/>
    <w:rsid w:val="00712B61"/>
    <w:rsid w:val="0071303E"/>
    <w:rsid w:val="0071309A"/>
    <w:rsid w:val="007137DA"/>
    <w:rsid w:val="0071491A"/>
    <w:rsid w:val="00714E21"/>
    <w:rsid w:val="00715478"/>
    <w:rsid w:val="00715967"/>
    <w:rsid w:val="0071661B"/>
    <w:rsid w:val="0071734B"/>
    <w:rsid w:val="0071778D"/>
    <w:rsid w:val="00720456"/>
    <w:rsid w:val="00720B4B"/>
    <w:rsid w:val="00721CC9"/>
    <w:rsid w:val="00721CD8"/>
    <w:rsid w:val="00721D63"/>
    <w:rsid w:val="007221EB"/>
    <w:rsid w:val="00724350"/>
    <w:rsid w:val="00724422"/>
    <w:rsid w:val="00724956"/>
    <w:rsid w:val="00724E96"/>
    <w:rsid w:val="00725294"/>
    <w:rsid w:val="0072556E"/>
    <w:rsid w:val="0072623A"/>
    <w:rsid w:val="007263DF"/>
    <w:rsid w:val="007267D7"/>
    <w:rsid w:val="00726853"/>
    <w:rsid w:val="00726C52"/>
    <w:rsid w:val="00726D42"/>
    <w:rsid w:val="007270F8"/>
    <w:rsid w:val="00727350"/>
    <w:rsid w:val="0072747C"/>
    <w:rsid w:val="00727687"/>
    <w:rsid w:val="007277BC"/>
    <w:rsid w:val="0072786A"/>
    <w:rsid w:val="007278F5"/>
    <w:rsid w:val="00727DF4"/>
    <w:rsid w:val="00727EF6"/>
    <w:rsid w:val="0073027A"/>
    <w:rsid w:val="00730738"/>
    <w:rsid w:val="00730CE0"/>
    <w:rsid w:val="00730DE5"/>
    <w:rsid w:val="007317F5"/>
    <w:rsid w:val="00731E1F"/>
    <w:rsid w:val="007323AA"/>
    <w:rsid w:val="0073271E"/>
    <w:rsid w:val="00732B65"/>
    <w:rsid w:val="00732BA4"/>
    <w:rsid w:val="007335E5"/>
    <w:rsid w:val="00733D2B"/>
    <w:rsid w:val="00733D9B"/>
    <w:rsid w:val="00733F89"/>
    <w:rsid w:val="007352DC"/>
    <w:rsid w:val="00735732"/>
    <w:rsid w:val="00735F46"/>
    <w:rsid w:val="00735FA4"/>
    <w:rsid w:val="00736145"/>
    <w:rsid w:val="00736C77"/>
    <w:rsid w:val="00736DD0"/>
    <w:rsid w:val="0073724C"/>
    <w:rsid w:val="007372C7"/>
    <w:rsid w:val="0074034C"/>
    <w:rsid w:val="007404D7"/>
    <w:rsid w:val="00740D03"/>
    <w:rsid w:val="007411BB"/>
    <w:rsid w:val="00741653"/>
    <w:rsid w:val="00741C16"/>
    <w:rsid w:val="00741D1F"/>
    <w:rsid w:val="00742132"/>
    <w:rsid w:val="0074290B"/>
    <w:rsid w:val="007433AF"/>
    <w:rsid w:val="00743ABD"/>
    <w:rsid w:val="00743D8F"/>
    <w:rsid w:val="00743DF5"/>
    <w:rsid w:val="00743FC1"/>
    <w:rsid w:val="00744417"/>
    <w:rsid w:val="007449B9"/>
    <w:rsid w:val="00744B6A"/>
    <w:rsid w:val="00744FB9"/>
    <w:rsid w:val="00745418"/>
    <w:rsid w:val="00745E7C"/>
    <w:rsid w:val="00746257"/>
    <w:rsid w:val="0074630E"/>
    <w:rsid w:val="007466E8"/>
    <w:rsid w:val="007467E4"/>
    <w:rsid w:val="00746C19"/>
    <w:rsid w:val="00746CF8"/>
    <w:rsid w:val="00746D6D"/>
    <w:rsid w:val="00747AAA"/>
    <w:rsid w:val="00750A6D"/>
    <w:rsid w:val="00751034"/>
    <w:rsid w:val="00751402"/>
    <w:rsid w:val="007519DB"/>
    <w:rsid w:val="00751D62"/>
    <w:rsid w:val="00753E1C"/>
    <w:rsid w:val="00754049"/>
    <w:rsid w:val="007540F9"/>
    <w:rsid w:val="00754614"/>
    <w:rsid w:val="007553E6"/>
    <w:rsid w:val="007556A3"/>
    <w:rsid w:val="00756B53"/>
    <w:rsid w:val="00757093"/>
    <w:rsid w:val="007577F6"/>
    <w:rsid w:val="007578C3"/>
    <w:rsid w:val="00760ABA"/>
    <w:rsid w:val="00761A82"/>
    <w:rsid w:val="007621F0"/>
    <w:rsid w:val="00762CBE"/>
    <w:rsid w:val="00763A48"/>
    <w:rsid w:val="00764CD8"/>
    <w:rsid w:val="00765698"/>
    <w:rsid w:val="007660A0"/>
    <w:rsid w:val="00766758"/>
    <w:rsid w:val="00767255"/>
    <w:rsid w:val="00770DAF"/>
    <w:rsid w:val="00771236"/>
    <w:rsid w:val="0077198C"/>
    <w:rsid w:val="00772014"/>
    <w:rsid w:val="007727D9"/>
    <w:rsid w:val="00772D52"/>
    <w:rsid w:val="00772E8E"/>
    <w:rsid w:val="00772FA5"/>
    <w:rsid w:val="007738F3"/>
    <w:rsid w:val="00773B92"/>
    <w:rsid w:val="00773E56"/>
    <w:rsid w:val="007742FE"/>
    <w:rsid w:val="00774CF6"/>
    <w:rsid w:val="00774E5E"/>
    <w:rsid w:val="0077528E"/>
    <w:rsid w:val="007753AD"/>
    <w:rsid w:val="00775795"/>
    <w:rsid w:val="00775D95"/>
    <w:rsid w:val="00776C9E"/>
    <w:rsid w:val="007773CD"/>
    <w:rsid w:val="007778B2"/>
    <w:rsid w:val="007779CA"/>
    <w:rsid w:val="007800A0"/>
    <w:rsid w:val="00781766"/>
    <w:rsid w:val="00781FAB"/>
    <w:rsid w:val="00782051"/>
    <w:rsid w:val="007823AC"/>
    <w:rsid w:val="00782441"/>
    <w:rsid w:val="00782B0B"/>
    <w:rsid w:val="00783877"/>
    <w:rsid w:val="00783B96"/>
    <w:rsid w:val="00784263"/>
    <w:rsid w:val="00784611"/>
    <w:rsid w:val="00784CE2"/>
    <w:rsid w:val="007856A2"/>
    <w:rsid w:val="00786391"/>
    <w:rsid w:val="007865FD"/>
    <w:rsid w:val="00786A70"/>
    <w:rsid w:val="00786B0F"/>
    <w:rsid w:val="00786BFC"/>
    <w:rsid w:val="00787A7B"/>
    <w:rsid w:val="00787BD4"/>
    <w:rsid w:val="00787D0B"/>
    <w:rsid w:val="007900FE"/>
    <w:rsid w:val="007902FB"/>
    <w:rsid w:val="00790DD7"/>
    <w:rsid w:val="00790F0C"/>
    <w:rsid w:val="00791C89"/>
    <w:rsid w:val="00791CE6"/>
    <w:rsid w:val="00792A44"/>
    <w:rsid w:val="00792A5B"/>
    <w:rsid w:val="00793B93"/>
    <w:rsid w:val="00793C4B"/>
    <w:rsid w:val="00794007"/>
    <w:rsid w:val="00794055"/>
    <w:rsid w:val="00794BAF"/>
    <w:rsid w:val="00794D4E"/>
    <w:rsid w:val="00794DDE"/>
    <w:rsid w:val="00794FD6"/>
    <w:rsid w:val="0079508D"/>
    <w:rsid w:val="00795314"/>
    <w:rsid w:val="00795531"/>
    <w:rsid w:val="007956E9"/>
    <w:rsid w:val="00795BC0"/>
    <w:rsid w:val="00795DAF"/>
    <w:rsid w:val="00795EC3"/>
    <w:rsid w:val="00796772"/>
    <w:rsid w:val="00796AB5"/>
    <w:rsid w:val="00797197"/>
    <w:rsid w:val="0079760B"/>
    <w:rsid w:val="00797668"/>
    <w:rsid w:val="00797B73"/>
    <w:rsid w:val="00797C64"/>
    <w:rsid w:val="007A0599"/>
    <w:rsid w:val="007A0CF4"/>
    <w:rsid w:val="007A1508"/>
    <w:rsid w:val="007A1C55"/>
    <w:rsid w:val="007A1CAE"/>
    <w:rsid w:val="007A2512"/>
    <w:rsid w:val="007A2A0B"/>
    <w:rsid w:val="007A2A49"/>
    <w:rsid w:val="007A2D08"/>
    <w:rsid w:val="007A3297"/>
    <w:rsid w:val="007A38E3"/>
    <w:rsid w:val="007A3E56"/>
    <w:rsid w:val="007A3F4B"/>
    <w:rsid w:val="007A41B9"/>
    <w:rsid w:val="007A41E9"/>
    <w:rsid w:val="007A4A86"/>
    <w:rsid w:val="007A5542"/>
    <w:rsid w:val="007A5DD2"/>
    <w:rsid w:val="007A6932"/>
    <w:rsid w:val="007A6BE1"/>
    <w:rsid w:val="007A7A45"/>
    <w:rsid w:val="007B023F"/>
    <w:rsid w:val="007B12B6"/>
    <w:rsid w:val="007B191F"/>
    <w:rsid w:val="007B1B80"/>
    <w:rsid w:val="007B1F6F"/>
    <w:rsid w:val="007B21C2"/>
    <w:rsid w:val="007B29FD"/>
    <w:rsid w:val="007B2D9D"/>
    <w:rsid w:val="007B3042"/>
    <w:rsid w:val="007B35CA"/>
    <w:rsid w:val="007B37CE"/>
    <w:rsid w:val="007B3A4F"/>
    <w:rsid w:val="007B42A3"/>
    <w:rsid w:val="007B4968"/>
    <w:rsid w:val="007B4D0D"/>
    <w:rsid w:val="007B5589"/>
    <w:rsid w:val="007B5A0A"/>
    <w:rsid w:val="007B65E0"/>
    <w:rsid w:val="007B6E25"/>
    <w:rsid w:val="007B7158"/>
    <w:rsid w:val="007B7719"/>
    <w:rsid w:val="007C02DE"/>
    <w:rsid w:val="007C05A8"/>
    <w:rsid w:val="007C067F"/>
    <w:rsid w:val="007C0AB5"/>
    <w:rsid w:val="007C0AF5"/>
    <w:rsid w:val="007C1077"/>
    <w:rsid w:val="007C14E7"/>
    <w:rsid w:val="007C20E4"/>
    <w:rsid w:val="007C22A3"/>
    <w:rsid w:val="007C295C"/>
    <w:rsid w:val="007C2FFC"/>
    <w:rsid w:val="007C343D"/>
    <w:rsid w:val="007C3637"/>
    <w:rsid w:val="007C4983"/>
    <w:rsid w:val="007C51B4"/>
    <w:rsid w:val="007C610E"/>
    <w:rsid w:val="007C618D"/>
    <w:rsid w:val="007C697D"/>
    <w:rsid w:val="007C6DF0"/>
    <w:rsid w:val="007C7020"/>
    <w:rsid w:val="007C7188"/>
    <w:rsid w:val="007C731C"/>
    <w:rsid w:val="007C77BD"/>
    <w:rsid w:val="007D0280"/>
    <w:rsid w:val="007D0575"/>
    <w:rsid w:val="007D0ECD"/>
    <w:rsid w:val="007D218B"/>
    <w:rsid w:val="007D2469"/>
    <w:rsid w:val="007D294C"/>
    <w:rsid w:val="007D3075"/>
    <w:rsid w:val="007D343B"/>
    <w:rsid w:val="007D3D8D"/>
    <w:rsid w:val="007D4018"/>
    <w:rsid w:val="007D44C4"/>
    <w:rsid w:val="007D47E7"/>
    <w:rsid w:val="007D504C"/>
    <w:rsid w:val="007D5DFE"/>
    <w:rsid w:val="007D6B6B"/>
    <w:rsid w:val="007D75B8"/>
    <w:rsid w:val="007D7682"/>
    <w:rsid w:val="007D7EA7"/>
    <w:rsid w:val="007D7FBB"/>
    <w:rsid w:val="007E03CB"/>
    <w:rsid w:val="007E0A92"/>
    <w:rsid w:val="007E0E03"/>
    <w:rsid w:val="007E19F6"/>
    <w:rsid w:val="007E2BCE"/>
    <w:rsid w:val="007E34AF"/>
    <w:rsid w:val="007E3596"/>
    <w:rsid w:val="007E3AD6"/>
    <w:rsid w:val="007E3F40"/>
    <w:rsid w:val="007E43AB"/>
    <w:rsid w:val="007E47D6"/>
    <w:rsid w:val="007E4D1E"/>
    <w:rsid w:val="007E5509"/>
    <w:rsid w:val="007E5C89"/>
    <w:rsid w:val="007E5D30"/>
    <w:rsid w:val="007E6354"/>
    <w:rsid w:val="007E683C"/>
    <w:rsid w:val="007E690D"/>
    <w:rsid w:val="007E73A6"/>
    <w:rsid w:val="007E752C"/>
    <w:rsid w:val="007E761D"/>
    <w:rsid w:val="007E7A1B"/>
    <w:rsid w:val="007E7F36"/>
    <w:rsid w:val="007F0419"/>
    <w:rsid w:val="007F0472"/>
    <w:rsid w:val="007F04F6"/>
    <w:rsid w:val="007F0691"/>
    <w:rsid w:val="007F0AD8"/>
    <w:rsid w:val="007F0E92"/>
    <w:rsid w:val="007F1439"/>
    <w:rsid w:val="007F143A"/>
    <w:rsid w:val="007F14D6"/>
    <w:rsid w:val="007F167B"/>
    <w:rsid w:val="007F2023"/>
    <w:rsid w:val="007F2A8D"/>
    <w:rsid w:val="007F2BDC"/>
    <w:rsid w:val="007F354E"/>
    <w:rsid w:val="007F3AD6"/>
    <w:rsid w:val="007F4298"/>
    <w:rsid w:val="007F47AE"/>
    <w:rsid w:val="007F4FDC"/>
    <w:rsid w:val="007F50E6"/>
    <w:rsid w:val="007F5C7D"/>
    <w:rsid w:val="007F5EA7"/>
    <w:rsid w:val="007F66BC"/>
    <w:rsid w:val="007F71FF"/>
    <w:rsid w:val="007F7221"/>
    <w:rsid w:val="007F72D0"/>
    <w:rsid w:val="00800253"/>
    <w:rsid w:val="00800616"/>
    <w:rsid w:val="00801679"/>
    <w:rsid w:val="00802E82"/>
    <w:rsid w:val="00802F20"/>
    <w:rsid w:val="00803CF7"/>
    <w:rsid w:val="00803DDC"/>
    <w:rsid w:val="008045A0"/>
    <w:rsid w:val="00804DE8"/>
    <w:rsid w:val="00804F2E"/>
    <w:rsid w:val="008056A1"/>
    <w:rsid w:val="008060DC"/>
    <w:rsid w:val="008066B6"/>
    <w:rsid w:val="00806872"/>
    <w:rsid w:val="00807324"/>
    <w:rsid w:val="008074A9"/>
    <w:rsid w:val="00807FC3"/>
    <w:rsid w:val="0081005B"/>
    <w:rsid w:val="00810AB6"/>
    <w:rsid w:val="00810B7A"/>
    <w:rsid w:val="00810D9F"/>
    <w:rsid w:val="00810DC6"/>
    <w:rsid w:val="00810F21"/>
    <w:rsid w:val="00810F39"/>
    <w:rsid w:val="0081195E"/>
    <w:rsid w:val="008119DE"/>
    <w:rsid w:val="008123D4"/>
    <w:rsid w:val="00812846"/>
    <w:rsid w:val="00812A50"/>
    <w:rsid w:val="008131E4"/>
    <w:rsid w:val="008131F7"/>
    <w:rsid w:val="008133AD"/>
    <w:rsid w:val="0081343F"/>
    <w:rsid w:val="008142AA"/>
    <w:rsid w:val="00815ED4"/>
    <w:rsid w:val="00816054"/>
    <w:rsid w:val="0081685B"/>
    <w:rsid w:val="00816E24"/>
    <w:rsid w:val="00816F6C"/>
    <w:rsid w:val="008174A3"/>
    <w:rsid w:val="00820509"/>
    <w:rsid w:val="00820F24"/>
    <w:rsid w:val="00821CBC"/>
    <w:rsid w:val="00822070"/>
    <w:rsid w:val="00822B62"/>
    <w:rsid w:val="00822F83"/>
    <w:rsid w:val="00823049"/>
    <w:rsid w:val="008231FB"/>
    <w:rsid w:val="00823443"/>
    <w:rsid w:val="00823677"/>
    <w:rsid w:val="00823A88"/>
    <w:rsid w:val="00823DEB"/>
    <w:rsid w:val="008249AA"/>
    <w:rsid w:val="00824C9F"/>
    <w:rsid w:val="00825A83"/>
    <w:rsid w:val="00825FE1"/>
    <w:rsid w:val="00826287"/>
    <w:rsid w:val="00826A2A"/>
    <w:rsid w:val="00826A5C"/>
    <w:rsid w:val="00826B62"/>
    <w:rsid w:val="00826BE7"/>
    <w:rsid w:val="00827685"/>
    <w:rsid w:val="00827D63"/>
    <w:rsid w:val="0083002E"/>
    <w:rsid w:val="00830334"/>
    <w:rsid w:val="00830D72"/>
    <w:rsid w:val="0083169D"/>
    <w:rsid w:val="00831735"/>
    <w:rsid w:val="00831C1D"/>
    <w:rsid w:val="008326C0"/>
    <w:rsid w:val="0083270E"/>
    <w:rsid w:val="00832740"/>
    <w:rsid w:val="00832F2D"/>
    <w:rsid w:val="00832FB0"/>
    <w:rsid w:val="0083389C"/>
    <w:rsid w:val="00833AB6"/>
    <w:rsid w:val="00833CE7"/>
    <w:rsid w:val="00836204"/>
    <w:rsid w:val="0083759A"/>
    <w:rsid w:val="00837A53"/>
    <w:rsid w:val="00837C6D"/>
    <w:rsid w:val="00837C6F"/>
    <w:rsid w:val="00837F2C"/>
    <w:rsid w:val="00840063"/>
    <w:rsid w:val="008402BB"/>
    <w:rsid w:val="008410C4"/>
    <w:rsid w:val="00841CF5"/>
    <w:rsid w:val="00842021"/>
    <w:rsid w:val="00842738"/>
    <w:rsid w:val="008428E9"/>
    <w:rsid w:val="00843A78"/>
    <w:rsid w:val="00844514"/>
    <w:rsid w:val="00844D82"/>
    <w:rsid w:val="008451B8"/>
    <w:rsid w:val="00845715"/>
    <w:rsid w:val="00845727"/>
    <w:rsid w:val="00845A02"/>
    <w:rsid w:val="00845A2A"/>
    <w:rsid w:val="008464F2"/>
    <w:rsid w:val="00846E30"/>
    <w:rsid w:val="00850D2D"/>
    <w:rsid w:val="00850F4C"/>
    <w:rsid w:val="00851044"/>
    <w:rsid w:val="00851218"/>
    <w:rsid w:val="008513ED"/>
    <w:rsid w:val="0085151E"/>
    <w:rsid w:val="008520E0"/>
    <w:rsid w:val="008524BB"/>
    <w:rsid w:val="0085257D"/>
    <w:rsid w:val="008526EA"/>
    <w:rsid w:val="00852FE9"/>
    <w:rsid w:val="00854172"/>
    <w:rsid w:val="00854864"/>
    <w:rsid w:val="00854A63"/>
    <w:rsid w:val="00854B1C"/>
    <w:rsid w:val="008554D8"/>
    <w:rsid w:val="008569BB"/>
    <w:rsid w:val="0085735F"/>
    <w:rsid w:val="008605C9"/>
    <w:rsid w:val="008606E3"/>
    <w:rsid w:val="00860E74"/>
    <w:rsid w:val="0086182D"/>
    <w:rsid w:val="00861B6B"/>
    <w:rsid w:val="00861E9E"/>
    <w:rsid w:val="0086234D"/>
    <w:rsid w:val="0086285A"/>
    <w:rsid w:val="00862901"/>
    <w:rsid w:val="0086342D"/>
    <w:rsid w:val="0086368E"/>
    <w:rsid w:val="00863C1B"/>
    <w:rsid w:val="008643AC"/>
    <w:rsid w:val="008643C7"/>
    <w:rsid w:val="008647AE"/>
    <w:rsid w:val="00864A42"/>
    <w:rsid w:val="0086538F"/>
    <w:rsid w:val="00865510"/>
    <w:rsid w:val="008661BA"/>
    <w:rsid w:val="00867487"/>
    <w:rsid w:val="008674A5"/>
    <w:rsid w:val="0086765F"/>
    <w:rsid w:val="0086780C"/>
    <w:rsid w:val="008679A8"/>
    <w:rsid w:val="00867CBD"/>
    <w:rsid w:val="00867E31"/>
    <w:rsid w:val="0087021C"/>
    <w:rsid w:val="008719DE"/>
    <w:rsid w:val="00871A2C"/>
    <w:rsid w:val="00871D8F"/>
    <w:rsid w:val="00871ED9"/>
    <w:rsid w:val="00872273"/>
    <w:rsid w:val="00872802"/>
    <w:rsid w:val="00872AD6"/>
    <w:rsid w:val="0087318A"/>
    <w:rsid w:val="00873E09"/>
    <w:rsid w:val="008743D7"/>
    <w:rsid w:val="00874EF2"/>
    <w:rsid w:val="008750BF"/>
    <w:rsid w:val="00875187"/>
    <w:rsid w:val="00876647"/>
    <w:rsid w:val="00876A90"/>
    <w:rsid w:val="00876BC3"/>
    <w:rsid w:val="00877887"/>
    <w:rsid w:val="00877ED3"/>
    <w:rsid w:val="00877F1A"/>
    <w:rsid w:val="008800A4"/>
    <w:rsid w:val="008800B7"/>
    <w:rsid w:val="00880D07"/>
    <w:rsid w:val="00880D1B"/>
    <w:rsid w:val="00881F06"/>
    <w:rsid w:val="008823B4"/>
    <w:rsid w:val="0088306B"/>
    <w:rsid w:val="00883103"/>
    <w:rsid w:val="0088330A"/>
    <w:rsid w:val="0088364F"/>
    <w:rsid w:val="008837EB"/>
    <w:rsid w:val="00884111"/>
    <w:rsid w:val="0088436D"/>
    <w:rsid w:val="00884B95"/>
    <w:rsid w:val="0088637F"/>
    <w:rsid w:val="008864AA"/>
    <w:rsid w:val="00886EFC"/>
    <w:rsid w:val="00887193"/>
    <w:rsid w:val="00887829"/>
    <w:rsid w:val="00887A6B"/>
    <w:rsid w:val="00887B62"/>
    <w:rsid w:val="00887C05"/>
    <w:rsid w:val="00890028"/>
    <w:rsid w:val="00890387"/>
    <w:rsid w:val="008907FD"/>
    <w:rsid w:val="00891075"/>
    <w:rsid w:val="0089114D"/>
    <w:rsid w:val="00891336"/>
    <w:rsid w:val="0089192B"/>
    <w:rsid w:val="00892C25"/>
    <w:rsid w:val="008933EF"/>
    <w:rsid w:val="00893644"/>
    <w:rsid w:val="00893B0A"/>
    <w:rsid w:val="00893ED7"/>
    <w:rsid w:val="0089538D"/>
    <w:rsid w:val="00895514"/>
    <w:rsid w:val="00897883"/>
    <w:rsid w:val="00897C1C"/>
    <w:rsid w:val="00897C79"/>
    <w:rsid w:val="00897D04"/>
    <w:rsid w:val="00897D4F"/>
    <w:rsid w:val="008A066A"/>
    <w:rsid w:val="008A06BC"/>
    <w:rsid w:val="008A19A8"/>
    <w:rsid w:val="008A205F"/>
    <w:rsid w:val="008A274C"/>
    <w:rsid w:val="008A29C1"/>
    <w:rsid w:val="008A350E"/>
    <w:rsid w:val="008A3915"/>
    <w:rsid w:val="008A3A62"/>
    <w:rsid w:val="008A3E23"/>
    <w:rsid w:val="008A4161"/>
    <w:rsid w:val="008A446F"/>
    <w:rsid w:val="008A4CC9"/>
    <w:rsid w:val="008A4FBE"/>
    <w:rsid w:val="008A52BC"/>
    <w:rsid w:val="008A5442"/>
    <w:rsid w:val="008A7171"/>
    <w:rsid w:val="008A7A21"/>
    <w:rsid w:val="008A7C52"/>
    <w:rsid w:val="008A7C84"/>
    <w:rsid w:val="008B00F1"/>
    <w:rsid w:val="008B0107"/>
    <w:rsid w:val="008B0D8F"/>
    <w:rsid w:val="008B14C8"/>
    <w:rsid w:val="008B1D87"/>
    <w:rsid w:val="008B2381"/>
    <w:rsid w:val="008B2777"/>
    <w:rsid w:val="008B29F3"/>
    <w:rsid w:val="008B30A7"/>
    <w:rsid w:val="008B345A"/>
    <w:rsid w:val="008B3C56"/>
    <w:rsid w:val="008B3D60"/>
    <w:rsid w:val="008B459E"/>
    <w:rsid w:val="008B4CD8"/>
    <w:rsid w:val="008B58BD"/>
    <w:rsid w:val="008B6053"/>
    <w:rsid w:val="008B627A"/>
    <w:rsid w:val="008B6868"/>
    <w:rsid w:val="008B68D2"/>
    <w:rsid w:val="008B70F1"/>
    <w:rsid w:val="008C0628"/>
    <w:rsid w:val="008C1376"/>
    <w:rsid w:val="008C14D7"/>
    <w:rsid w:val="008C1860"/>
    <w:rsid w:val="008C1A78"/>
    <w:rsid w:val="008C25B7"/>
    <w:rsid w:val="008C2751"/>
    <w:rsid w:val="008C2834"/>
    <w:rsid w:val="008C2B5D"/>
    <w:rsid w:val="008C30C6"/>
    <w:rsid w:val="008C341A"/>
    <w:rsid w:val="008C3ADF"/>
    <w:rsid w:val="008C4451"/>
    <w:rsid w:val="008C4BAA"/>
    <w:rsid w:val="008C4C5B"/>
    <w:rsid w:val="008C7075"/>
    <w:rsid w:val="008C7262"/>
    <w:rsid w:val="008C72D7"/>
    <w:rsid w:val="008C7468"/>
    <w:rsid w:val="008C756A"/>
    <w:rsid w:val="008C757D"/>
    <w:rsid w:val="008C7B78"/>
    <w:rsid w:val="008C7C7A"/>
    <w:rsid w:val="008D0382"/>
    <w:rsid w:val="008D0461"/>
    <w:rsid w:val="008D06CC"/>
    <w:rsid w:val="008D0716"/>
    <w:rsid w:val="008D1284"/>
    <w:rsid w:val="008D2048"/>
    <w:rsid w:val="008D23D5"/>
    <w:rsid w:val="008D270B"/>
    <w:rsid w:val="008D2D12"/>
    <w:rsid w:val="008D32BC"/>
    <w:rsid w:val="008D3D57"/>
    <w:rsid w:val="008D3F2A"/>
    <w:rsid w:val="008D44AF"/>
    <w:rsid w:val="008D4526"/>
    <w:rsid w:val="008D4753"/>
    <w:rsid w:val="008D4FB2"/>
    <w:rsid w:val="008D5F20"/>
    <w:rsid w:val="008D6692"/>
    <w:rsid w:val="008D69C4"/>
    <w:rsid w:val="008D6E6D"/>
    <w:rsid w:val="008D7737"/>
    <w:rsid w:val="008D78FE"/>
    <w:rsid w:val="008E037B"/>
    <w:rsid w:val="008E075C"/>
    <w:rsid w:val="008E0A65"/>
    <w:rsid w:val="008E0A89"/>
    <w:rsid w:val="008E0AB8"/>
    <w:rsid w:val="008E1CD4"/>
    <w:rsid w:val="008E2765"/>
    <w:rsid w:val="008E2BEC"/>
    <w:rsid w:val="008E35A4"/>
    <w:rsid w:val="008E3967"/>
    <w:rsid w:val="008E4F30"/>
    <w:rsid w:val="008E5292"/>
    <w:rsid w:val="008E7E18"/>
    <w:rsid w:val="008F0129"/>
    <w:rsid w:val="008F01A9"/>
    <w:rsid w:val="008F0323"/>
    <w:rsid w:val="008F033A"/>
    <w:rsid w:val="008F0A42"/>
    <w:rsid w:val="008F0CC9"/>
    <w:rsid w:val="008F0E1A"/>
    <w:rsid w:val="008F110F"/>
    <w:rsid w:val="008F12E9"/>
    <w:rsid w:val="008F1AA7"/>
    <w:rsid w:val="008F1AFE"/>
    <w:rsid w:val="008F1F08"/>
    <w:rsid w:val="008F1F0E"/>
    <w:rsid w:val="008F2576"/>
    <w:rsid w:val="008F28FA"/>
    <w:rsid w:val="008F2C32"/>
    <w:rsid w:val="008F39CA"/>
    <w:rsid w:val="008F3FBB"/>
    <w:rsid w:val="008F42BF"/>
    <w:rsid w:val="008F4CF7"/>
    <w:rsid w:val="008F5346"/>
    <w:rsid w:val="008F5750"/>
    <w:rsid w:val="008F59B3"/>
    <w:rsid w:val="008F5D3D"/>
    <w:rsid w:val="008F5E86"/>
    <w:rsid w:val="008F63C3"/>
    <w:rsid w:val="008F6451"/>
    <w:rsid w:val="008F64C1"/>
    <w:rsid w:val="008F65AC"/>
    <w:rsid w:val="008F6867"/>
    <w:rsid w:val="008F6933"/>
    <w:rsid w:val="008F700B"/>
    <w:rsid w:val="008F7BFC"/>
    <w:rsid w:val="008F7C61"/>
    <w:rsid w:val="00900062"/>
    <w:rsid w:val="009003CD"/>
    <w:rsid w:val="00900A77"/>
    <w:rsid w:val="00900CD5"/>
    <w:rsid w:val="00901232"/>
    <w:rsid w:val="009016CF"/>
    <w:rsid w:val="009017E0"/>
    <w:rsid w:val="00902717"/>
    <w:rsid w:val="00902A37"/>
    <w:rsid w:val="00902F18"/>
    <w:rsid w:val="009039E3"/>
    <w:rsid w:val="00903A91"/>
    <w:rsid w:val="0090416C"/>
    <w:rsid w:val="0090426F"/>
    <w:rsid w:val="009049B2"/>
    <w:rsid w:val="00905106"/>
    <w:rsid w:val="00905634"/>
    <w:rsid w:val="00905FAD"/>
    <w:rsid w:val="009070CE"/>
    <w:rsid w:val="00907239"/>
    <w:rsid w:val="00907400"/>
    <w:rsid w:val="00907B3A"/>
    <w:rsid w:val="00907B92"/>
    <w:rsid w:val="00910006"/>
    <w:rsid w:val="00910541"/>
    <w:rsid w:val="00910670"/>
    <w:rsid w:val="00910676"/>
    <w:rsid w:val="00910C47"/>
    <w:rsid w:val="009114F6"/>
    <w:rsid w:val="009118D0"/>
    <w:rsid w:val="00911F96"/>
    <w:rsid w:val="009120F5"/>
    <w:rsid w:val="009122B1"/>
    <w:rsid w:val="00912511"/>
    <w:rsid w:val="009127CF"/>
    <w:rsid w:val="00912C9C"/>
    <w:rsid w:val="00912DE4"/>
    <w:rsid w:val="00913746"/>
    <w:rsid w:val="009137D1"/>
    <w:rsid w:val="00913BB2"/>
    <w:rsid w:val="00914246"/>
    <w:rsid w:val="0091539F"/>
    <w:rsid w:val="00915F5C"/>
    <w:rsid w:val="009172B4"/>
    <w:rsid w:val="009204A6"/>
    <w:rsid w:val="00920888"/>
    <w:rsid w:val="009208F8"/>
    <w:rsid w:val="00920CA3"/>
    <w:rsid w:val="0092178D"/>
    <w:rsid w:val="00921B85"/>
    <w:rsid w:val="0092398C"/>
    <w:rsid w:val="00923C05"/>
    <w:rsid w:val="00924158"/>
    <w:rsid w:val="009244CA"/>
    <w:rsid w:val="009245C7"/>
    <w:rsid w:val="00925142"/>
    <w:rsid w:val="009254E6"/>
    <w:rsid w:val="00925F88"/>
    <w:rsid w:val="00926051"/>
    <w:rsid w:val="009267E9"/>
    <w:rsid w:val="00926D7D"/>
    <w:rsid w:val="00927931"/>
    <w:rsid w:val="009279EB"/>
    <w:rsid w:val="009305C3"/>
    <w:rsid w:val="00930606"/>
    <w:rsid w:val="00930C0E"/>
    <w:rsid w:val="009310AA"/>
    <w:rsid w:val="0093116E"/>
    <w:rsid w:val="00931225"/>
    <w:rsid w:val="00931976"/>
    <w:rsid w:val="00931B7F"/>
    <w:rsid w:val="009320A0"/>
    <w:rsid w:val="009322A8"/>
    <w:rsid w:val="00932BFE"/>
    <w:rsid w:val="0093343E"/>
    <w:rsid w:val="00933471"/>
    <w:rsid w:val="00933F00"/>
    <w:rsid w:val="00934106"/>
    <w:rsid w:val="009344A8"/>
    <w:rsid w:val="009344C2"/>
    <w:rsid w:val="00934ACC"/>
    <w:rsid w:val="0093674E"/>
    <w:rsid w:val="00936BB8"/>
    <w:rsid w:val="00936C3C"/>
    <w:rsid w:val="00936F50"/>
    <w:rsid w:val="0093783B"/>
    <w:rsid w:val="00937980"/>
    <w:rsid w:val="00937C57"/>
    <w:rsid w:val="00937FF9"/>
    <w:rsid w:val="009402A8"/>
    <w:rsid w:val="00942795"/>
    <w:rsid w:val="00942DAE"/>
    <w:rsid w:val="00942E3E"/>
    <w:rsid w:val="009435DC"/>
    <w:rsid w:val="00943E2D"/>
    <w:rsid w:val="00944538"/>
    <w:rsid w:val="00944628"/>
    <w:rsid w:val="00944D77"/>
    <w:rsid w:val="0094571B"/>
    <w:rsid w:val="00946280"/>
    <w:rsid w:val="009463E6"/>
    <w:rsid w:val="00946976"/>
    <w:rsid w:val="00946DD8"/>
    <w:rsid w:val="009471D5"/>
    <w:rsid w:val="009472C1"/>
    <w:rsid w:val="009475B4"/>
    <w:rsid w:val="0094764B"/>
    <w:rsid w:val="009477E4"/>
    <w:rsid w:val="00947FB6"/>
    <w:rsid w:val="0095036B"/>
    <w:rsid w:val="00950EE8"/>
    <w:rsid w:val="009517B6"/>
    <w:rsid w:val="009525A9"/>
    <w:rsid w:val="00952DE0"/>
    <w:rsid w:val="00953799"/>
    <w:rsid w:val="00953D44"/>
    <w:rsid w:val="009548D7"/>
    <w:rsid w:val="009553C2"/>
    <w:rsid w:val="00955457"/>
    <w:rsid w:val="00955487"/>
    <w:rsid w:val="009559DE"/>
    <w:rsid w:val="00955C5B"/>
    <w:rsid w:val="00955D44"/>
    <w:rsid w:val="00956738"/>
    <w:rsid w:val="00956E33"/>
    <w:rsid w:val="009600F8"/>
    <w:rsid w:val="0096035A"/>
    <w:rsid w:val="009613F4"/>
    <w:rsid w:val="00961674"/>
    <w:rsid w:val="00961FBB"/>
    <w:rsid w:val="0096235E"/>
    <w:rsid w:val="00962501"/>
    <w:rsid w:val="00962F38"/>
    <w:rsid w:val="0096364D"/>
    <w:rsid w:val="009641FA"/>
    <w:rsid w:val="009645F2"/>
    <w:rsid w:val="00964836"/>
    <w:rsid w:val="00964CDB"/>
    <w:rsid w:val="00965270"/>
    <w:rsid w:val="0096583A"/>
    <w:rsid w:val="00965E7F"/>
    <w:rsid w:val="00966565"/>
    <w:rsid w:val="0096664F"/>
    <w:rsid w:val="0096667E"/>
    <w:rsid w:val="009671C5"/>
    <w:rsid w:val="0096748A"/>
    <w:rsid w:val="009675DD"/>
    <w:rsid w:val="009676A2"/>
    <w:rsid w:val="00967937"/>
    <w:rsid w:val="00967EEA"/>
    <w:rsid w:val="009707C8"/>
    <w:rsid w:val="00970BFB"/>
    <w:rsid w:val="00970E2F"/>
    <w:rsid w:val="00971846"/>
    <w:rsid w:val="0097299A"/>
    <w:rsid w:val="009730DC"/>
    <w:rsid w:val="009732DC"/>
    <w:rsid w:val="00973BF7"/>
    <w:rsid w:val="00974159"/>
    <w:rsid w:val="0097429D"/>
    <w:rsid w:val="00974360"/>
    <w:rsid w:val="009746F9"/>
    <w:rsid w:val="00974D9C"/>
    <w:rsid w:val="00974E96"/>
    <w:rsid w:val="009751C8"/>
    <w:rsid w:val="009753F0"/>
    <w:rsid w:val="00975662"/>
    <w:rsid w:val="00975BE7"/>
    <w:rsid w:val="00976768"/>
    <w:rsid w:val="009769B8"/>
    <w:rsid w:val="0097741A"/>
    <w:rsid w:val="00977CEF"/>
    <w:rsid w:val="009803DE"/>
    <w:rsid w:val="00980899"/>
    <w:rsid w:val="00980B6D"/>
    <w:rsid w:val="00981490"/>
    <w:rsid w:val="009816C4"/>
    <w:rsid w:val="009818DD"/>
    <w:rsid w:val="00982950"/>
    <w:rsid w:val="009837CC"/>
    <w:rsid w:val="009839D7"/>
    <w:rsid w:val="00983BF8"/>
    <w:rsid w:val="00983C2E"/>
    <w:rsid w:val="0098471D"/>
    <w:rsid w:val="009848AE"/>
    <w:rsid w:val="009855AC"/>
    <w:rsid w:val="00985923"/>
    <w:rsid w:val="00985A31"/>
    <w:rsid w:val="00986F46"/>
    <w:rsid w:val="0098752B"/>
    <w:rsid w:val="00987DD7"/>
    <w:rsid w:val="009900AF"/>
    <w:rsid w:val="009906B0"/>
    <w:rsid w:val="00990800"/>
    <w:rsid w:val="009909A8"/>
    <w:rsid w:val="00990B0C"/>
    <w:rsid w:val="00990BB0"/>
    <w:rsid w:val="00990CED"/>
    <w:rsid w:val="00990EAA"/>
    <w:rsid w:val="009910EF"/>
    <w:rsid w:val="009914CC"/>
    <w:rsid w:val="009917B8"/>
    <w:rsid w:val="009919DF"/>
    <w:rsid w:val="0099224C"/>
    <w:rsid w:val="009928E7"/>
    <w:rsid w:val="009930DD"/>
    <w:rsid w:val="009944DC"/>
    <w:rsid w:val="00994AA3"/>
    <w:rsid w:val="00995CE1"/>
    <w:rsid w:val="00996237"/>
    <w:rsid w:val="0099684C"/>
    <w:rsid w:val="00996ACB"/>
    <w:rsid w:val="0099726A"/>
    <w:rsid w:val="009972DD"/>
    <w:rsid w:val="0099753F"/>
    <w:rsid w:val="009A0503"/>
    <w:rsid w:val="009A0D02"/>
    <w:rsid w:val="009A0DE4"/>
    <w:rsid w:val="009A18DD"/>
    <w:rsid w:val="009A1BE5"/>
    <w:rsid w:val="009A200C"/>
    <w:rsid w:val="009A2200"/>
    <w:rsid w:val="009A2C3F"/>
    <w:rsid w:val="009A2EAD"/>
    <w:rsid w:val="009A384E"/>
    <w:rsid w:val="009A3A17"/>
    <w:rsid w:val="009A4163"/>
    <w:rsid w:val="009A42E1"/>
    <w:rsid w:val="009A4378"/>
    <w:rsid w:val="009A4583"/>
    <w:rsid w:val="009A5EA1"/>
    <w:rsid w:val="009A6759"/>
    <w:rsid w:val="009A6894"/>
    <w:rsid w:val="009B04B7"/>
    <w:rsid w:val="009B0E28"/>
    <w:rsid w:val="009B17E4"/>
    <w:rsid w:val="009B1E37"/>
    <w:rsid w:val="009B1E99"/>
    <w:rsid w:val="009B1F03"/>
    <w:rsid w:val="009B2EDC"/>
    <w:rsid w:val="009B2FD0"/>
    <w:rsid w:val="009B3017"/>
    <w:rsid w:val="009B3794"/>
    <w:rsid w:val="009B379B"/>
    <w:rsid w:val="009B3ADA"/>
    <w:rsid w:val="009B3BB6"/>
    <w:rsid w:val="009B3EB5"/>
    <w:rsid w:val="009B3FAB"/>
    <w:rsid w:val="009B50B4"/>
    <w:rsid w:val="009B5262"/>
    <w:rsid w:val="009B5412"/>
    <w:rsid w:val="009B6140"/>
    <w:rsid w:val="009B678F"/>
    <w:rsid w:val="009B6799"/>
    <w:rsid w:val="009B6817"/>
    <w:rsid w:val="009B70E8"/>
    <w:rsid w:val="009B71A2"/>
    <w:rsid w:val="009B73FC"/>
    <w:rsid w:val="009B75CE"/>
    <w:rsid w:val="009C006B"/>
    <w:rsid w:val="009C058E"/>
    <w:rsid w:val="009C0624"/>
    <w:rsid w:val="009C0631"/>
    <w:rsid w:val="009C09EE"/>
    <w:rsid w:val="009C0C39"/>
    <w:rsid w:val="009C171D"/>
    <w:rsid w:val="009C1D14"/>
    <w:rsid w:val="009C28AD"/>
    <w:rsid w:val="009C2DAD"/>
    <w:rsid w:val="009C383E"/>
    <w:rsid w:val="009C38BB"/>
    <w:rsid w:val="009C4010"/>
    <w:rsid w:val="009C45CB"/>
    <w:rsid w:val="009C472A"/>
    <w:rsid w:val="009C498D"/>
    <w:rsid w:val="009C4B48"/>
    <w:rsid w:val="009C4FA9"/>
    <w:rsid w:val="009C50B0"/>
    <w:rsid w:val="009C58FE"/>
    <w:rsid w:val="009C5BB3"/>
    <w:rsid w:val="009C5D31"/>
    <w:rsid w:val="009C606C"/>
    <w:rsid w:val="009C61A2"/>
    <w:rsid w:val="009C62CB"/>
    <w:rsid w:val="009C7597"/>
    <w:rsid w:val="009C78D7"/>
    <w:rsid w:val="009C7B87"/>
    <w:rsid w:val="009C7F95"/>
    <w:rsid w:val="009D0360"/>
    <w:rsid w:val="009D12E3"/>
    <w:rsid w:val="009D2A66"/>
    <w:rsid w:val="009D2C7A"/>
    <w:rsid w:val="009D2C84"/>
    <w:rsid w:val="009D317A"/>
    <w:rsid w:val="009D357A"/>
    <w:rsid w:val="009D3C7C"/>
    <w:rsid w:val="009D4C78"/>
    <w:rsid w:val="009D56BC"/>
    <w:rsid w:val="009D5B1F"/>
    <w:rsid w:val="009D5F6A"/>
    <w:rsid w:val="009D636A"/>
    <w:rsid w:val="009D6DAC"/>
    <w:rsid w:val="009D6F72"/>
    <w:rsid w:val="009D7051"/>
    <w:rsid w:val="009D7380"/>
    <w:rsid w:val="009D75D3"/>
    <w:rsid w:val="009E00ED"/>
    <w:rsid w:val="009E039B"/>
    <w:rsid w:val="009E0F59"/>
    <w:rsid w:val="009E149D"/>
    <w:rsid w:val="009E1C07"/>
    <w:rsid w:val="009E1CE2"/>
    <w:rsid w:val="009E268C"/>
    <w:rsid w:val="009E2799"/>
    <w:rsid w:val="009E3685"/>
    <w:rsid w:val="009E3967"/>
    <w:rsid w:val="009E3B1A"/>
    <w:rsid w:val="009E49DA"/>
    <w:rsid w:val="009E4EC1"/>
    <w:rsid w:val="009E5056"/>
    <w:rsid w:val="009E5384"/>
    <w:rsid w:val="009E7698"/>
    <w:rsid w:val="009E7D60"/>
    <w:rsid w:val="009E7D76"/>
    <w:rsid w:val="009E7D95"/>
    <w:rsid w:val="009F0353"/>
    <w:rsid w:val="009F05B9"/>
    <w:rsid w:val="009F0BF4"/>
    <w:rsid w:val="009F0E20"/>
    <w:rsid w:val="009F1D99"/>
    <w:rsid w:val="009F2B09"/>
    <w:rsid w:val="009F2B39"/>
    <w:rsid w:val="009F2C39"/>
    <w:rsid w:val="009F3727"/>
    <w:rsid w:val="009F3C0A"/>
    <w:rsid w:val="009F3C46"/>
    <w:rsid w:val="009F3F21"/>
    <w:rsid w:val="009F4188"/>
    <w:rsid w:val="009F499D"/>
    <w:rsid w:val="009F5D8D"/>
    <w:rsid w:val="009F6528"/>
    <w:rsid w:val="009F6932"/>
    <w:rsid w:val="009F723E"/>
    <w:rsid w:val="009F7DAB"/>
    <w:rsid w:val="00A00135"/>
    <w:rsid w:val="00A00214"/>
    <w:rsid w:val="00A002AA"/>
    <w:rsid w:val="00A0078D"/>
    <w:rsid w:val="00A01357"/>
    <w:rsid w:val="00A013FA"/>
    <w:rsid w:val="00A0145A"/>
    <w:rsid w:val="00A0278A"/>
    <w:rsid w:val="00A02D6B"/>
    <w:rsid w:val="00A0339A"/>
    <w:rsid w:val="00A0357B"/>
    <w:rsid w:val="00A0367A"/>
    <w:rsid w:val="00A041EA"/>
    <w:rsid w:val="00A04267"/>
    <w:rsid w:val="00A047F4"/>
    <w:rsid w:val="00A04AA6"/>
    <w:rsid w:val="00A04FCA"/>
    <w:rsid w:val="00A053A4"/>
    <w:rsid w:val="00A05629"/>
    <w:rsid w:val="00A065A3"/>
    <w:rsid w:val="00A06BF7"/>
    <w:rsid w:val="00A077EA"/>
    <w:rsid w:val="00A07B92"/>
    <w:rsid w:val="00A100BF"/>
    <w:rsid w:val="00A107BC"/>
    <w:rsid w:val="00A10858"/>
    <w:rsid w:val="00A108F0"/>
    <w:rsid w:val="00A11409"/>
    <w:rsid w:val="00A116CE"/>
    <w:rsid w:val="00A119C4"/>
    <w:rsid w:val="00A11ADF"/>
    <w:rsid w:val="00A12C28"/>
    <w:rsid w:val="00A12CB6"/>
    <w:rsid w:val="00A13027"/>
    <w:rsid w:val="00A136F4"/>
    <w:rsid w:val="00A13950"/>
    <w:rsid w:val="00A14715"/>
    <w:rsid w:val="00A1536F"/>
    <w:rsid w:val="00A15FF8"/>
    <w:rsid w:val="00A16A01"/>
    <w:rsid w:val="00A17654"/>
    <w:rsid w:val="00A17661"/>
    <w:rsid w:val="00A17D0B"/>
    <w:rsid w:val="00A20103"/>
    <w:rsid w:val="00A20A25"/>
    <w:rsid w:val="00A20DB7"/>
    <w:rsid w:val="00A21156"/>
    <w:rsid w:val="00A21988"/>
    <w:rsid w:val="00A2199E"/>
    <w:rsid w:val="00A227A5"/>
    <w:rsid w:val="00A227F1"/>
    <w:rsid w:val="00A22F4F"/>
    <w:rsid w:val="00A2307D"/>
    <w:rsid w:val="00A241BB"/>
    <w:rsid w:val="00A2538D"/>
    <w:rsid w:val="00A256A2"/>
    <w:rsid w:val="00A2607D"/>
    <w:rsid w:val="00A264D5"/>
    <w:rsid w:val="00A26542"/>
    <w:rsid w:val="00A26638"/>
    <w:rsid w:val="00A2726A"/>
    <w:rsid w:val="00A27820"/>
    <w:rsid w:val="00A30362"/>
    <w:rsid w:val="00A3074F"/>
    <w:rsid w:val="00A30FFC"/>
    <w:rsid w:val="00A3191B"/>
    <w:rsid w:val="00A31D0C"/>
    <w:rsid w:val="00A32B09"/>
    <w:rsid w:val="00A32BFE"/>
    <w:rsid w:val="00A33BA0"/>
    <w:rsid w:val="00A33F20"/>
    <w:rsid w:val="00A343D3"/>
    <w:rsid w:val="00A348AF"/>
    <w:rsid w:val="00A34A08"/>
    <w:rsid w:val="00A34FA7"/>
    <w:rsid w:val="00A351BE"/>
    <w:rsid w:val="00A354DD"/>
    <w:rsid w:val="00A35946"/>
    <w:rsid w:val="00A35BF8"/>
    <w:rsid w:val="00A370EE"/>
    <w:rsid w:val="00A40006"/>
    <w:rsid w:val="00A400F3"/>
    <w:rsid w:val="00A41FB2"/>
    <w:rsid w:val="00A4202C"/>
    <w:rsid w:val="00A42376"/>
    <w:rsid w:val="00A429B4"/>
    <w:rsid w:val="00A42DEA"/>
    <w:rsid w:val="00A42FBE"/>
    <w:rsid w:val="00A431FE"/>
    <w:rsid w:val="00A43895"/>
    <w:rsid w:val="00A43AC2"/>
    <w:rsid w:val="00A44A50"/>
    <w:rsid w:val="00A44D7E"/>
    <w:rsid w:val="00A45104"/>
    <w:rsid w:val="00A45940"/>
    <w:rsid w:val="00A463DB"/>
    <w:rsid w:val="00A465BF"/>
    <w:rsid w:val="00A46903"/>
    <w:rsid w:val="00A4691B"/>
    <w:rsid w:val="00A4692B"/>
    <w:rsid w:val="00A46E7E"/>
    <w:rsid w:val="00A46F50"/>
    <w:rsid w:val="00A473AF"/>
    <w:rsid w:val="00A47656"/>
    <w:rsid w:val="00A50931"/>
    <w:rsid w:val="00A515C0"/>
    <w:rsid w:val="00A51AF5"/>
    <w:rsid w:val="00A51DCE"/>
    <w:rsid w:val="00A523A1"/>
    <w:rsid w:val="00A52B1D"/>
    <w:rsid w:val="00A536F8"/>
    <w:rsid w:val="00A53926"/>
    <w:rsid w:val="00A55441"/>
    <w:rsid w:val="00A55848"/>
    <w:rsid w:val="00A558FA"/>
    <w:rsid w:val="00A55A99"/>
    <w:rsid w:val="00A56ED8"/>
    <w:rsid w:val="00A571F3"/>
    <w:rsid w:val="00A574B6"/>
    <w:rsid w:val="00A57CD0"/>
    <w:rsid w:val="00A57D46"/>
    <w:rsid w:val="00A6011F"/>
    <w:rsid w:val="00A6043C"/>
    <w:rsid w:val="00A605F1"/>
    <w:rsid w:val="00A608B3"/>
    <w:rsid w:val="00A60BD3"/>
    <w:rsid w:val="00A60D66"/>
    <w:rsid w:val="00A626D2"/>
    <w:rsid w:val="00A62841"/>
    <w:rsid w:val="00A63560"/>
    <w:rsid w:val="00A6389E"/>
    <w:rsid w:val="00A64094"/>
    <w:rsid w:val="00A64794"/>
    <w:rsid w:val="00A65995"/>
    <w:rsid w:val="00A661E4"/>
    <w:rsid w:val="00A66EAA"/>
    <w:rsid w:val="00A67039"/>
    <w:rsid w:val="00A67061"/>
    <w:rsid w:val="00A67B70"/>
    <w:rsid w:val="00A702C4"/>
    <w:rsid w:val="00A70D12"/>
    <w:rsid w:val="00A70F01"/>
    <w:rsid w:val="00A71DFF"/>
    <w:rsid w:val="00A7257F"/>
    <w:rsid w:val="00A725CA"/>
    <w:rsid w:val="00A72A99"/>
    <w:rsid w:val="00A72C77"/>
    <w:rsid w:val="00A734B4"/>
    <w:rsid w:val="00A73A7D"/>
    <w:rsid w:val="00A73A88"/>
    <w:rsid w:val="00A73FC8"/>
    <w:rsid w:val="00A754B0"/>
    <w:rsid w:val="00A75C62"/>
    <w:rsid w:val="00A75FBB"/>
    <w:rsid w:val="00A761C6"/>
    <w:rsid w:val="00A76280"/>
    <w:rsid w:val="00A768E7"/>
    <w:rsid w:val="00A76D0D"/>
    <w:rsid w:val="00A76F85"/>
    <w:rsid w:val="00A77083"/>
    <w:rsid w:val="00A77211"/>
    <w:rsid w:val="00A77338"/>
    <w:rsid w:val="00A778AA"/>
    <w:rsid w:val="00A779C6"/>
    <w:rsid w:val="00A80149"/>
    <w:rsid w:val="00A8090B"/>
    <w:rsid w:val="00A80F91"/>
    <w:rsid w:val="00A81592"/>
    <w:rsid w:val="00A81C79"/>
    <w:rsid w:val="00A81E43"/>
    <w:rsid w:val="00A8223A"/>
    <w:rsid w:val="00A8232B"/>
    <w:rsid w:val="00A828B8"/>
    <w:rsid w:val="00A82B1B"/>
    <w:rsid w:val="00A8449B"/>
    <w:rsid w:val="00A85575"/>
    <w:rsid w:val="00A866AF"/>
    <w:rsid w:val="00A8677E"/>
    <w:rsid w:val="00A868C7"/>
    <w:rsid w:val="00A86B0A"/>
    <w:rsid w:val="00A86CA9"/>
    <w:rsid w:val="00A872FF"/>
    <w:rsid w:val="00A87325"/>
    <w:rsid w:val="00A8797A"/>
    <w:rsid w:val="00A87A44"/>
    <w:rsid w:val="00A87FC3"/>
    <w:rsid w:val="00A901C9"/>
    <w:rsid w:val="00A909B5"/>
    <w:rsid w:val="00A9103F"/>
    <w:rsid w:val="00A91301"/>
    <w:rsid w:val="00A9158A"/>
    <w:rsid w:val="00A918DB"/>
    <w:rsid w:val="00A9304A"/>
    <w:rsid w:val="00A9390B"/>
    <w:rsid w:val="00A93CFA"/>
    <w:rsid w:val="00A94017"/>
    <w:rsid w:val="00A9407D"/>
    <w:rsid w:val="00A9415D"/>
    <w:rsid w:val="00A9475A"/>
    <w:rsid w:val="00A948F9"/>
    <w:rsid w:val="00A94BD0"/>
    <w:rsid w:val="00A9571C"/>
    <w:rsid w:val="00A95F5D"/>
    <w:rsid w:val="00A9679D"/>
    <w:rsid w:val="00A96E08"/>
    <w:rsid w:val="00A96EF8"/>
    <w:rsid w:val="00AA0338"/>
    <w:rsid w:val="00AA09AE"/>
    <w:rsid w:val="00AA0A2A"/>
    <w:rsid w:val="00AA0EA0"/>
    <w:rsid w:val="00AA1074"/>
    <w:rsid w:val="00AA24A1"/>
    <w:rsid w:val="00AA26D1"/>
    <w:rsid w:val="00AA29F1"/>
    <w:rsid w:val="00AA2A36"/>
    <w:rsid w:val="00AA3C8F"/>
    <w:rsid w:val="00AA465E"/>
    <w:rsid w:val="00AA47A5"/>
    <w:rsid w:val="00AA51C8"/>
    <w:rsid w:val="00AA52A2"/>
    <w:rsid w:val="00AA541C"/>
    <w:rsid w:val="00AA5A72"/>
    <w:rsid w:val="00AA5D61"/>
    <w:rsid w:val="00AA69AD"/>
    <w:rsid w:val="00AA69C4"/>
    <w:rsid w:val="00AA703A"/>
    <w:rsid w:val="00AA727D"/>
    <w:rsid w:val="00AA756A"/>
    <w:rsid w:val="00AB067D"/>
    <w:rsid w:val="00AB10CA"/>
    <w:rsid w:val="00AB172C"/>
    <w:rsid w:val="00AB180D"/>
    <w:rsid w:val="00AB1B83"/>
    <w:rsid w:val="00AB233D"/>
    <w:rsid w:val="00AB2371"/>
    <w:rsid w:val="00AB2CBF"/>
    <w:rsid w:val="00AB3006"/>
    <w:rsid w:val="00AB3019"/>
    <w:rsid w:val="00AB31DF"/>
    <w:rsid w:val="00AB32E8"/>
    <w:rsid w:val="00AB3666"/>
    <w:rsid w:val="00AB51D7"/>
    <w:rsid w:val="00AB556A"/>
    <w:rsid w:val="00AB5F80"/>
    <w:rsid w:val="00AB66F1"/>
    <w:rsid w:val="00AB6901"/>
    <w:rsid w:val="00AB716B"/>
    <w:rsid w:val="00AC0689"/>
    <w:rsid w:val="00AC1C08"/>
    <w:rsid w:val="00AC1F9E"/>
    <w:rsid w:val="00AC2055"/>
    <w:rsid w:val="00AC2267"/>
    <w:rsid w:val="00AC2517"/>
    <w:rsid w:val="00AC284A"/>
    <w:rsid w:val="00AC2B02"/>
    <w:rsid w:val="00AC3755"/>
    <w:rsid w:val="00AC3B87"/>
    <w:rsid w:val="00AC44D1"/>
    <w:rsid w:val="00AC5133"/>
    <w:rsid w:val="00AC5706"/>
    <w:rsid w:val="00AC5900"/>
    <w:rsid w:val="00AC66B0"/>
    <w:rsid w:val="00AC66EA"/>
    <w:rsid w:val="00AC6963"/>
    <w:rsid w:val="00AC6E13"/>
    <w:rsid w:val="00AC71FA"/>
    <w:rsid w:val="00AC726E"/>
    <w:rsid w:val="00AC79E5"/>
    <w:rsid w:val="00AC7E89"/>
    <w:rsid w:val="00AD058A"/>
    <w:rsid w:val="00AD0D51"/>
    <w:rsid w:val="00AD1455"/>
    <w:rsid w:val="00AD16BB"/>
    <w:rsid w:val="00AD1876"/>
    <w:rsid w:val="00AD224E"/>
    <w:rsid w:val="00AD2913"/>
    <w:rsid w:val="00AD294C"/>
    <w:rsid w:val="00AD3BF3"/>
    <w:rsid w:val="00AD3E62"/>
    <w:rsid w:val="00AD4319"/>
    <w:rsid w:val="00AD44A3"/>
    <w:rsid w:val="00AD44AF"/>
    <w:rsid w:val="00AD4552"/>
    <w:rsid w:val="00AD4FA1"/>
    <w:rsid w:val="00AD505B"/>
    <w:rsid w:val="00AD5090"/>
    <w:rsid w:val="00AD5325"/>
    <w:rsid w:val="00AD5339"/>
    <w:rsid w:val="00AD55FC"/>
    <w:rsid w:val="00AD56C3"/>
    <w:rsid w:val="00AD58CF"/>
    <w:rsid w:val="00AD5924"/>
    <w:rsid w:val="00AD5974"/>
    <w:rsid w:val="00AD5A33"/>
    <w:rsid w:val="00AD6976"/>
    <w:rsid w:val="00AD71C4"/>
    <w:rsid w:val="00AD7488"/>
    <w:rsid w:val="00AD7643"/>
    <w:rsid w:val="00AD7C6D"/>
    <w:rsid w:val="00AD7D6B"/>
    <w:rsid w:val="00AE1641"/>
    <w:rsid w:val="00AE16E2"/>
    <w:rsid w:val="00AE1EB3"/>
    <w:rsid w:val="00AE2AD1"/>
    <w:rsid w:val="00AE3612"/>
    <w:rsid w:val="00AE3C3E"/>
    <w:rsid w:val="00AE4E35"/>
    <w:rsid w:val="00AE5AC7"/>
    <w:rsid w:val="00AE5C6C"/>
    <w:rsid w:val="00AE7812"/>
    <w:rsid w:val="00AF0156"/>
    <w:rsid w:val="00AF0D85"/>
    <w:rsid w:val="00AF0E96"/>
    <w:rsid w:val="00AF1C6B"/>
    <w:rsid w:val="00AF1F76"/>
    <w:rsid w:val="00AF2AC0"/>
    <w:rsid w:val="00AF325E"/>
    <w:rsid w:val="00AF38B7"/>
    <w:rsid w:val="00AF3920"/>
    <w:rsid w:val="00AF3A43"/>
    <w:rsid w:val="00AF3BD8"/>
    <w:rsid w:val="00AF44F4"/>
    <w:rsid w:val="00AF4B27"/>
    <w:rsid w:val="00AF5436"/>
    <w:rsid w:val="00AF543E"/>
    <w:rsid w:val="00AF58BA"/>
    <w:rsid w:val="00AF6060"/>
    <w:rsid w:val="00AF6DB3"/>
    <w:rsid w:val="00AF7425"/>
    <w:rsid w:val="00B00588"/>
    <w:rsid w:val="00B00615"/>
    <w:rsid w:val="00B01395"/>
    <w:rsid w:val="00B016CA"/>
    <w:rsid w:val="00B0173E"/>
    <w:rsid w:val="00B01C49"/>
    <w:rsid w:val="00B02124"/>
    <w:rsid w:val="00B0295D"/>
    <w:rsid w:val="00B02BA7"/>
    <w:rsid w:val="00B03500"/>
    <w:rsid w:val="00B03AF3"/>
    <w:rsid w:val="00B03DBC"/>
    <w:rsid w:val="00B03FB8"/>
    <w:rsid w:val="00B04338"/>
    <w:rsid w:val="00B04902"/>
    <w:rsid w:val="00B04CAC"/>
    <w:rsid w:val="00B04DA8"/>
    <w:rsid w:val="00B05173"/>
    <w:rsid w:val="00B05376"/>
    <w:rsid w:val="00B05D4E"/>
    <w:rsid w:val="00B05F67"/>
    <w:rsid w:val="00B06ABC"/>
    <w:rsid w:val="00B06DBD"/>
    <w:rsid w:val="00B0718C"/>
    <w:rsid w:val="00B074F8"/>
    <w:rsid w:val="00B07EEA"/>
    <w:rsid w:val="00B07FF8"/>
    <w:rsid w:val="00B10B71"/>
    <w:rsid w:val="00B1198E"/>
    <w:rsid w:val="00B11D70"/>
    <w:rsid w:val="00B1258B"/>
    <w:rsid w:val="00B125E3"/>
    <w:rsid w:val="00B12FE8"/>
    <w:rsid w:val="00B136AE"/>
    <w:rsid w:val="00B13DF1"/>
    <w:rsid w:val="00B15305"/>
    <w:rsid w:val="00B17748"/>
    <w:rsid w:val="00B17DD7"/>
    <w:rsid w:val="00B17DEB"/>
    <w:rsid w:val="00B200AB"/>
    <w:rsid w:val="00B2057B"/>
    <w:rsid w:val="00B206D7"/>
    <w:rsid w:val="00B2085A"/>
    <w:rsid w:val="00B208A9"/>
    <w:rsid w:val="00B21969"/>
    <w:rsid w:val="00B22183"/>
    <w:rsid w:val="00B235F5"/>
    <w:rsid w:val="00B24F97"/>
    <w:rsid w:val="00B252D6"/>
    <w:rsid w:val="00B255FF"/>
    <w:rsid w:val="00B25674"/>
    <w:rsid w:val="00B25F9A"/>
    <w:rsid w:val="00B2656F"/>
    <w:rsid w:val="00B26E7C"/>
    <w:rsid w:val="00B27362"/>
    <w:rsid w:val="00B27479"/>
    <w:rsid w:val="00B27D21"/>
    <w:rsid w:val="00B27DD0"/>
    <w:rsid w:val="00B27E16"/>
    <w:rsid w:val="00B27F78"/>
    <w:rsid w:val="00B30100"/>
    <w:rsid w:val="00B302E5"/>
    <w:rsid w:val="00B30859"/>
    <w:rsid w:val="00B3088A"/>
    <w:rsid w:val="00B30B20"/>
    <w:rsid w:val="00B315DA"/>
    <w:rsid w:val="00B31BEF"/>
    <w:rsid w:val="00B31F32"/>
    <w:rsid w:val="00B33045"/>
    <w:rsid w:val="00B337C3"/>
    <w:rsid w:val="00B33B57"/>
    <w:rsid w:val="00B33BCE"/>
    <w:rsid w:val="00B33CA8"/>
    <w:rsid w:val="00B33F02"/>
    <w:rsid w:val="00B33F18"/>
    <w:rsid w:val="00B34DB3"/>
    <w:rsid w:val="00B35097"/>
    <w:rsid w:val="00B35294"/>
    <w:rsid w:val="00B35732"/>
    <w:rsid w:val="00B368D1"/>
    <w:rsid w:val="00B36DB5"/>
    <w:rsid w:val="00B36F9E"/>
    <w:rsid w:val="00B37178"/>
    <w:rsid w:val="00B373C9"/>
    <w:rsid w:val="00B379CE"/>
    <w:rsid w:val="00B37E7D"/>
    <w:rsid w:val="00B37F78"/>
    <w:rsid w:val="00B401EC"/>
    <w:rsid w:val="00B40F22"/>
    <w:rsid w:val="00B41CBB"/>
    <w:rsid w:val="00B42076"/>
    <w:rsid w:val="00B42BCB"/>
    <w:rsid w:val="00B43685"/>
    <w:rsid w:val="00B4382D"/>
    <w:rsid w:val="00B46730"/>
    <w:rsid w:val="00B46804"/>
    <w:rsid w:val="00B46A17"/>
    <w:rsid w:val="00B472C8"/>
    <w:rsid w:val="00B47937"/>
    <w:rsid w:val="00B47F19"/>
    <w:rsid w:val="00B50226"/>
    <w:rsid w:val="00B502F3"/>
    <w:rsid w:val="00B506E2"/>
    <w:rsid w:val="00B51AFC"/>
    <w:rsid w:val="00B520DA"/>
    <w:rsid w:val="00B53314"/>
    <w:rsid w:val="00B538BF"/>
    <w:rsid w:val="00B53CBB"/>
    <w:rsid w:val="00B53CD0"/>
    <w:rsid w:val="00B54303"/>
    <w:rsid w:val="00B54E87"/>
    <w:rsid w:val="00B55328"/>
    <w:rsid w:val="00B55CED"/>
    <w:rsid w:val="00B55E43"/>
    <w:rsid w:val="00B56140"/>
    <w:rsid w:val="00B56430"/>
    <w:rsid w:val="00B56719"/>
    <w:rsid w:val="00B56D4C"/>
    <w:rsid w:val="00B573F5"/>
    <w:rsid w:val="00B57A2D"/>
    <w:rsid w:val="00B57E2F"/>
    <w:rsid w:val="00B60394"/>
    <w:rsid w:val="00B60437"/>
    <w:rsid w:val="00B608F5"/>
    <w:rsid w:val="00B612D2"/>
    <w:rsid w:val="00B61318"/>
    <w:rsid w:val="00B61907"/>
    <w:rsid w:val="00B62EC3"/>
    <w:rsid w:val="00B63116"/>
    <w:rsid w:val="00B63928"/>
    <w:rsid w:val="00B639C3"/>
    <w:rsid w:val="00B63E43"/>
    <w:rsid w:val="00B64DA0"/>
    <w:rsid w:val="00B65AFE"/>
    <w:rsid w:val="00B65BCD"/>
    <w:rsid w:val="00B66561"/>
    <w:rsid w:val="00B66A54"/>
    <w:rsid w:val="00B6720B"/>
    <w:rsid w:val="00B67ACF"/>
    <w:rsid w:val="00B67D38"/>
    <w:rsid w:val="00B70364"/>
    <w:rsid w:val="00B70621"/>
    <w:rsid w:val="00B706C3"/>
    <w:rsid w:val="00B70797"/>
    <w:rsid w:val="00B7135E"/>
    <w:rsid w:val="00B7228E"/>
    <w:rsid w:val="00B72322"/>
    <w:rsid w:val="00B7370D"/>
    <w:rsid w:val="00B73B9F"/>
    <w:rsid w:val="00B73E8E"/>
    <w:rsid w:val="00B7498E"/>
    <w:rsid w:val="00B74A44"/>
    <w:rsid w:val="00B74C26"/>
    <w:rsid w:val="00B7527A"/>
    <w:rsid w:val="00B75750"/>
    <w:rsid w:val="00B766B4"/>
    <w:rsid w:val="00B76B5C"/>
    <w:rsid w:val="00B774E7"/>
    <w:rsid w:val="00B7783D"/>
    <w:rsid w:val="00B77B59"/>
    <w:rsid w:val="00B80098"/>
    <w:rsid w:val="00B80B2E"/>
    <w:rsid w:val="00B80BAF"/>
    <w:rsid w:val="00B810C2"/>
    <w:rsid w:val="00B810F5"/>
    <w:rsid w:val="00B82833"/>
    <w:rsid w:val="00B8293B"/>
    <w:rsid w:val="00B82B28"/>
    <w:rsid w:val="00B83CF8"/>
    <w:rsid w:val="00B83F31"/>
    <w:rsid w:val="00B84160"/>
    <w:rsid w:val="00B843FB"/>
    <w:rsid w:val="00B84521"/>
    <w:rsid w:val="00B847B4"/>
    <w:rsid w:val="00B84FEC"/>
    <w:rsid w:val="00B85188"/>
    <w:rsid w:val="00B8630D"/>
    <w:rsid w:val="00B86D78"/>
    <w:rsid w:val="00B876F7"/>
    <w:rsid w:val="00B877FE"/>
    <w:rsid w:val="00B87BF3"/>
    <w:rsid w:val="00B87C32"/>
    <w:rsid w:val="00B87DED"/>
    <w:rsid w:val="00B87FC3"/>
    <w:rsid w:val="00B906A9"/>
    <w:rsid w:val="00B91043"/>
    <w:rsid w:val="00B91080"/>
    <w:rsid w:val="00B91140"/>
    <w:rsid w:val="00B911A2"/>
    <w:rsid w:val="00B914AA"/>
    <w:rsid w:val="00B91B43"/>
    <w:rsid w:val="00B91DE2"/>
    <w:rsid w:val="00B91F97"/>
    <w:rsid w:val="00B9208C"/>
    <w:rsid w:val="00B92387"/>
    <w:rsid w:val="00B92622"/>
    <w:rsid w:val="00B92829"/>
    <w:rsid w:val="00B93134"/>
    <w:rsid w:val="00B94004"/>
    <w:rsid w:val="00B94866"/>
    <w:rsid w:val="00B94D0E"/>
    <w:rsid w:val="00B94E53"/>
    <w:rsid w:val="00B950CC"/>
    <w:rsid w:val="00B95448"/>
    <w:rsid w:val="00B97698"/>
    <w:rsid w:val="00BA0747"/>
    <w:rsid w:val="00BA07C1"/>
    <w:rsid w:val="00BA08A4"/>
    <w:rsid w:val="00BA0ADB"/>
    <w:rsid w:val="00BA0C7E"/>
    <w:rsid w:val="00BA142D"/>
    <w:rsid w:val="00BA152E"/>
    <w:rsid w:val="00BA1581"/>
    <w:rsid w:val="00BA1696"/>
    <w:rsid w:val="00BA207B"/>
    <w:rsid w:val="00BA239F"/>
    <w:rsid w:val="00BA2813"/>
    <w:rsid w:val="00BA317E"/>
    <w:rsid w:val="00BA36D0"/>
    <w:rsid w:val="00BA3954"/>
    <w:rsid w:val="00BA4176"/>
    <w:rsid w:val="00BA539D"/>
    <w:rsid w:val="00BA5633"/>
    <w:rsid w:val="00BA5EB7"/>
    <w:rsid w:val="00BA62BE"/>
    <w:rsid w:val="00BA644F"/>
    <w:rsid w:val="00BA6472"/>
    <w:rsid w:val="00BA692D"/>
    <w:rsid w:val="00BA6B20"/>
    <w:rsid w:val="00BA71A6"/>
    <w:rsid w:val="00BB0606"/>
    <w:rsid w:val="00BB069C"/>
    <w:rsid w:val="00BB0AE1"/>
    <w:rsid w:val="00BB0B1F"/>
    <w:rsid w:val="00BB13FE"/>
    <w:rsid w:val="00BB18F9"/>
    <w:rsid w:val="00BB1FD8"/>
    <w:rsid w:val="00BB30A3"/>
    <w:rsid w:val="00BB30E2"/>
    <w:rsid w:val="00BB34D4"/>
    <w:rsid w:val="00BB389C"/>
    <w:rsid w:val="00BB3C82"/>
    <w:rsid w:val="00BB53A1"/>
    <w:rsid w:val="00BB584F"/>
    <w:rsid w:val="00BB6B62"/>
    <w:rsid w:val="00BB6CA3"/>
    <w:rsid w:val="00BB745A"/>
    <w:rsid w:val="00BB7C64"/>
    <w:rsid w:val="00BB7F1D"/>
    <w:rsid w:val="00BC039F"/>
    <w:rsid w:val="00BC05E2"/>
    <w:rsid w:val="00BC1FF4"/>
    <w:rsid w:val="00BC2216"/>
    <w:rsid w:val="00BC2452"/>
    <w:rsid w:val="00BC29F7"/>
    <w:rsid w:val="00BC2C1E"/>
    <w:rsid w:val="00BC2FB8"/>
    <w:rsid w:val="00BC305D"/>
    <w:rsid w:val="00BC3C8C"/>
    <w:rsid w:val="00BC4318"/>
    <w:rsid w:val="00BC4FD1"/>
    <w:rsid w:val="00BC51C0"/>
    <w:rsid w:val="00BC5CEE"/>
    <w:rsid w:val="00BC6FB9"/>
    <w:rsid w:val="00BC7F56"/>
    <w:rsid w:val="00BD0BA3"/>
    <w:rsid w:val="00BD2045"/>
    <w:rsid w:val="00BD21C4"/>
    <w:rsid w:val="00BD26AF"/>
    <w:rsid w:val="00BD2FE3"/>
    <w:rsid w:val="00BD2FE5"/>
    <w:rsid w:val="00BD30FC"/>
    <w:rsid w:val="00BD414C"/>
    <w:rsid w:val="00BD5148"/>
    <w:rsid w:val="00BD544E"/>
    <w:rsid w:val="00BD5962"/>
    <w:rsid w:val="00BD5C00"/>
    <w:rsid w:val="00BD62B4"/>
    <w:rsid w:val="00BD63E7"/>
    <w:rsid w:val="00BD669E"/>
    <w:rsid w:val="00BD6865"/>
    <w:rsid w:val="00BD6DB4"/>
    <w:rsid w:val="00BD72B5"/>
    <w:rsid w:val="00BD74F0"/>
    <w:rsid w:val="00BE0325"/>
    <w:rsid w:val="00BE08CC"/>
    <w:rsid w:val="00BE0D03"/>
    <w:rsid w:val="00BE1050"/>
    <w:rsid w:val="00BE1489"/>
    <w:rsid w:val="00BE1FCD"/>
    <w:rsid w:val="00BE2BD0"/>
    <w:rsid w:val="00BE3628"/>
    <w:rsid w:val="00BE3684"/>
    <w:rsid w:val="00BE398F"/>
    <w:rsid w:val="00BE4039"/>
    <w:rsid w:val="00BE453A"/>
    <w:rsid w:val="00BE4B6F"/>
    <w:rsid w:val="00BE4F62"/>
    <w:rsid w:val="00BE5477"/>
    <w:rsid w:val="00BE556F"/>
    <w:rsid w:val="00BE55D2"/>
    <w:rsid w:val="00BE591F"/>
    <w:rsid w:val="00BE5B9A"/>
    <w:rsid w:val="00BE635B"/>
    <w:rsid w:val="00BE655C"/>
    <w:rsid w:val="00BE6789"/>
    <w:rsid w:val="00BE7030"/>
    <w:rsid w:val="00BE71E2"/>
    <w:rsid w:val="00BE78E1"/>
    <w:rsid w:val="00BE7B16"/>
    <w:rsid w:val="00BE7E06"/>
    <w:rsid w:val="00BF068B"/>
    <w:rsid w:val="00BF07DA"/>
    <w:rsid w:val="00BF1203"/>
    <w:rsid w:val="00BF1361"/>
    <w:rsid w:val="00BF1ECD"/>
    <w:rsid w:val="00BF2051"/>
    <w:rsid w:val="00BF3171"/>
    <w:rsid w:val="00BF34F3"/>
    <w:rsid w:val="00BF3678"/>
    <w:rsid w:val="00BF3B8F"/>
    <w:rsid w:val="00BF3F26"/>
    <w:rsid w:val="00BF427B"/>
    <w:rsid w:val="00BF4280"/>
    <w:rsid w:val="00BF440B"/>
    <w:rsid w:val="00BF4412"/>
    <w:rsid w:val="00BF45C4"/>
    <w:rsid w:val="00BF4767"/>
    <w:rsid w:val="00BF4936"/>
    <w:rsid w:val="00BF4AB2"/>
    <w:rsid w:val="00BF504C"/>
    <w:rsid w:val="00BF511D"/>
    <w:rsid w:val="00BF51BA"/>
    <w:rsid w:val="00BF5445"/>
    <w:rsid w:val="00BF59B3"/>
    <w:rsid w:val="00BF5AC7"/>
    <w:rsid w:val="00BF5E2B"/>
    <w:rsid w:val="00BF71F7"/>
    <w:rsid w:val="00BF7474"/>
    <w:rsid w:val="00BF776A"/>
    <w:rsid w:val="00BF7A76"/>
    <w:rsid w:val="00BF7B3D"/>
    <w:rsid w:val="00BF7D32"/>
    <w:rsid w:val="00C0005E"/>
    <w:rsid w:val="00C006E8"/>
    <w:rsid w:val="00C00BF3"/>
    <w:rsid w:val="00C01C5F"/>
    <w:rsid w:val="00C02286"/>
    <w:rsid w:val="00C028FB"/>
    <w:rsid w:val="00C02BAF"/>
    <w:rsid w:val="00C02CD7"/>
    <w:rsid w:val="00C02E61"/>
    <w:rsid w:val="00C03DA0"/>
    <w:rsid w:val="00C03F90"/>
    <w:rsid w:val="00C042E5"/>
    <w:rsid w:val="00C04D37"/>
    <w:rsid w:val="00C053DD"/>
    <w:rsid w:val="00C059A8"/>
    <w:rsid w:val="00C05AAA"/>
    <w:rsid w:val="00C05CD0"/>
    <w:rsid w:val="00C0642C"/>
    <w:rsid w:val="00C069DA"/>
    <w:rsid w:val="00C06D10"/>
    <w:rsid w:val="00C06D5D"/>
    <w:rsid w:val="00C07739"/>
    <w:rsid w:val="00C0780B"/>
    <w:rsid w:val="00C078BF"/>
    <w:rsid w:val="00C1027C"/>
    <w:rsid w:val="00C106D8"/>
    <w:rsid w:val="00C113F6"/>
    <w:rsid w:val="00C1152D"/>
    <w:rsid w:val="00C11F3A"/>
    <w:rsid w:val="00C123C8"/>
    <w:rsid w:val="00C13CF0"/>
    <w:rsid w:val="00C13E9B"/>
    <w:rsid w:val="00C140D0"/>
    <w:rsid w:val="00C1451D"/>
    <w:rsid w:val="00C14974"/>
    <w:rsid w:val="00C15380"/>
    <w:rsid w:val="00C15F91"/>
    <w:rsid w:val="00C167E3"/>
    <w:rsid w:val="00C16E82"/>
    <w:rsid w:val="00C16F90"/>
    <w:rsid w:val="00C176A7"/>
    <w:rsid w:val="00C17841"/>
    <w:rsid w:val="00C20217"/>
    <w:rsid w:val="00C20265"/>
    <w:rsid w:val="00C207C3"/>
    <w:rsid w:val="00C2086C"/>
    <w:rsid w:val="00C20982"/>
    <w:rsid w:val="00C20D03"/>
    <w:rsid w:val="00C20D7B"/>
    <w:rsid w:val="00C220C4"/>
    <w:rsid w:val="00C220DD"/>
    <w:rsid w:val="00C23CD1"/>
    <w:rsid w:val="00C23E11"/>
    <w:rsid w:val="00C24F84"/>
    <w:rsid w:val="00C254A5"/>
    <w:rsid w:val="00C25A1D"/>
    <w:rsid w:val="00C25DF1"/>
    <w:rsid w:val="00C25E7A"/>
    <w:rsid w:val="00C261EA"/>
    <w:rsid w:val="00C269EB"/>
    <w:rsid w:val="00C26EB4"/>
    <w:rsid w:val="00C276AE"/>
    <w:rsid w:val="00C30352"/>
    <w:rsid w:val="00C308E4"/>
    <w:rsid w:val="00C30E31"/>
    <w:rsid w:val="00C31F7C"/>
    <w:rsid w:val="00C338DB"/>
    <w:rsid w:val="00C34017"/>
    <w:rsid w:val="00C345B3"/>
    <w:rsid w:val="00C34698"/>
    <w:rsid w:val="00C350F5"/>
    <w:rsid w:val="00C35302"/>
    <w:rsid w:val="00C3669B"/>
    <w:rsid w:val="00C369F4"/>
    <w:rsid w:val="00C3795A"/>
    <w:rsid w:val="00C37974"/>
    <w:rsid w:val="00C379BA"/>
    <w:rsid w:val="00C40F18"/>
    <w:rsid w:val="00C41AB9"/>
    <w:rsid w:val="00C42B04"/>
    <w:rsid w:val="00C437B8"/>
    <w:rsid w:val="00C445CF"/>
    <w:rsid w:val="00C4472C"/>
    <w:rsid w:val="00C44BB5"/>
    <w:rsid w:val="00C44C09"/>
    <w:rsid w:val="00C45546"/>
    <w:rsid w:val="00C4566E"/>
    <w:rsid w:val="00C456BD"/>
    <w:rsid w:val="00C457DF"/>
    <w:rsid w:val="00C459D7"/>
    <w:rsid w:val="00C45C79"/>
    <w:rsid w:val="00C47047"/>
    <w:rsid w:val="00C47326"/>
    <w:rsid w:val="00C475C8"/>
    <w:rsid w:val="00C47FB5"/>
    <w:rsid w:val="00C50278"/>
    <w:rsid w:val="00C5075F"/>
    <w:rsid w:val="00C51110"/>
    <w:rsid w:val="00C511B6"/>
    <w:rsid w:val="00C51417"/>
    <w:rsid w:val="00C519FC"/>
    <w:rsid w:val="00C51D8A"/>
    <w:rsid w:val="00C52090"/>
    <w:rsid w:val="00C52E80"/>
    <w:rsid w:val="00C52EC7"/>
    <w:rsid w:val="00C532FC"/>
    <w:rsid w:val="00C53631"/>
    <w:rsid w:val="00C53DB4"/>
    <w:rsid w:val="00C53F9C"/>
    <w:rsid w:val="00C54B18"/>
    <w:rsid w:val="00C55A06"/>
    <w:rsid w:val="00C56E40"/>
    <w:rsid w:val="00C570E9"/>
    <w:rsid w:val="00C57258"/>
    <w:rsid w:val="00C57595"/>
    <w:rsid w:val="00C611CE"/>
    <w:rsid w:val="00C61911"/>
    <w:rsid w:val="00C61C64"/>
    <w:rsid w:val="00C62900"/>
    <w:rsid w:val="00C62C23"/>
    <w:rsid w:val="00C63592"/>
    <w:rsid w:val="00C642D3"/>
    <w:rsid w:val="00C656BA"/>
    <w:rsid w:val="00C658B9"/>
    <w:rsid w:val="00C658C6"/>
    <w:rsid w:val="00C65FBB"/>
    <w:rsid w:val="00C66348"/>
    <w:rsid w:val="00C666C4"/>
    <w:rsid w:val="00C67AFF"/>
    <w:rsid w:val="00C7059E"/>
    <w:rsid w:val="00C7083B"/>
    <w:rsid w:val="00C7083C"/>
    <w:rsid w:val="00C714B9"/>
    <w:rsid w:val="00C715A8"/>
    <w:rsid w:val="00C717F3"/>
    <w:rsid w:val="00C71833"/>
    <w:rsid w:val="00C7269B"/>
    <w:rsid w:val="00C72B7F"/>
    <w:rsid w:val="00C72C31"/>
    <w:rsid w:val="00C7314A"/>
    <w:rsid w:val="00C73BD2"/>
    <w:rsid w:val="00C73EC7"/>
    <w:rsid w:val="00C73F19"/>
    <w:rsid w:val="00C74058"/>
    <w:rsid w:val="00C7429A"/>
    <w:rsid w:val="00C7473D"/>
    <w:rsid w:val="00C74CDC"/>
    <w:rsid w:val="00C74E40"/>
    <w:rsid w:val="00C74E61"/>
    <w:rsid w:val="00C7521E"/>
    <w:rsid w:val="00C75604"/>
    <w:rsid w:val="00C75A39"/>
    <w:rsid w:val="00C75A55"/>
    <w:rsid w:val="00C75BDF"/>
    <w:rsid w:val="00C77642"/>
    <w:rsid w:val="00C80320"/>
    <w:rsid w:val="00C80C94"/>
    <w:rsid w:val="00C8113E"/>
    <w:rsid w:val="00C82080"/>
    <w:rsid w:val="00C8300C"/>
    <w:rsid w:val="00C832F2"/>
    <w:rsid w:val="00C8349C"/>
    <w:rsid w:val="00C83DE2"/>
    <w:rsid w:val="00C84138"/>
    <w:rsid w:val="00C8431E"/>
    <w:rsid w:val="00C84CDF"/>
    <w:rsid w:val="00C8594B"/>
    <w:rsid w:val="00C85BF9"/>
    <w:rsid w:val="00C86655"/>
    <w:rsid w:val="00C876E7"/>
    <w:rsid w:val="00C87D75"/>
    <w:rsid w:val="00C90ADB"/>
    <w:rsid w:val="00C91816"/>
    <w:rsid w:val="00C91990"/>
    <w:rsid w:val="00C92262"/>
    <w:rsid w:val="00C92AE1"/>
    <w:rsid w:val="00C930D5"/>
    <w:rsid w:val="00C9391B"/>
    <w:rsid w:val="00C93AC6"/>
    <w:rsid w:val="00C944CB"/>
    <w:rsid w:val="00C9509F"/>
    <w:rsid w:val="00C96135"/>
    <w:rsid w:val="00C9698E"/>
    <w:rsid w:val="00C96A70"/>
    <w:rsid w:val="00C97136"/>
    <w:rsid w:val="00C97759"/>
    <w:rsid w:val="00C97E05"/>
    <w:rsid w:val="00CA052C"/>
    <w:rsid w:val="00CA159A"/>
    <w:rsid w:val="00CA196C"/>
    <w:rsid w:val="00CA1DC2"/>
    <w:rsid w:val="00CA2119"/>
    <w:rsid w:val="00CA222E"/>
    <w:rsid w:val="00CA257B"/>
    <w:rsid w:val="00CA27CA"/>
    <w:rsid w:val="00CA2C0E"/>
    <w:rsid w:val="00CA3155"/>
    <w:rsid w:val="00CA3606"/>
    <w:rsid w:val="00CA3680"/>
    <w:rsid w:val="00CA36B7"/>
    <w:rsid w:val="00CA4365"/>
    <w:rsid w:val="00CA4698"/>
    <w:rsid w:val="00CA4E81"/>
    <w:rsid w:val="00CA69E5"/>
    <w:rsid w:val="00CA6E52"/>
    <w:rsid w:val="00CA6FC2"/>
    <w:rsid w:val="00CA7351"/>
    <w:rsid w:val="00CB08DD"/>
    <w:rsid w:val="00CB14BC"/>
    <w:rsid w:val="00CB19B2"/>
    <w:rsid w:val="00CB1AB4"/>
    <w:rsid w:val="00CB1E88"/>
    <w:rsid w:val="00CB1F98"/>
    <w:rsid w:val="00CB22FC"/>
    <w:rsid w:val="00CB273E"/>
    <w:rsid w:val="00CB4392"/>
    <w:rsid w:val="00CB479F"/>
    <w:rsid w:val="00CB55E4"/>
    <w:rsid w:val="00CB6568"/>
    <w:rsid w:val="00CB66A5"/>
    <w:rsid w:val="00CB6BBC"/>
    <w:rsid w:val="00CB6DD2"/>
    <w:rsid w:val="00CC08D1"/>
    <w:rsid w:val="00CC0DDF"/>
    <w:rsid w:val="00CC0FA1"/>
    <w:rsid w:val="00CC10D9"/>
    <w:rsid w:val="00CC2B62"/>
    <w:rsid w:val="00CC2DAC"/>
    <w:rsid w:val="00CC3523"/>
    <w:rsid w:val="00CC35B5"/>
    <w:rsid w:val="00CC3A9E"/>
    <w:rsid w:val="00CC3F64"/>
    <w:rsid w:val="00CC46C9"/>
    <w:rsid w:val="00CC4706"/>
    <w:rsid w:val="00CC4AED"/>
    <w:rsid w:val="00CC4E03"/>
    <w:rsid w:val="00CC5734"/>
    <w:rsid w:val="00CC5AB4"/>
    <w:rsid w:val="00CC5C93"/>
    <w:rsid w:val="00CC6387"/>
    <w:rsid w:val="00CC64C2"/>
    <w:rsid w:val="00CC674D"/>
    <w:rsid w:val="00CC71A5"/>
    <w:rsid w:val="00CC75FB"/>
    <w:rsid w:val="00CC7F78"/>
    <w:rsid w:val="00CD02E7"/>
    <w:rsid w:val="00CD0F49"/>
    <w:rsid w:val="00CD1661"/>
    <w:rsid w:val="00CD1DFE"/>
    <w:rsid w:val="00CD2348"/>
    <w:rsid w:val="00CD3302"/>
    <w:rsid w:val="00CD3C8A"/>
    <w:rsid w:val="00CD48AA"/>
    <w:rsid w:val="00CD5222"/>
    <w:rsid w:val="00CD59B8"/>
    <w:rsid w:val="00CD59E5"/>
    <w:rsid w:val="00CD5AF3"/>
    <w:rsid w:val="00CD5C3F"/>
    <w:rsid w:val="00CD608F"/>
    <w:rsid w:val="00CD703C"/>
    <w:rsid w:val="00CD729C"/>
    <w:rsid w:val="00CD7598"/>
    <w:rsid w:val="00CE0063"/>
    <w:rsid w:val="00CE01A3"/>
    <w:rsid w:val="00CE0892"/>
    <w:rsid w:val="00CE0B82"/>
    <w:rsid w:val="00CE171E"/>
    <w:rsid w:val="00CE1C7E"/>
    <w:rsid w:val="00CE2291"/>
    <w:rsid w:val="00CE2390"/>
    <w:rsid w:val="00CE27A4"/>
    <w:rsid w:val="00CE2825"/>
    <w:rsid w:val="00CE394C"/>
    <w:rsid w:val="00CE3D6C"/>
    <w:rsid w:val="00CE40BE"/>
    <w:rsid w:val="00CE49CA"/>
    <w:rsid w:val="00CE4F24"/>
    <w:rsid w:val="00CE564E"/>
    <w:rsid w:val="00CE5757"/>
    <w:rsid w:val="00CE6DB0"/>
    <w:rsid w:val="00CE7EE8"/>
    <w:rsid w:val="00CF0A44"/>
    <w:rsid w:val="00CF0B91"/>
    <w:rsid w:val="00CF1357"/>
    <w:rsid w:val="00CF1738"/>
    <w:rsid w:val="00CF19EE"/>
    <w:rsid w:val="00CF2011"/>
    <w:rsid w:val="00CF2207"/>
    <w:rsid w:val="00CF2DDD"/>
    <w:rsid w:val="00CF2ECC"/>
    <w:rsid w:val="00CF3213"/>
    <w:rsid w:val="00CF3AB5"/>
    <w:rsid w:val="00CF3C66"/>
    <w:rsid w:val="00CF3EA9"/>
    <w:rsid w:val="00CF46EE"/>
    <w:rsid w:val="00CF4CEE"/>
    <w:rsid w:val="00CF5410"/>
    <w:rsid w:val="00CF5EEC"/>
    <w:rsid w:val="00CF661D"/>
    <w:rsid w:val="00CF671C"/>
    <w:rsid w:val="00CF6A9D"/>
    <w:rsid w:val="00CF7CF4"/>
    <w:rsid w:val="00D0017F"/>
    <w:rsid w:val="00D01067"/>
    <w:rsid w:val="00D012BF"/>
    <w:rsid w:val="00D0140E"/>
    <w:rsid w:val="00D01A7A"/>
    <w:rsid w:val="00D01FFD"/>
    <w:rsid w:val="00D02469"/>
    <w:rsid w:val="00D026E5"/>
    <w:rsid w:val="00D0441D"/>
    <w:rsid w:val="00D0470F"/>
    <w:rsid w:val="00D04B3F"/>
    <w:rsid w:val="00D04BE2"/>
    <w:rsid w:val="00D04FAC"/>
    <w:rsid w:val="00D0689A"/>
    <w:rsid w:val="00D06B0B"/>
    <w:rsid w:val="00D06F47"/>
    <w:rsid w:val="00D07047"/>
    <w:rsid w:val="00D074C5"/>
    <w:rsid w:val="00D077BD"/>
    <w:rsid w:val="00D079FD"/>
    <w:rsid w:val="00D07FE8"/>
    <w:rsid w:val="00D104E4"/>
    <w:rsid w:val="00D1088D"/>
    <w:rsid w:val="00D10B2E"/>
    <w:rsid w:val="00D10C4B"/>
    <w:rsid w:val="00D11ECE"/>
    <w:rsid w:val="00D1224C"/>
    <w:rsid w:val="00D1352B"/>
    <w:rsid w:val="00D136BD"/>
    <w:rsid w:val="00D13BB9"/>
    <w:rsid w:val="00D14339"/>
    <w:rsid w:val="00D1436C"/>
    <w:rsid w:val="00D14D04"/>
    <w:rsid w:val="00D15358"/>
    <w:rsid w:val="00D1567B"/>
    <w:rsid w:val="00D1589E"/>
    <w:rsid w:val="00D15CBF"/>
    <w:rsid w:val="00D161BF"/>
    <w:rsid w:val="00D16269"/>
    <w:rsid w:val="00D165AC"/>
    <w:rsid w:val="00D16B4B"/>
    <w:rsid w:val="00D16F4C"/>
    <w:rsid w:val="00D206D9"/>
    <w:rsid w:val="00D208F1"/>
    <w:rsid w:val="00D20F0C"/>
    <w:rsid w:val="00D213B6"/>
    <w:rsid w:val="00D21B85"/>
    <w:rsid w:val="00D229F1"/>
    <w:rsid w:val="00D22DFE"/>
    <w:rsid w:val="00D231BD"/>
    <w:rsid w:val="00D23CF6"/>
    <w:rsid w:val="00D23E15"/>
    <w:rsid w:val="00D24106"/>
    <w:rsid w:val="00D24519"/>
    <w:rsid w:val="00D24648"/>
    <w:rsid w:val="00D24B5A"/>
    <w:rsid w:val="00D24CEE"/>
    <w:rsid w:val="00D24D93"/>
    <w:rsid w:val="00D25FA0"/>
    <w:rsid w:val="00D26050"/>
    <w:rsid w:val="00D263E8"/>
    <w:rsid w:val="00D26885"/>
    <w:rsid w:val="00D26E62"/>
    <w:rsid w:val="00D27256"/>
    <w:rsid w:val="00D274D9"/>
    <w:rsid w:val="00D27833"/>
    <w:rsid w:val="00D27F1A"/>
    <w:rsid w:val="00D30711"/>
    <w:rsid w:val="00D30AF7"/>
    <w:rsid w:val="00D30B5E"/>
    <w:rsid w:val="00D30F50"/>
    <w:rsid w:val="00D31069"/>
    <w:rsid w:val="00D31597"/>
    <w:rsid w:val="00D32002"/>
    <w:rsid w:val="00D325DC"/>
    <w:rsid w:val="00D32C1B"/>
    <w:rsid w:val="00D32CC9"/>
    <w:rsid w:val="00D330A9"/>
    <w:rsid w:val="00D33914"/>
    <w:rsid w:val="00D3465A"/>
    <w:rsid w:val="00D34751"/>
    <w:rsid w:val="00D34880"/>
    <w:rsid w:val="00D34FD5"/>
    <w:rsid w:val="00D351DA"/>
    <w:rsid w:val="00D35635"/>
    <w:rsid w:val="00D35854"/>
    <w:rsid w:val="00D35BA6"/>
    <w:rsid w:val="00D36147"/>
    <w:rsid w:val="00D36304"/>
    <w:rsid w:val="00D3636C"/>
    <w:rsid w:val="00D36C26"/>
    <w:rsid w:val="00D41787"/>
    <w:rsid w:val="00D41865"/>
    <w:rsid w:val="00D4258B"/>
    <w:rsid w:val="00D4298C"/>
    <w:rsid w:val="00D42F06"/>
    <w:rsid w:val="00D435FE"/>
    <w:rsid w:val="00D4389C"/>
    <w:rsid w:val="00D439FB"/>
    <w:rsid w:val="00D43ABA"/>
    <w:rsid w:val="00D44495"/>
    <w:rsid w:val="00D44666"/>
    <w:rsid w:val="00D457DB"/>
    <w:rsid w:val="00D45FE0"/>
    <w:rsid w:val="00D4631C"/>
    <w:rsid w:val="00D471D8"/>
    <w:rsid w:val="00D4741B"/>
    <w:rsid w:val="00D47662"/>
    <w:rsid w:val="00D5076A"/>
    <w:rsid w:val="00D50D02"/>
    <w:rsid w:val="00D515DB"/>
    <w:rsid w:val="00D51CFD"/>
    <w:rsid w:val="00D522BC"/>
    <w:rsid w:val="00D5264B"/>
    <w:rsid w:val="00D52B29"/>
    <w:rsid w:val="00D53897"/>
    <w:rsid w:val="00D53C2F"/>
    <w:rsid w:val="00D53C94"/>
    <w:rsid w:val="00D54769"/>
    <w:rsid w:val="00D54A1F"/>
    <w:rsid w:val="00D55506"/>
    <w:rsid w:val="00D55A61"/>
    <w:rsid w:val="00D55B6F"/>
    <w:rsid w:val="00D55B8E"/>
    <w:rsid w:val="00D55C0D"/>
    <w:rsid w:val="00D562E0"/>
    <w:rsid w:val="00D56536"/>
    <w:rsid w:val="00D566DD"/>
    <w:rsid w:val="00D571F8"/>
    <w:rsid w:val="00D57EB4"/>
    <w:rsid w:val="00D60535"/>
    <w:rsid w:val="00D60C8D"/>
    <w:rsid w:val="00D60CA1"/>
    <w:rsid w:val="00D60CAC"/>
    <w:rsid w:val="00D60F02"/>
    <w:rsid w:val="00D60FFC"/>
    <w:rsid w:val="00D611B7"/>
    <w:rsid w:val="00D614CC"/>
    <w:rsid w:val="00D615F5"/>
    <w:rsid w:val="00D61679"/>
    <w:rsid w:val="00D619A1"/>
    <w:rsid w:val="00D61AEB"/>
    <w:rsid w:val="00D6203C"/>
    <w:rsid w:val="00D624C4"/>
    <w:rsid w:val="00D62BF1"/>
    <w:rsid w:val="00D62DF7"/>
    <w:rsid w:val="00D631BD"/>
    <w:rsid w:val="00D636CB"/>
    <w:rsid w:val="00D6371D"/>
    <w:rsid w:val="00D64AA2"/>
    <w:rsid w:val="00D64D60"/>
    <w:rsid w:val="00D64F2C"/>
    <w:rsid w:val="00D65362"/>
    <w:rsid w:val="00D65680"/>
    <w:rsid w:val="00D65863"/>
    <w:rsid w:val="00D65B2E"/>
    <w:rsid w:val="00D6604F"/>
    <w:rsid w:val="00D66133"/>
    <w:rsid w:val="00D6651E"/>
    <w:rsid w:val="00D66FCC"/>
    <w:rsid w:val="00D673D1"/>
    <w:rsid w:val="00D675D3"/>
    <w:rsid w:val="00D72FFF"/>
    <w:rsid w:val="00D73815"/>
    <w:rsid w:val="00D73D51"/>
    <w:rsid w:val="00D7581C"/>
    <w:rsid w:val="00D75B8D"/>
    <w:rsid w:val="00D762E6"/>
    <w:rsid w:val="00D764DA"/>
    <w:rsid w:val="00D81677"/>
    <w:rsid w:val="00D81AD4"/>
    <w:rsid w:val="00D829D0"/>
    <w:rsid w:val="00D83883"/>
    <w:rsid w:val="00D83A21"/>
    <w:rsid w:val="00D83AB4"/>
    <w:rsid w:val="00D83BBD"/>
    <w:rsid w:val="00D83D6F"/>
    <w:rsid w:val="00D84306"/>
    <w:rsid w:val="00D845AE"/>
    <w:rsid w:val="00D845D0"/>
    <w:rsid w:val="00D84912"/>
    <w:rsid w:val="00D84D3F"/>
    <w:rsid w:val="00D85353"/>
    <w:rsid w:val="00D8561D"/>
    <w:rsid w:val="00D8591B"/>
    <w:rsid w:val="00D86823"/>
    <w:rsid w:val="00D86DB9"/>
    <w:rsid w:val="00D87348"/>
    <w:rsid w:val="00D87BA8"/>
    <w:rsid w:val="00D90169"/>
    <w:rsid w:val="00D909F7"/>
    <w:rsid w:val="00D927D3"/>
    <w:rsid w:val="00D92C90"/>
    <w:rsid w:val="00D931B9"/>
    <w:rsid w:val="00D931EF"/>
    <w:rsid w:val="00D93809"/>
    <w:rsid w:val="00D93D68"/>
    <w:rsid w:val="00D93DDF"/>
    <w:rsid w:val="00D945A9"/>
    <w:rsid w:val="00D948EE"/>
    <w:rsid w:val="00D95491"/>
    <w:rsid w:val="00D959B6"/>
    <w:rsid w:val="00D959DB"/>
    <w:rsid w:val="00D966E1"/>
    <w:rsid w:val="00D968B2"/>
    <w:rsid w:val="00D96B81"/>
    <w:rsid w:val="00D97DF9"/>
    <w:rsid w:val="00DA01B5"/>
    <w:rsid w:val="00DA02BA"/>
    <w:rsid w:val="00DA03A9"/>
    <w:rsid w:val="00DA0D51"/>
    <w:rsid w:val="00DA1454"/>
    <w:rsid w:val="00DA1567"/>
    <w:rsid w:val="00DA16BE"/>
    <w:rsid w:val="00DA34FF"/>
    <w:rsid w:val="00DA39E1"/>
    <w:rsid w:val="00DA3D0B"/>
    <w:rsid w:val="00DA415D"/>
    <w:rsid w:val="00DA44B0"/>
    <w:rsid w:val="00DA4CF8"/>
    <w:rsid w:val="00DA5A29"/>
    <w:rsid w:val="00DA5FA3"/>
    <w:rsid w:val="00DA704B"/>
    <w:rsid w:val="00DA79F8"/>
    <w:rsid w:val="00DB0385"/>
    <w:rsid w:val="00DB0D7F"/>
    <w:rsid w:val="00DB0DB3"/>
    <w:rsid w:val="00DB0E92"/>
    <w:rsid w:val="00DB0FA4"/>
    <w:rsid w:val="00DB158C"/>
    <w:rsid w:val="00DB15B7"/>
    <w:rsid w:val="00DB16B9"/>
    <w:rsid w:val="00DB2B58"/>
    <w:rsid w:val="00DB2FEC"/>
    <w:rsid w:val="00DB34F7"/>
    <w:rsid w:val="00DB35EC"/>
    <w:rsid w:val="00DB4584"/>
    <w:rsid w:val="00DB5230"/>
    <w:rsid w:val="00DB5A7C"/>
    <w:rsid w:val="00DB5B45"/>
    <w:rsid w:val="00DB5DF3"/>
    <w:rsid w:val="00DB6269"/>
    <w:rsid w:val="00DB6FD6"/>
    <w:rsid w:val="00DB753D"/>
    <w:rsid w:val="00DB7B91"/>
    <w:rsid w:val="00DC0791"/>
    <w:rsid w:val="00DC0996"/>
    <w:rsid w:val="00DC1DB6"/>
    <w:rsid w:val="00DC294F"/>
    <w:rsid w:val="00DC2E7A"/>
    <w:rsid w:val="00DC3FBD"/>
    <w:rsid w:val="00DC4A4C"/>
    <w:rsid w:val="00DC516E"/>
    <w:rsid w:val="00DC587A"/>
    <w:rsid w:val="00DC5EC6"/>
    <w:rsid w:val="00DC608D"/>
    <w:rsid w:val="00DC66F9"/>
    <w:rsid w:val="00DC7586"/>
    <w:rsid w:val="00DD0022"/>
    <w:rsid w:val="00DD0463"/>
    <w:rsid w:val="00DD0565"/>
    <w:rsid w:val="00DD059D"/>
    <w:rsid w:val="00DD0A69"/>
    <w:rsid w:val="00DD0B72"/>
    <w:rsid w:val="00DD0E32"/>
    <w:rsid w:val="00DD1421"/>
    <w:rsid w:val="00DD1B59"/>
    <w:rsid w:val="00DD1E7A"/>
    <w:rsid w:val="00DD20E5"/>
    <w:rsid w:val="00DD272B"/>
    <w:rsid w:val="00DD350D"/>
    <w:rsid w:val="00DD3563"/>
    <w:rsid w:val="00DD3D45"/>
    <w:rsid w:val="00DD43EB"/>
    <w:rsid w:val="00DD4531"/>
    <w:rsid w:val="00DD49FC"/>
    <w:rsid w:val="00DD4C12"/>
    <w:rsid w:val="00DD4EBA"/>
    <w:rsid w:val="00DD50F8"/>
    <w:rsid w:val="00DD5685"/>
    <w:rsid w:val="00DD585E"/>
    <w:rsid w:val="00DD594E"/>
    <w:rsid w:val="00DD667D"/>
    <w:rsid w:val="00DD67F3"/>
    <w:rsid w:val="00DD6E11"/>
    <w:rsid w:val="00DD7244"/>
    <w:rsid w:val="00DD74A3"/>
    <w:rsid w:val="00DD7B1C"/>
    <w:rsid w:val="00DD7F83"/>
    <w:rsid w:val="00DE034C"/>
    <w:rsid w:val="00DE0960"/>
    <w:rsid w:val="00DE0ED9"/>
    <w:rsid w:val="00DE1B3B"/>
    <w:rsid w:val="00DE279F"/>
    <w:rsid w:val="00DE2A8D"/>
    <w:rsid w:val="00DE318E"/>
    <w:rsid w:val="00DE3F0F"/>
    <w:rsid w:val="00DE4CD7"/>
    <w:rsid w:val="00DE4D19"/>
    <w:rsid w:val="00DE515C"/>
    <w:rsid w:val="00DE5932"/>
    <w:rsid w:val="00DE5E44"/>
    <w:rsid w:val="00DE68FB"/>
    <w:rsid w:val="00DE6EEA"/>
    <w:rsid w:val="00DE6F47"/>
    <w:rsid w:val="00DE78A2"/>
    <w:rsid w:val="00DF0115"/>
    <w:rsid w:val="00DF04C6"/>
    <w:rsid w:val="00DF072B"/>
    <w:rsid w:val="00DF09DF"/>
    <w:rsid w:val="00DF0D72"/>
    <w:rsid w:val="00DF1DAE"/>
    <w:rsid w:val="00DF2874"/>
    <w:rsid w:val="00DF30E9"/>
    <w:rsid w:val="00DF343F"/>
    <w:rsid w:val="00DF3C15"/>
    <w:rsid w:val="00DF4243"/>
    <w:rsid w:val="00DF4600"/>
    <w:rsid w:val="00DF4D05"/>
    <w:rsid w:val="00DF5496"/>
    <w:rsid w:val="00DF5AF5"/>
    <w:rsid w:val="00DF5C72"/>
    <w:rsid w:val="00DF6843"/>
    <w:rsid w:val="00DF6F8E"/>
    <w:rsid w:val="00DF6FAB"/>
    <w:rsid w:val="00DF7423"/>
    <w:rsid w:val="00DF7B12"/>
    <w:rsid w:val="00DF7EDF"/>
    <w:rsid w:val="00E00387"/>
    <w:rsid w:val="00E00532"/>
    <w:rsid w:val="00E00D74"/>
    <w:rsid w:val="00E017E9"/>
    <w:rsid w:val="00E0202F"/>
    <w:rsid w:val="00E0223B"/>
    <w:rsid w:val="00E0262A"/>
    <w:rsid w:val="00E02B18"/>
    <w:rsid w:val="00E02C62"/>
    <w:rsid w:val="00E02D5C"/>
    <w:rsid w:val="00E0328D"/>
    <w:rsid w:val="00E03FE5"/>
    <w:rsid w:val="00E04247"/>
    <w:rsid w:val="00E0437E"/>
    <w:rsid w:val="00E04498"/>
    <w:rsid w:val="00E04685"/>
    <w:rsid w:val="00E04BF8"/>
    <w:rsid w:val="00E04C3A"/>
    <w:rsid w:val="00E04D6A"/>
    <w:rsid w:val="00E0597B"/>
    <w:rsid w:val="00E05D5E"/>
    <w:rsid w:val="00E05E73"/>
    <w:rsid w:val="00E06562"/>
    <w:rsid w:val="00E07B1F"/>
    <w:rsid w:val="00E07FD7"/>
    <w:rsid w:val="00E10260"/>
    <w:rsid w:val="00E10362"/>
    <w:rsid w:val="00E104E4"/>
    <w:rsid w:val="00E10626"/>
    <w:rsid w:val="00E1279F"/>
    <w:rsid w:val="00E1443E"/>
    <w:rsid w:val="00E14C23"/>
    <w:rsid w:val="00E15046"/>
    <w:rsid w:val="00E153D1"/>
    <w:rsid w:val="00E16530"/>
    <w:rsid w:val="00E166F9"/>
    <w:rsid w:val="00E1675D"/>
    <w:rsid w:val="00E16F64"/>
    <w:rsid w:val="00E1712E"/>
    <w:rsid w:val="00E17E89"/>
    <w:rsid w:val="00E212F8"/>
    <w:rsid w:val="00E225C3"/>
    <w:rsid w:val="00E22978"/>
    <w:rsid w:val="00E22B40"/>
    <w:rsid w:val="00E22FDB"/>
    <w:rsid w:val="00E22FF6"/>
    <w:rsid w:val="00E234D2"/>
    <w:rsid w:val="00E23D7D"/>
    <w:rsid w:val="00E246A0"/>
    <w:rsid w:val="00E2491F"/>
    <w:rsid w:val="00E255CB"/>
    <w:rsid w:val="00E2596C"/>
    <w:rsid w:val="00E25CFF"/>
    <w:rsid w:val="00E25DDC"/>
    <w:rsid w:val="00E263CE"/>
    <w:rsid w:val="00E26A79"/>
    <w:rsid w:val="00E313B9"/>
    <w:rsid w:val="00E31C55"/>
    <w:rsid w:val="00E32060"/>
    <w:rsid w:val="00E321BB"/>
    <w:rsid w:val="00E32FE5"/>
    <w:rsid w:val="00E32FEC"/>
    <w:rsid w:val="00E337A1"/>
    <w:rsid w:val="00E33D0C"/>
    <w:rsid w:val="00E33D4D"/>
    <w:rsid w:val="00E34D03"/>
    <w:rsid w:val="00E354FF"/>
    <w:rsid w:val="00E3610B"/>
    <w:rsid w:val="00E36182"/>
    <w:rsid w:val="00E3627C"/>
    <w:rsid w:val="00E36B35"/>
    <w:rsid w:val="00E36EE8"/>
    <w:rsid w:val="00E370A2"/>
    <w:rsid w:val="00E3711B"/>
    <w:rsid w:val="00E3743B"/>
    <w:rsid w:val="00E37460"/>
    <w:rsid w:val="00E37613"/>
    <w:rsid w:val="00E40F35"/>
    <w:rsid w:val="00E40FE3"/>
    <w:rsid w:val="00E4143A"/>
    <w:rsid w:val="00E417EA"/>
    <w:rsid w:val="00E42142"/>
    <w:rsid w:val="00E4244A"/>
    <w:rsid w:val="00E43312"/>
    <w:rsid w:val="00E438F9"/>
    <w:rsid w:val="00E443D1"/>
    <w:rsid w:val="00E45045"/>
    <w:rsid w:val="00E452E9"/>
    <w:rsid w:val="00E45327"/>
    <w:rsid w:val="00E4564D"/>
    <w:rsid w:val="00E459F3"/>
    <w:rsid w:val="00E45D2C"/>
    <w:rsid w:val="00E46445"/>
    <w:rsid w:val="00E46670"/>
    <w:rsid w:val="00E46725"/>
    <w:rsid w:val="00E46923"/>
    <w:rsid w:val="00E51629"/>
    <w:rsid w:val="00E51F62"/>
    <w:rsid w:val="00E52D8F"/>
    <w:rsid w:val="00E53423"/>
    <w:rsid w:val="00E53690"/>
    <w:rsid w:val="00E5381C"/>
    <w:rsid w:val="00E54952"/>
    <w:rsid w:val="00E554D6"/>
    <w:rsid w:val="00E56391"/>
    <w:rsid w:val="00E56691"/>
    <w:rsid w:val="00E5688A"/>
    <w:rsid w:val="00E5711A"/>
    <w:rsid w:val="00E57692"/>
    <w:rsid w:val="00E57C8B"/>
    <w:rsid w:val="00E57D3E"/>
    <w:rsid w:val="00E60522"/>
    <w:rsid w:val="00E60BB2"/>
    <w:rsid w:val="00E60E27"/>
    <w:rsid w:val="00E61693"/>
    <w:rsid w:val="00E61AB3"/>
    <w:rsid w:val="00E62333"/>
    <w:rsid w:val="00E625D3"/>
    <w:rsid w:val="00E63712"/>
    <w:rsid w:val="00E63C80"/>
    <w:rsid w:val="00E64048"/>
    <w:rsid w:val="00E64649"/>
    <w:rsid w:val="00E64C2A"/>
    <w:rsid w:val="00E64E71"/>
    <w:rsid w:val="00E6558A"/>
    <w:rsid w:val="00E65B5E"/>
    <w:rsid w:val="00E66257"/>
    <w:rsid w:val="00E66431"/>
    <w:rsid w:val="00E66806"/>
    <w:rsid w:val="00E66D97"/>
    <w:rsid w:val="00E67388"/>
    <w:rsid w:val="00E67A4C"/>
    <w:rsid w:val="00E67EC0"/>
    <w:rsid w:val="00E67FA6"/>
    <w:rsid w:val="00E7045B"/>
    <w:rsid w:val="00E70ACA"/>
    <w:rsid w:val="00E70EA2"/>
    <w:rsid w:val="00E71EA4"/>
    <w:rsid w:val="00E71F65"/>
    <w:rsid w:val="00E72853"/>
    <w:rsid w:val="00E740CD"/>
    <w:rsid w:val="00E7494E"/>
    <w:rsid w:val="00E74BC9"/>
    <w:rsid w:val="00E75A75"/>
    <w:rsid w:val="00E75F1E"/>
    <w:rsid w:val="00E76765"/>
    <w:rsid w:val="00E76B5F"/>
    <w:rsid w:val="00E774A2"/>
    <w:rsid w:val="00E7750E"/>
    <w:rsid w:val="00E77801"/>
    <w:rsid w:val="00E805C4"/>
    <w:rsid w:val="00E80A70"/>
    <w:rsid w:val="00E80B3F"/>
    <w:rsid w:val="00E81113"/>
    <w:rsid w:val="00E81D57"/>
    <w:rsid w:val="00E81EB0"/>
    <w:rsid w:val="00E820EB"/>
    <w:rsid w:val="00E826DD"/>
    <w:rsid w:val="00E827E7"/>
    <w:rsid w:val="00E82DF8"/>
    <w:rsid w:val="00E83A03"/>
    <w:rsid w:val="00E8449D"/>
    <w:rsid w:val="00E845EF"/>
    <w:rsid w:val="00E84847"/>
    <w:rsid w:val="00E84921"/>
    <w:rsid w:val="00E84C38"/>
    <w:rsid w:val="00E8505A"/>
    <w:rsid w:val="00E85083"/>
    <w:rsid w:val="00E8681C"/>
    <w:rsid w:val="00E9010F"/>
    <w:rsid w:val="00E90128"/>
    <w:rsid w:val="00E902B1"/>
    <w:rsid w:val="00E9081C"/>
    <w:rsid w:val="00E908E8"/>
    <w:rsid w:val="00E9090E"/>
    <w:rsid w:val="00E91011"/>
    <w:rsid w:val="00E9132F"/>
    <w:rsid w:val="00E915CB"/>
    <w:rsid w:val="00E91E28"/>
    <w:rsid w:val="00E92201"/>
    <w:rsid w:val="00E924C4"/>
    <w:rsid w:val="00E92D5B"/>
    <w:rsid w:val="00E93363"/>
    <w:rsid w:val="00E93928"/>
    <w:rsid w:val="00E939C3"/>
    <w:rsid w:val="00E93BA2"/>
    <w:rsid w:val="00E93D4F"/>
    <w:rsid w:val="00E93D8E"/>
    <w:rsid w:val="00E94A10"/>
    <w:rsid w:val="00E95315"/>
    <w:rsid w:val="00E95D41"/>
    <w:rsid w:val="00E96FC2"/>
    <w:rsid w:val="00E97288"/>
    <w:rsid w:val="00E97B74"/>
    <w:rsid w:val="00E97D51"/>
    <w:rsid w:val="00EA0316"/>
    <w:rsid w:val="00EA0B15"/>
    <w:rsid w:val="00EA0B4A"/>
    <w:rsid w:val="00EA15B1"/>
    <w:rsid w:val="00EA165A"/>
    <w:rsid w:val="00EA1679"/>
    <w:rsid w:val="00EA2E1F"/>
    <w:rsid w:val="00EA3C1B"/>
    <w:rsid w:val="00EA3F9D"/>
    <w:rsid w:val="00EA4645"/>
    <w:rsid w:val="00EA4B62"/>
    <w:rsid w:val="00EA6A72"/>
    <w:rsid w:val="00EA6EE7"/>
    <w:rsid w:val="00EA71A1"/>
    <w:rsid w:val="00EA7ABE"/>
    <w:rsid w:val="00EB008C"/>
    <w:rsid w:val="00EB0CFA"/>
    <w:rsid w:val="00EB0FFE"/>
    <w:rsid w:val="00EB143D"/>
    <w:rsid w:val="00EB1710"/>
    <w:rsid w:val="00EB18DD"/>
    <w:rsid w:val="00EB1975"/>
    <w:rsid w:val="00EB388F"/>
    <w:rsid w:val="00EB3CFB"/>
    <w:rsid w:val="00EB3E24"/>
    <w:rsid w:val="00EB3F06"/>
    <w:rsid w:val="00EB46F0"/>
    <w:rsid w:val="00EB51D3"/>
    <w:rsid w:val="00EB5FB2"/>
    <w:rsid w:val="00EB6115"/>
    <w:rsid w:val="00EB644D"/>
    <w:rsid w:val="00EB6F1B"/>
    <w:rsid w:val="00EB77F2"/>
    <w:rsid w:val="00EB789D"/>
    <w:rsid w:val="00EB7CF1"/>
    <w:rsid w:val="00EC0E79"/>
    <w:rsid w:val="00EC0EE4"/>
    <w:rsid w:val="00EC196F"/>
    <w:rsid w:val="00EC2FDE"/>
    <w:rsid w:val="00EC3842"/>
    <w:rsid w:val="00EC3F02"/>
    <w:rsid w:val="00EC3F6A"/>
    <w:rsid w:val="00EC3F72"/>
    <w:rsid w:val="00EC3FF7"/>
    <w:rsid w:val="00EC4629"/>
    <w:rsid w:val="00EC517B"/>
    <w:rsid w:val="00EC5F09"/>
    <w:rsid w:val="00EC69D0"/>
    <w:rsid w:val="00EC7759"/>
    <w:rsid w:val="00ED03B1"/>
    <w:rsid w:val="00ED04E7"/>
    <w:rsid w:val="00ED142F"/>
    <w:rsid w:val="00ED1637"/>
    <w:rsid w:val="00ED1755"/>
    <w:rsid w:val="00ED243B"/>
    <w:rsid w:val="00ED3F52"/>
    <w:rsid w:val="00ED3F5C"/>
    <w:rsid w:val="00ED536A"/>
    <w:rsid w:val="00ED5FC0"/>
    <w:rsid w:val="00ED6AFE"/>
    <w:rsid w:val="00ED6CC8"/>
    <w:rsid w:val="00ED7B78"/>
    <w:rsid w:val="00ED7D9E"/>
    <w:rsid w:val="00ED7F87"/>
    <w:rsid w:val="00EE114B"/>
    <w:rsid w:val="00EE1B3A"/>
    <w:rsid w:val="00EE255E"/>
    <w:rsid w:val="00EE2D4C"/>
    <w:rsid w:val="00EE34E6"/>
    <w:rsid w:val="00EE3940"/>
    <w:rsid w:val="00EE3995"/>
    <w:rsid w:val="00EE4BA3"/>
    <w:rsid w:val="00EE57F7"/>
    <w:rsid w:val="00EE5928"/>
    <w:rsid w:val="00EE5F8D"/>
    <w:rsid w:val="00EE603D"/>
    <w:rsid w:val="00EE6088"/>
    <w:rsid w:val="00EE6EAE"/>
    <w:rsid w:val="00EF0110"/>
    <w:rsid w:val="00EF0342"/>
    <w:rsid w:val="00EF085B"/>
    <w:rsid w:val="00EF0879"/>
    <w:rsid w:val="00EF0B94"/>
    <w:rsid w:val="00EF0D45"/>
    <w:rsid w:val="00EF178B"/>
    <w:rsid w:val="00EF1F96"/>
    <w:rsid w:val="00EF3482"/>
    <w:rsid w:val="00EF3EA5"/>
    <w:rsid w:val="00EF4074"/>
    <w:rsid w:val="00EF4AE6"/>
    <w:rsid w:val="00EF50B5"/>
    <w:rsid w:val="00EF7DBF"/>
    <w:rsid w:val="00F00250"/>
    <w:rsid w:val="00F017B4"/>
    <w:rsid w:val="00F0190B"/>
    <w:rsid w:val="00F01BCA"/>
    <w:rsid w:val="00F01C8D"/>
    <w:rsid w:val="00F02943"/>
    <w:rsid w:val="00F032D9"/>
    <w:rsid w:val="00F03487"/>
    <w:rsid w:val="00F04C40"/>
    <w:rsid w:val="00F04D31"/>
    <w:rsid w:val="00F04E51"/>
    <w:rsid w:val="00F04FC6"/>
    <w:rsid w:val="00F04FDA"/>
    <w:rsid w:val="00F056DF"/>
    <w:rsid w:val="00F061C9"/>
    <w:rsid w:val="00F06736"/>
    <w:rsid w:val="00F06C45"/>
    <w:rsid w:val="00F06F3B"/>
    <w:rsid w:val="00F070B6"/>
    <w:rsid w:val="00F07342"/>
    <w:rsid w:val="00F0785C"/>
    <w:rsid w:val="00F079DB"/>
    <w:rsid w:val="00F07CB6"/>
    <w:rsid w:val="00F07E30"/>
    <w:rsid w:val="00F1028A"/>
    <w:rsid w:val="00F10BD8"/>
    <w:rsid w:val="00F111FE"/>
    <w:rsid w:val="00F11C6E"/>
    <w:rsid w:val="00F12CEA"/>
    <w:rsid w:val="00F13005"/>
    <w:rsid w:val="00F133A5"/>
    <w:rsid w:val="00F13ED4"/>
    <w:rsid w:val="00F14EE0"/>
    <w:rsid w:val="00F1546C"/>
    <w:rsid w:val="00F1606A"/>
    <w:rsid w:val="00F162D9"/>
    <w:rsid w:val="00F16FD4"/>
    <w:rsid w:val="00F1712C"/>
    <w:rsid w:val="00F17424"/>
    <w:rsid w:val="00F17508"/>
    <w:rsid w:val="00F176BF"/>
    <w:rsid w:val="00F17D31"/>
    <w:rsid w:val="00F17F2F"/>
    <w:rsid w:val="00F20F4C"/>
    <w:rsid w:val="00F20FBF"/>
    <w:rsid w:val="00F2139E"/>
    <w:rsid w:val="00F221C8"/>
    <w:rsid w:val="00F222F1"/>
    <w:rsid w:val="00F222FE"/>
    <w:rsid w:val="00F22C15"/>
    <w:rsid w:val="00F22DFB"/>
    <w:rsid w:val="00F23085"/>
    <w:rsid w:val="00F23ADD"/>
    <w:rsid w:val="00F24561"/>
    <w:rsid w:val="00F24637"/>
    <w:rsid w:val="00F2471E"/>
    <w:rsid w:val="00F250F1"/>
    <w:rsid w:val="00F252DD"/>
    <w:rsid w:val="00F2655F"/>
    <w:rsid w:val="00F265D1"/>
    <w:rsid w:val="00F2668E"/>
    <w:rsid w:val="00F2676E"/>
    <w:rsid w:val="00F26826"/>
    <w:rsid w:val="00F27CE6"/>
    <w:rsid w:val="00F27E8D"/>
    <w:rsid w:val="00F3006D"/>
    <w:rsid w:val="00F304C3"/>
    <w:rsid w:val="00F31750"/>
    <w:rsid w:val="00F32A27"/>
    <w:rsid w:val="00F32BD7"/>
    <w:rsid w:val="00F33012"/>
    <w:rsid w:val="00F3313C"/>
    <w:rsid w:val="00F33C9D"/>
    <w:rsid w:val="00F33C9E"/>
    <w:rsid w:val="00F33CA3"/>
    <w:rsid w:val="00F34A79"/>
    <w:rsid w:val="00F34A9C"/>
    <w:rsid w:val="00F34D4B"/>
    <w:rsid w:val="00F35FFE"/>
    <w:rsid w:val="00F36578"/>
    <w:rsid w:val="00F3694E"/>
    <w:rsid w:val="00F374A6"/>
    <w:rsid w:val="00F37648"/>
    <w:rsid w:val="00F406FC"/>
    <w:rsid w:val="00F40B75"/>
    <w:rsid w:val="00F40EBA"/>
    <w:rsid w:val="00F41405"/>
    <w:rsid w:val="00F418C3"/>
    <w:rsid w:val="00F41EC3"/>
    <w:rsid w:val="00F4297C"/>
    <w:rsid w:val="00F429AD"/>
    <w:rsid w:val="00F42BBE"/>
    <w:rsid w:val="00F42DE0"/>
    <w:rsid w:val="00F4353E"/>
    <w:rsid w:val="00F44CE4"/>
    <w:rsid w:val="00F45B28"/>
    <w:rsid w:val="00F4679C"/>
    <w:rsid w:val="00F46C61"/>
    <w:rsid w:val="00F46D44"/>
    <w:rsid w:val="00F5012C"/>
    <w:rsid w:val="00F50AA6"/>
    <w:rsid w:val="00F51271"/>
    <w:rsid w:val="00F51396"/>
    <w:rsid w:val="00F51BA7"/>
    <w:rsid w:val="00F52214"/>
    <w:rsid w:val="00F52391"/>
    <w:rsid w:val="00F52903"/>
    <w:rsid w:val="00F5296C"/>
    <w:rsid w:val="00F53087"/>
    <w:rsid w:val="00F53237"/>
    <w:rsid w:val="00F534A2"/>
    <w:rsid w:val="00F53D27"/>
    <w:rsid w:val="00F53EC7"/>
    <w:rsid w:val="00F53F78"/>
    <w:rsid w:val="00F5435B"/>
    <w:rsid w:val="00F553E2"/>
    <w:rsid w:val="00F554E0"/>
    <w:rsid w:val="00F56EB6"/>
    <w:rsid w:val="00F579EE"/>
    <w:rsid w:val="00F57EBB"/>
    <w:rsid w:val="00F57FC3"/>
    <w:rsid w:val="00F60D54"/>
    <w:rsid w:val="00F61406"/>
    <w:rsid w:val="00F61427"/>
    <w:rsid w:val="00F619D2"/>
    <w:rsid w:val="00F61A04"/>
    <w:rsid w:val="00F61ECC"/>
    <w:rsid w:val="00F61FBD"/>
    <w:rsid w:val="00F6239C"/>
    <w:rsid w:val="00F626E1"/>
    <w:rsid w:val="00F63AB5"/>
    <w:rsid w:val="00F63DCB"/>
    <w:rsid w:val="00F640F0"/>
    <w:rsid w:val="00F64902"/>
    <w:rsid w:val="00F64B51"/>
    <w:rsid w:val="00F65637"/>
    <w:rsid w:val="00F6588C"/>
    <w:rsid w:val="00F659E8"/>
    <w:rsid w:val="00F660CF"/>
    <w:rsid w:val="00F671D8"/>
    <w:rsid w:val="00F6774A"/>
    <w:rsid w:val="00F67A3D"/>
    <w:rsid w:val="00F70204"/>
    <w:rsid w:val="00F70462"/>
    <w:rsid w:val="00F70BBC"/>
    <w:rsid w:val="00F713A0"/>
    <w:rsid w:val="00F721AE"/>
    <w:rsid w:val="00F72531"/>
    <w:rsid w:val="00F732AD"/>
    <w:rsid w:val="00F732C2"/>
    <w:rsid w:val="00F73724"/>
    <w:rsid w:val="00F737A5"/>
    <w:rsid w:val="00F74412"/>
    <w:rsid w:val="00F7449F"/>
    <w:rsid w:val="00F74A9D"/>
    <w:rsid w:val="00F755F4"/>
    <w:rsid w:val="00F75795"/>
    <w:rsid w:val="00F7586A"/>
    <w:rsid w:val="00F75B9D"/>
    <w:rsid w:val="00F75D41"/>
    <w:rsid w:val="00F75FDF"/>
    <w:rsid w:val="00F7635A"/>
    <w:rsid w:val="00F7636E"/>
    <w:rsid w:val="00F7668C"/>
    <w:rsid w:val="00F76C3C"/>
    <w:rsid w:val="00F770E1"/>
    <w:rsid w:val="00F774D7"/>
    <w:rsid w:val="00F775EB"/>
    <w:rsid w:val="00F77F8B"/>
    <w:rsid w:val="00F807AE"/>
    <w:rsid w:val="00F80CB9"/>
    <w:rsid w:val="00F8161D"/>
    <w:rsid w:val="00F8165D"/>
    <w:rsid w:val="00F81C82"/>
    <w:rsid w:val="00F8226D"/>
    <w:rsid w:val="00F826C8"/>
    <w:rsid w:val="00F826DC"/>
    <w:rsid w:val="00F831D6"/>
    <w:rsid w:val="00F8344D"/>
    <w:rsid w:val="00F837EB"/>
    <w:rsid w:val="00F83A45"/>
    <w:rsid w:val="00F841FA"/>
    <w:rsid w:val="00F842BE"/>
    <w:rsid w:val="00F8444F"/>
    <w:rsid w:val="00F84826"/>
    <w:rsid w:val="00F84CAC"/>
    <w:rsid w:val="00F84E05"/>
    <w:rsid w:val="00F8535E"/>
    <w:rsid w:val="00F85453"/>
    <w:rsid w:val="00F858C5"/>
    <w:rsid w:val="00F8594F"/>
    <w:rsid w:val="00F862F8"/>
    <w:rsid w:val="00F86321"/>
    <w:rsid w:val="00F863D2"/>
    <w:rsid w:val="00F869C6"/>
    <w:rsid w:val="00F86FF8"/>
    <w:rsid w:val="00F87DDC"/>
    <w:rsid w:val="00F902BE"/>
    <w:rsid w:val="00F909AF"/>
    <w:rsid w:val="00F910A3"/>
    <w:rsid w:val="00F9132E"/>
    <w:rsid w:val="00F91C0B"/>
    <w:rsid w:val="00F91CA6"/>
    <w:rsid w:val="00F91EB8"/>
    <w:rsid w:val="00F92FD6"/>
    <w:rsid w:val="00F93015"/>
    <w:rsid w:val="00F93357"/>
    <w:rsid w:val="00F9355F"/>
    <w:rsid w:val="00F93E34"/>
    <w:rsid w:val="00F9400E"/>
    <w:rsid w:val="00F943A5"/>
    <w:rsid w:val="00F946C8"/>
    <w:rsid w:val="00F94A1A"/>
    <w:rsid w:val="00F94FC8"/>
    <w:rsid w:val="00F95BF4"/>
    <w:rsid w:val="00F95FEE"/>
    <w:rsid w:val="00F9687F"/>
    <w:rsid w:val="00F96A87"/>
    <w:rsid w:val="00FA030B"/>
    <w:rsid w:val="00FA06AB"/>
    <w:rsid w:val="00FA0764"/>
    <w:rsid w:val="00FA11F3"/>
    <w:rsid w:val="00FA137A"/>
    <w:rsid w:val="00FA1578"/>
    <w:rsid w:val="00FA1AEF"/>
    <w:rsid w:val="00FA1D7A"/>
    <w:rsid w:val="00FA2282"/>
    <w:rsid w:val="00FA23DD"/>
    <w:rsid w:val="00FA457E"/>
    <w:rsid w:val="00FA467B"/>
    <w:rsid w:val="00FA475D"/>
    <w:rsid w:val="00FA4BB7"/>
    <w:rsid w:val="00FA4C7A"/>
    <w:rsid w:val="00FA5312"/>
    <w:rsid w:val="00FA60C0"/>
    <w:rsid w:val="00FA6778"/>
    <w:rsid w:val="00FA6947"/>
    <w:rsid w:val="00FA6C6B"/>
    <w:rsid w:val="00FA7380"/>
    <w:rsid w:val="00FA79DD"/>
    <w:rsid w:val="00FB00F4"/>
    <w:rsid w:val="00FB04BA"/>
    <w:rsid w:val="00FB0934"/>
    <w:rsid w:val="00FB115E"/>
    <w:rsid w:val="00FB17F2"/>
    <w:rsid w:val="00FB1D3C"/>
    <w:rsid w:val="00FB2374"/>
    <w:rsid w:val="00FB2EBE"/>
    <w:rsid w:val="00FB30A9"/>
    <w:rsid w:val="00FB326D"/>
    <w:rsid w:val="00FB390C"/>
    <w:rsid w:val="00FB3976"/>
    <w:rsid w:val="00FB3BA8"/>
    <w:rsid w:val="00FB3D8C"/>
    <w:rsid w:val="00FB3D99"/>
    <w:rsid w:val="00FB3FC3"/>
    <w:rsid w:val="00FB4224"/>
    <w:rsid w:val="00FB45F0"/>
    <w:rsid w:val="00FB4908"/>
    <w:rsid w:val="00FB4E6C"/>
    <w:rsid w:val="00FB559A"/>
    <w:rsid w:val="00FB572C"/>
    <w:rsid w:val="00FB5C19"/>
    <w:rsid w:val="00FB5C86"/>
    <w:rsid w:val="00FB5CBA"/>
    <w:rsid w:val="00FB6A27"/>
    <w:rsid w:val="00FB720A"/>
    <w:rsid w:val="00FB72AE"/>
    <w:rsid w:val="00FB78DA"/>
    <w:rsid w:val="00FB7989"/>
    <w:rsid w:val="00FC004F"/>
    <w:rsid w:val="00FC06E4"/>
    <w:rsid w:val="00FC142A"/>
    <w:rsid w:val="00FC179E"/>
    <w:rsid w:val="00FC2113"/>
    <w:rsid w:val="00FC24A8"/>
    <w:rsid w:val="00FC24CF"/>
    <w:rsid w:val="00FC3862"/>
    <w:rsid w:val="00FC39AC"/>
    <w:rsid w:val="00FC3B87"/>
    <w:rsid w:val="00FC4035"/>
    <w:rsid w:val="00FC4D9F"/>
    <w:rsid w:val="00FC5426"/>
    <w:rsid w:val="00FC5E61"/>
    <w:rsid w:val="00FC7C44"/>
    <w:rsid w:val="00FC7DE8"/>
    <w:rsid w:val="00FC7E4A"/>
    <w:rsid w:val="00FC7E74"/>
    <w:rsid w:val="00FD0707"/>
    <w:rsid w:val="00FD07C1"/>
    <w:rsid w:val="00FD0890"/>
    <w:rsid w:val="00FD1DCB"/>
    <w:rsid w:val="00FD1E43"/>
    <w:rsid w:val="00FD2858"/>
    <w:rsid w:val="00FD3D2B"/>
    <w:rsid w:val="00FD4792"/>
    <w:rsid w:val="00FD493F"/>
    <w:rsid w:val="00FD4CF1"/>
    <w:rsid w:val="00FD4EC7"/>
    <w:rsid w:val="00FD506A"/>
    <w:rsid w:val="00FD572D"/>
    <w:rsid w:val="00FD6223"/>
    <w:rsid w:val="00FD62F8"/>
    <w:rsid w:val="00FD64F6"/>
    <w:rsid w:val="00FD7061"/>
    <w:rsid w:val="00FD713B"/>
    <w:rsid w:val="00FD726B"/>
    <w:rsid w:val="00FD742E"/>
    <w:rsid w:val="00FE093F"/>
    <w:rsid w:val="00FE09BA"/>
    <w:rsid w:val="00FE11C8"/>
    <w:rsid w:val="00FE150F"/>
    <w:rsid w:val="00FE1587"/>
    <w:rsid w:val="00FE1866"/>
    <w:rsid w:val="00FE229F"/>
    <w:rsid w:val="00FE28B3"/>
    <w:rsid w:val="00FE29FD"/>
    <w:rsid w:val="00FE3223"/>
    <w:rsid w:val="00FE3362"/>
    <w:rsid w:val="00FE3B34"/>
    <w:rsid w:val="00FE3C8B"/>
    <w:rsid w:val="00FE49EE"/>
    <w:rsid w:val="00FE53CD"/>
    <w:rsid w:val="00FE5A3D"/>
    <w:rsid w:val="00FE697A"/>
    <w:rsid w:val="00FE7F38"/>
    <w:rsid w:val="00FF0B98"/>
    <w:rsid w:val="00FF0D34"/>
    <w:rsid w:val="00FF16B6"/>
    <w:rsid w:val="00FF1992"/>
    <w:rsid w:val="00FF222F"/>
    <w:rsid w:val="00FF2C8E"/>
    <w:rsid w:val="00FF41F7"/>
    <w:rsid w:val="00FF4885"/>
    <w:rsid w:val="00FF49AE"/>
    <w:rsid w:val="00FF4A6C"/>
    <w:rsid w:val="00FF55E9"/>
    <w:rsid w:val="00FF5A61"/>
    <w:rsid w:val="00FF5D7F"/>
    <w:rsid w:val="00FF62C9"/>
    <w:rsid w:val="00FF672F"/>
    <w:rsid w:val="00FF6C8F"/>
    <w:rsid w:val="00FF7630"/>
    <w:rsid w:val="01395501"/>
    <w:rsid w:val="013B60F5"/>
    <w:rsid w:val="01893EA1"/>
    <w:rsid w:val="018C29B1"/>
    <w:rsid w:val="01AF69A6"/>
    <w:rsid w:val="01F67F69"/>
    <w:rsid w:val="02174D9F"/>
    <w:rsid w:val="023C2AE1"/>
    <w:rsid w:val="02684439"/>
    <w:rsid w:val="02C73679"/>
    <w:rsid w:val="02F5261F"/>
    <w:rsid w:val="037E19F4"/>
    <w:rsid w:val="0389312D"/>
    <w:rsid w:val="03AD11C8"/>
    <w:rsid w:val="03BF33B1"/>
    <w:rsid w:val="03CC642E"/>
    <w:rsid w:val="03DE39ED"/>
    <w:rsid w:val="044F6982"/>
    <w:rsid w:val="04557243"/>
    <w:rsid w:val="045D4A12"/>
    <w:rsid w:val="049811EA"/>
    <w:rsid w:val="04D202FF"/>
    <w:rsid w:val="04DA26C6"/>
    <w:rsid w:val="04F44C49"/>
    <w:rsid w:val="04FF7F9C"/>
    <w:rsid w:val="051A1A79"/>
    <w:rsid w:val="055B607E"/>
    <w:rsid w:val="05740618"/>
    <w:rsid w:val="05CB2FA1"/>
    <w:rsid w:val="05D14BBD"/>
    <w:rsid w:val="06095D58"/>
    <w:rsid w:val="0631451D"/>
    <w:rsid w:val="064D2A17"/>
    <w:rsid w:val="06703445"/>
    <w:rsid w:val="067E0B46"/>
    <w:rsid w:val="06A31540"/>
    <w:rsid w:val="06C7261B"/>
    <w:rsid w:val="07361B4B"/>
    <w:rsid w:val="074E1CE9"/>
    <w:rsid w:val="07574B4D"/>
    <w:rsid w:val="07B130C8"/>
    <w:rsid w:val="07B60E22"/>
    <w:rsid w:val="07C61CB2"/>
    <w:rsid w:val="07D2732B"/>
    <w:rsid w:val="07D4191E"/>
    <w:rsid w:val="082E34B5"/>
    <w:rsid w:val="084E039B"/>
    <w:rsid w:val="08CE25A9"/>
    <w:rsid w:val="08F74F95"/>
    <w:rsid w:val="094321FD"/>
    <w:rsid w:val="095346A8"/>
    <w:rsid w:val="09555F16"/>
    <w:rsid w:val="099C27D9"/>
    <w:rsid w:val="099C6144"/>
    <w:rsid w:val="099D3B73"/>
    <w:rsid w:val="09AC2253"/>
    <w:rsid w:val="0A093C1E"/>
    <w:rsid w:val="0A622B0E"/>
    <w:rsid w:val="0A75698C"/>
    <w:rsid w:val="0A8D0BD4"/>
    <w:rsid w:val="0A944652"/>
    <w:rsid w:val="0AC02ADF"/>
    <w:rsid w:val="0AF30A3A"/>
    <w:rsid w:val="0B146B7F"/>
    <w:rsid w:val="0B5C7D54"/>
    <w:rsid w:val="0B7C0033"/>
    <w:rsid w:val="0B820B59"/>
    <w:rsid w:val="0BC274FF"/>
    <w:rsid w:val="0BE6299C"/>
    <w:rsid w:val="0C5A6AD7"/>
    <w:rsid w:val="0C5B3247"/>
    <w:rsid w:val="0C5B78FB"/>
    <w:rsid w:val="0C781E09"/>
    <w:rsid w:val="0C7F6F73"/>
    <w:rsid w:val="0C885FCD"/>
    <w:rsid w:val="0CC95911"/>
    <w:rsid w:val="0CDD6F20"/>
    <w:rsid w:val="0D4F7E3B"/>
    <w:rsid w:val="0D6D0EEF"/>
    <w:rsid w:val="0D7E11FE"/>
    <w:rsid w:val="0DAE3B56"/>
    <w:rsid w:val="0DC25F26"/>
    <w:rsid w:val="0DC71CE7"/>
    <w:rsid w:val="0DE259BD"/>
    <w:rsid w:val="0E085BDA"/>
    <w:rsid w:val="0E1214AD"/>
    <w:rsid w:val="0E7F1A47"/>
    <w:rsid w:val="0E934A3A"/>
    <w:rsid w:val="0EDB7F93"/>
    <w:rsid w:val="0F153C46"/>
    <w:rsid w:val="0F346A0A"/>
    <w:rsid w:val="0FA3793D"/>
    <w:rsid w:val="0FBC130F"/>
    <w:rsid w:val="101E6F42"/>
    <w:rsid w:val="102A1480"/>
    <w:rsid w:val="102B7629"/>
    <w:rsid w:val="103F7D81"/>
    <w:rsid w:val="1065517A"/>
    <w:rsid w:val="10673532"/>
    <w:rsid w:val="106E400E"/>
    <w:rsid w:val="10710ABD"/>
    <w:rsid w:val="10745E9B"/>
    <w:rsid w:val="10AD1748"/>
    <w:rsid w:val="10D846CD"/>
    <w:rsid w:val="11BE30FD"/>
    <w:rsid w:val="11E21358"/>
    <w:rsid w:val="11F96286"/>
    <w:rsid w:val="1227644B"/>
    <w:rsid w:val="122E1C23"/>
    <w:rsid w:val="12495860"/>
    <w:rsid w:val="126F7F28"/>
    <w:rsid w:val="12901712"/>
    <w:rsid w:val="129B31C9"/>
    <w:rsid w:val="13112D04"/>
    <w:rsid w:val="132D14C7"/>
    <w:rsid w:val="13CE789E"/>
    <w:rsid w:val="13F77D5E"/>
    <w:rsid w:val="13F912C8"/>
    <w:rsid w:val="14033C82"/>
    <w:rsid w:val="14214C94"/>
    <w:rsid w:val="142D3773"/>
    <w:rsid w:val="14316AB4"/>
    <w:rsid w:val="148F1981"/>
    <w:rsid w:val="14903595"/>
    <w:rsid w:val="14FA03E6"/>
    <w:rsid w:val="15292327"/>
    <w:rsid w:val="155D62E9"/>
    <w:rsid w:val="156B4E32"/>
    <w:rsid w:val="156B6913"/>
    <w:rsid w:val="156C224A"/>
    <w:rsid w:val="15991DCF"/>
    <w:rsid w:val="15A36787"/>
    <w:rsid w:val="15B77DBD"/>
    <w:rsid w:val="15B979C1"/>
    <w:rsid w:val="15F3663C"/>
    <w:rsid w:val="15FC282A"/>
    <w:rsid w:val="1621648D"/>
    <w:rsid w:val="1621732D"/>
    <w:rsid w:val="16264D28"/>
    <w:rsid w:val="16616957"/>
    <w:rsid w:val="1684216B"/>
    <w:rsid w:val="16F02EE4"/>
    <w:rsid w:val="16F43BF0"/>
    <w:rsid w:val="16F77C4B"/>
    <w:rsid w:val="172B1F59"/>
    <w:rsid w:val="17A8635C"/>
    <w:rsid w:val="17B27ABB"/>
    <w:rsid w:val="183208D4"/>
    <w:rsid w:val="18A663B2"/>
    <w:rsid w:val="18D323B2"/>
    <w:rsid w:val="18E047CF"/>
    <w:rsid w:val="18ED7F6B"/>
    <w:rsid w:val="19194627"/>
    <w:rsid w:val="198D045C"/>
    <w:rsid w:val="19A42F90"/>
    <w:rsid w:val="1A9D0163"/>
    <w:rsid w:val="1B40209A"/>
    <w:rsid w:val="1B70398A"/>
    <w:rsid w:val="1B7204A2"/>
    <w:rsid w:val="1B723CD7"/>
    <w:rsid w:val="1B8F6B2C"/>
    <w:rsid w:val="1B9754C2"/>
    <w:rsid w:val="1B982E35"/>
    <w:rsid w:val="1B9F0EDA"/>
    <w:rsid w:val="1BBE5DF5"/>
    <w:rsid w:val="1BE14D5A"/>
    <w:rsid w:val="1BF40661"/>
    <w:rsid w:val="1C1C2D0E"/>
    <w:rsid w:val="1C7D3AF0"/>
    <w:rsid w:val="1CB9314F"/>
    <w:rsid w:val="1CD30038"/>
    <w:rsid w:val="1CD449F8"/>
    <w:rsid w:val="1D6149CB"/>
    <w:rsid w:val="1D683812"/>
    <w:rsid w:val="1D8F0099"/>
    <w:rsid w:val="1DD81B2E"/>
    <w:rsid w:val="1DE32485"/>
    <w:rsid w:val="1DFB5B50"/>
    <w:rsid w:val="1E34556F"/>
    <w:rsid w:val="1E4748F9"/>
    <w:rsid w:val="1EB40CCE"/>
    <w:rsid w:val="1ECB7080"/>
    <w:rsid w:val="1ED562E1"/>
    <w:rsid w:val="1EFC304C"/>
    <w:rsid w:val="1F060007"/>
    <w:rsid w:val="1F513D16"/>
    <w:rsid w:val="1F62267B"/>
    <w:rsid w:val="1F723804"/>
    <w:rsid w:val="1F952E82"/>
    <w:rsid w:val="1F9D0FEB"/>
    <w:rsid w:val="1FC94877"/>
    <w:rsid w:val="20261378"/>
    <w:rsid w:val="20475904"/>
    <w:rsid w:val="204D3C74"/>
    <w:rsid w:val="20FD0C37"/>
    <w:rsid w:val="2106757F"/>
    <w:rsid w:val="210D3FF4"/>
    <w:rsid w:val="215C318A"/>
    <w:rsid w:val="21B2142D"/>
    <w:rsid w:val="21B2326B"/>
    <w:rsid w:val="220023CC"/>
    <w:rsid w:val="22093F32"/>
    <w:rsid w:val="222D516B"/>
    <w:rsid w:val="22521D57"/>
    <w:rsid w:val="227A0406"/>
    <w:rsid w:val="22AA318D"/>
    <w:rsid w:val="22FF2F61"/>
    <w:rsid w:val="2313393B"/>
    <w:rsid w:val="232A46F4"/>
    <w:rsid w:val="2369126A"/>
    <w:rsid w:val="23927AD7"/>
    <w:rsid w:val="23CE3EAB"/>
    <w:rsid w:val="23CF4781"/>
    <w:rsid w:val="23EF1615"/>
    <w:rsid w:val="240E4544"/>
    <w:rsid w:val="244D5D8D"/>
    <w:rsid w:val="244E0597"/>
    <w:rsid w:val="24724467"/>
    <w:rsid w:val="24E04A4A"/>
    <w:rsid w:val="24F001BB"/>
    <w:rsid w:val="251E4A80"/>
    <w:rsid w:val="252B5494"/>
    <w:rsid w:val="25B703E8"/>
    <w:rsid w:val="260E661F"/>
    <w:rsid w:val="26127315"/>
    <w:rsid w:val="26745AA2"/>
    <w:rsid w:val="26A1251E"/>
    <w:rsid w:val="26BC161E"/>
    <w:rsid w:val="26DD2BC3"/>
    <w:rsid w:val="26F331A5"/>
    <w:rsid w:val="27A93B75"/>
    <w:rsid w:val="27A96943"/>
    <w:rsid w:val="27B761CD"/>
    <w:rsid w:val="27E851E5"/>
    <w:rsid w:val="280117A1"/>
    <w:rsid w:val="2823299C"/>
    <w:rsid w:val="28A470F6"/>
    <w:rsid w:val="28B952C3"/>
    <w:rsid w:val="28BD0681"/>
    <w:rsid w:val="29647FDE"/>
    <w:rsid w:val="296572A1"/>
    <w:rsid w:val="29754D84"/>
    <w:rsid w:val="29852351"/>
    <w:rsid w:val="29CE6500"/>
    <w:rsid w:val="29E674E9"/>
    <w:rsid w:val="2A237342"/>
    <w:rsid w:val="2A377BD0"/>
    <w:rsid w:val="2A406242"/>
    <w:rsid w:val="2A561652"/>
    <w:rsid w:val="2A5E49A5"/>
    <w:rsid w:val="2A7F11E9"/>
    <w:rsid w:val="2A7F49EE"/>
    <w:rsid w:val="2A8D7551"/>
    <w:rsid w:val="2AF82097"/>
    <w:rsid w:val="2B03273E"/>
    <w:rsid w:val="2B65743E"/>
    <w:rsid w:val="2BD30B91"/>
    <w:rsid w:val="2BE42C91"/>
    <w:rsid w:val="2C257422"/>
    <w:rsid w:val="2C283D56"/>
    <w:rsid w:val="2C373DF9"/>
    <w:rsid w:val="2C6E1B6D"/>
    <w:rsid w:val="2CC20E36"/>
    <w:rsid w:val="2CC633AC"/>
    <w:rsid w:val="2CDB3A62"/>
    <w:rsid w:val="2CF778A6"/>
    <w:rsid w:val="2D3242D6"/>
    <w:rsid w:val="2D475504"/>
    <w:rsid w:val="2D922936"/>
    <w:rsid w:val="2D9C052A"/>
    <w:rsid w:val="2DA94F2C"/>
    <w:rsid w:val="2DCE227E"/>
    <w:rsid w:val="2E115735"/>
    <w:rsid w:val="2E1A21F3"/>
    <w:rsid w:val="2E916071"/>
    <w:rsid w:val="2EB10432"/>
    <w:rsid w:val="2EFC1363"/>
    <w:rsid w:val="2F0E6853"/>
    <w:rsid w:val="2F2F11E7"/>
    <w:rsid w:val="2F35590C"/>
    <w:rsid w:val="2F57268F"/>
    <w:rsid w:val="2F726F95"/>
    <w:rsid w:val="2F9B357D"/>
    <w:rsid w:val="300506DB"/>
    <w:rsid w:val="30130642"/>
    <w:rsid w:val="301352D3"/>
    <w:rsid w:val="30247C42"/>
    <w:rsid w:val="30467FC7"/>
    <w:rsid w:val="3080619A"/>
    <w:rsid w:val="30AE4F50"/>
    <w:rsid w:val="30B82CDD"/>
    <w:rsid w:val="30D965C4"/>
    <w:rsid w:val="314545FE"/>
    <w:rsid w:val="31BD5471"/>
    <w:rsid w:val="31C07CFF"/>
    <w:rsid w:val="31D67CFB"/>
    <w:rsid w:val="31DD3E65"/>
    <w:rsid w:val="31FE60A7"/>
    <w:rsid w:val="3262140B"/>
    <w:rsid w:val="326C67A3"/>
    <w:rsid w:val="33141A34"/>
    <w:rsid w:val="33274478"/>
    <w:rsid w:val="33284CE9"/>
    <w:rsid w:val="332D76BE"/>
    <w:rsid w:val="33346975"/>
    <w:rsid w:val="33371511"/>
    <w:rsid w:val="335D1B02"/>
    <w:rsid w:val="33B13A26"/>
    <w:rsid w:val="33B67FD9"/>
    <w:rsid w:val="33C01C45"/>
    <w:rsid w:val="33D81FC8"/>
    <w:rsid w:val="341704EE"/>
    <w:rsid w:val="3471740D"/>
    <w:rsid w:val="347550CC"/>
    <w:rsid w:val="34F00A28"/>
    <w:rsid w:val="350C19D9"/>
    <w:rsid w:val="351D3EB1"/>
    <w:rsid w:val="35410C4D"/>
    <w:rsid w:val="354636BD"/>
    <w:rsid w:val="359302A7"/>
    <w:rsid w:val="35A943E4"/>
    <w:rsid w:val="35FD284E"/>
    <w:rsid w:val="36011CC0"/>
    <w:rsid w:val="360D0437"/>
    <w:rsid w:val="360D3DF1"/>
    <w:rsid w:val="36171B8A"/>
    <w:rsid w:val="362D1FF7"/>
    <w:rsid w:val="362E159E"/>
    <w:rsid w:val="366C40C5"/>
    <w:rsid w:val="36B51E13"/>
    <w:rsid w:val="36C731C3"/>
    <w:rsid w:val="36FE7DCA"/>
    <w:rsid w:val="37654CCB"/>
    <w:rsid w:val="378459A2"/>
    <w:rsid w:val="37963A0D"/>
    <w:rsid w:val="37A91C2B"/>
    <w:rsid w:val="37D50947"/>
    <w:rsid w:val="380354B4"/>
    <w:rsid w:val="382C3CEC"/>
    <w:rsid w:val="3891594B"/>
    <w:rsid w:val="39310C45"/>
    <w:rsid w:val="39430707"/>
    <w:rsid w:val="395B58D6"/>
    <w:rsid w:val="39930026"/>
    <w:rsid w:val="39B90930"/>
    <w:rsid w:val="39E01578"/>
    <w:rsid w:val="39F20693"/>
    <w:rsid w:val="39F65373"/>
    <w:rsid w:val="39FE2272"/>
    <w:rsid w:val="3A0B3743"/>
    <w:rsid w:val="3A72006B"/>
    <w:rsid w:val="3A916FD8"/>
    <w:rsid w:val="3AA5761E"/>
    <w:rsid w:val="3AE87ADE"/>
    <w:rsid w:val="3B3D345D"/>
    <w:rsid w:val="3B3D7BB4"/>
    <w:rsid w:val="3B596494"/>
    <w:rsid w:val="3BBB169E"/>
    <w:rsid w:val="3BDE4C2F"/>
    <w:rsid w:val="3C327F3A"/>
    <w:rsid w:val="3C3F0F36"/>
    <w:rsid w:val="3C7652E7"/>
    <w:rsid w:val="3C801BC8"/>
    <w:rsid w:val="3CEE5A39"/>
    <w:rsid w:val="3CF43918"/>
    <w:rsid w:val="3D004866"/>
    <w:rsid w:val="3D097AC4"/>
    <w:rsid w:val="3D284C2C"/>
    <w:rsid w:val="3D791395"/>
    <w:rsid w:val="3D9156FE"/>
    <w:rsid w:val="3DD42604"/>
    <w:rsid w:val="3DF31B27"/>
    <w:rsid w:val="3E47795E"/>
    <w:rsid w:val="3E4A02DD"/>
    <w:rsid w:val="3F0F05B0"/>
    <w:rsid w:val="3F2358BD"/>
    <w:rsid w:val="3FC7588F"/>
    <w:rsid w:val="3FC9786E"/>
    <w:rsid w:val="3FE02E93"/>
    <w:rsid w:val="40164659"/>
    <w:rsid w:val="403D7D52"/>
    <w:rsid w:val="40550351"/>
    <w:rsid w:val="40AB79C9"/>
    <w:rsid w:val="40B67814"/>
    <w:rsid w:val="40B91576"/>
    <w:rsid w:val="40D45A9E"/>
    <w:rsid w:val="40E02426"/>
    <w:rsid w:val="40E373AE"/>
    <w:rsid w:val="411B27A3"/>
    <w:rsid w:val="4168183C"/>
    <w:rsid w:val="417C3F12"/>
    <w:rsid w:val="41A83BD4"/>
    <w:rsid w:val="41C27BE6"/>
    <w:rsid w:val="41C84580"/>
    <w:rsid w:val="41CA0814"/>
    <w:rsid w:val="41D0250D"/>
    <w:rsid w:val="41D41927"/>
    <w:rsid w:val="41F80DCB"/>
    <w:rsid w:val="42036DED"/>
    <w:rsid w:val="421145BD"/>
    <w:rsid w:val="42C57919"/>
    <w:rsid w:val="42C7625C"/>
    <w:rsid w:val="430311B7"/>
    <w:rsid w:val="4336567A"/>
    <w:rsid w:val="43531E49"/>
    <w:rsid w:val="439C3AC8"/>
    <w:rsid w:val="43A57BD6"/>
    <w:rsid w:val="43B20113"/>
    <w:rsid w:val="44410221"/>
    <w:rsid w:val="447D6085"/>
    <w:rsid w:val="44A639FE"/>
    <w:rsid w:val="44AF3C2E"/>
    <w:rsid w:val="44B97FCE"/>
    <w:rsid w:val="44F9438B"/>
    <w:rsid w:val="44FD4407"/>
    <w:rsid w:val="450670B7"/>
    <w:rsid w:val="45404487"/>
    <w:rsid w:val="4541761C"/>
    <w:rsid w:val="458128B3"/>
    <w:rsid w:val="45BB3EA6"/>
    <w:rsid w:val="45DD4E4D"/>
    <w:rsid w:val="46A81ACD"/>
    <w:rsid w:val="47437526"/>
    <w:rsid w:val="477F22A6"/>
    <w:rsid w:val="47AA5587"/>
    <w:rsid w:val="47B874B9"/>
    <w:rsid w:val="47FD3A99"/>
    <w:rsid w:val="48211D9A"/>
    <w:rsid w:val="48771C25"/>
    <w:rsid w:val="487C60D9"/>
    <w:rsid w:val="48914504"/>
    <w:rsid w:val="48957E86"/>
    <w:rsid w:val="48DD0EB9"/>
    <w:rsid w:val="48E33265"/>
    <w:rsid w:val="48E85113"/>
    <w:rsid w:val="48FE2982"/>
    <w:rsid w:val="490265EE"/>
    <w:rsid w:val="492F563A"/>
    <w:rsid w:val="49AA1C33"/>
    <w:rsid w:val="49ED38CE"/>
    <w:rsid w:val="4A1D27B6"/>
    <w:rsid w:val="4A1E3411"/>
    <w:rsid w:val="4A4B6174"/>
    <w:rsid w:val="4B2501C7"/>
    <w:rsid w:val="4B440CC5"/>
    <w:rsid w:val="4B8E64FC"/>
    <w:rsid w:val="4C053A7D"/>
    <w:rsid w:val="4C2D592F"/>
    <w:rsid w:val="4C37253E"/>
    <w:rsid w:val="4C4B23FE"/>
    <w:rsid w:val="4C821496"/>
    <w:rsid w:val="4C8A00BF"/>
    <w:rsid w:val="4C8A734B"/>
    <w:rsid w:val="4C8C5316"/>
    <w:rsid w:val="4C995D08"/>
    <w:rsid w:val="4D0234CA"/>
    <w:rsid w:val="4D0F0E35"/>
    <w:rsid w:val="4D1001ED"/>
    <w:rsid w:val="4D282003"/>
    <w:rsid w:val="4DA2395A"/>
    <w:rsid w:val="4DC84348"/>
    <w:rsid w:val="4DE2531F"/>
    <w:rsid w:val="4E2B1D86"/>
    <w:rsid w:val="4E4C671D"/>
    <w:rsid w:val="4E77744A"/>
    <w:rsid w:val="4EDC6220"/>
    <w:rsid w:val="4EF13203"/>
    <w:rsid w:val="4F431F38"/>
    <w:rsid w:val="4F4D4EFD"/>
    <w:rsid w:val="4F5A1A06"/>
    <w:rsid w:val="4F8914E3"/>
    <w:rsid w:val="4F8D4766"/>
    <w:rsid w:val="4F9C716B"/>
    <w:rsid w:val="4FB24E4E"/>
    <w:rsid w:val="500C140C"/>
    <w:rsid w:val="502240A2"/>
    <w:rsid w:val="50366299"/>
    <w:rsid w:val="50495EE8"/>
    <w:rsid w:val="505E258C"/>
    <w:rsid w:val="50804B28"/>
    <w:rsid w:val="50C36C72"/>
    <w:rsid w:val="50F23BD6"/>
    <w:rsid w:val="51071C46"/>
    <w:rsid w:val="51120C84"/>
    <w:rsid w:val="511529AB"/>
    <w:rsid w:val="512E4B5A"/>
    <w:rsid w:val="51365F3F"/>
    <w:rsid w:val="5168579F"/>
    <w:rsid w:val="517B58AC"/>
    <w:rsid w:val="51822B0F"/>
    <w:rsid w:val="5184649E"/>
    <w:rsid w:val="518D7307"/>
    <w:rsid w:val="51C9428C"/>
    <w:rsid w:val="51D07DED"/>
    <w:rsid w:val="51DC5A9C"/>
    <w:rsid w:val="520D426F"/>
    <w:rsid w:val="52817B02"/>
    <w:rsid w:val="52C01CD8"/>
    <w:rsid w:val="52D920FC"/>
    <w:rsid w:val="530D3691"/>
    <w:rsid w:val="53264FB2"/>
    <w:rsid w:val="536D055E"/>
    <w:rsid w:val="53A379CE"/>
    <w:rsid w:val="53A875AA"/>
    <w:rsid w:val="53EB307D"/>
    <w:rsid w:val="53F8203E"/>
    <w:rsid w:val="54260CFA"/>
    <w:rsid w:val="545F68AD"/>
    <w:rsid w:val="546649A9"/>
    <w:rsid w:val="547D35ED"/>
    <w:rsid w:val="54920988"/>
    <w:rsid w:val="549B1A9A"/>
    <w:rsid w:val="54C12EBD"/>
    <w:rsid w:val="54E9423F"/>
    <w:rsid w:val="5550666F"/>
    <w:rsid w:val="555C1292"/>
    <w:rsid w:val="5564654C"/>
    <w:rsid w:val="55676AB4"/>
    <w:rsid w:val="5577116D"/>
    <w:rsid w:val="557771F4"/>
    <w:rsid w:val="55792D64"/>
    <w:rsid w:val="563D1955"/>
    <w:rsid w:val="56476F03"/>
    <w:rsid w:val="564D5D28"/>
    <w:rsid w:val="56E20F71"/>
    <w:rsid w:val="57160E42"/>
    <w:rsid w:val="57245A67"/>
    <w:rsid w:val="574D62FD"/>
    <w:rsid w:val="576C3CC2"/>
    <w:rsid w:val="580618CB"/>
    <w:rsid w:val="58165033"/>
    <w:rsid w:val="585961BC"/>
    <w:rsid w:val="591309C5"/>
    <w:rsid w:val="591F7702"/>
    <w:rsid w:val="593A3068"/>
    <w:rsid w:val="594E5EFE"/>
    <w:rsid w:val="59912F9F"/>
    <w:rsid w:val="5A365283"/>
    <w:rsid w:val="5A437DB0"/>
    <w:rsid w:val="5A725749"/>
    <w:rsid w:val="5A8D57C9"/>
    <w:rsid w:val="5AD02B76"/>
    <w:rsid w:val="5AD73077"/>
    <w:rsid w:val="5B0359A7"/>
    <w:rsid w:val="5B250538"/>
    <w:rsid w:val="5B3660D2"/>
    <w:rsid w:val="5BC92703"/>
    <w:rsid w:val="5BE7507B"/>
    <w:rsid w:val="5C317242"/>
    <w:rsid w:val="5C74738B"/>
    <w:rsid w:val="5C8D73E0"/>
    <w:rsid w:val="5CCA08ED"/>
    <w:rsid w:val="5D187361"/>
    <w:rsid w:val="5D4B4800"/>
    <w:rsid w:val="5D614005"/>
    <w:rsid w:val="5D8E32AA"/>
    <w:rsid w:val="5D9362FE"/>
    <w:rsid w:val="5D951AC0"/>
    <w:rsid w:val="5DD23745"/>
    <w:rsid w:val="5DFB7D8E"/>
    <w:rsid w:val="5E2C4C3F"/>
    <w:rsid w:val="5E2C7468"/>
    <w:rsid w:val="5E4970B7"/>
    <w:rsid w:val="5E6F1D05"/>
    <w:rsid w:val="5ED26714"/>
    <w:rsid w:val="5EDE279B"/>
    <w:rsid w:val="5FE27B94"/>
    <w:rsid w:val="5FE364B0"/>
    <w:rsid w:val="60885BD2"/>
    <w:rsid w:val="608C1C3B"/>
    <w:rsid w:val="60AE507A"/>
    <w:rsid w:val="618E7B57"/>
    <w:rsid w:val="61C40FE0"/>
    <w:rsid w:val="62075937"/>
    <w:rsid w:val="62165095"/>
    <w:rsid w:val="62275E76"/>
    <w:rsid w:val="625E0F1E"/>
    <w:rsid w:val="626856DE"/>
    <w:rsid w:val="629750C8"/>
    <w:rsid w:val="629D7850"/>
    <w:rsid w:val="630D22F0"/>
    <w:rsid w:val="6335243D"/>
    <w:rsid w:val="634E005F"/>
    <w:rsid w:val="637057FC"/>
    <w:rsid w:val="63AB2B13"/>
    <w:rsid w:val="644165A9"/>
    <w:rsid w:val="64424CFB"/>
    <w:rsid w:val="645B3BFE"/>
    <w:rsid w:val="646A3F2B"/>
    <w:rsid w:val="64914EDA"/>
    <w:rsid w:val="649D55D7"/>
    <w:rsid w:val="64CF481E"/>
    <w:rsid w:val="6517029F"/>
    <w:rsid w:val="65225553"/>
    <w:rsid w:val="655D7702"/>
    <w:rsid w:val="65605028"/>
    <w:rsid w:val="65B62EDC"/>
    <w:rsid w:val="65C77F63"/>
    <w:rsid w:val="65EC7392"/>
    <w:rsid w:val="66B832D3"/>
    <w:rsid w:val="66E141F1"/>
    <w:rsid w:val="672B3DF5"/>
    <w:rsid w:val="67477961"/>
    <w:rsid w:val="67597ABB"/>
    <w:rsid w:val="677C69C5"/>
    <w:rsid w:val="67915D89"/>
    <w:rsid w:val="681712EF"/>
    <w:rsid w:val="68296F17"/>
    <w:rsid w:val="686E40C2"/>
    <w:rsid w:val="690D0455"/>
    <w:rsid w:val="6922138F"/>
    <w:rsid w:val="69434083"/>
    <w:rsid w:val="694606B1"/>
    <w:rsid w:val="697B530A"/>
    <w:rsid w:val="697B5764"/>
    <w:rsid w:val="69CD49F5"/>
    <w:rsid w:val="69E247A2"/>
    <w:rsid w:val="69FA725F"/>
    <w:rsid w:val="6A0634F2"/>
    <w:rsid w:val="6A14075E"/>
    <w:rsid w:val="6A246C3D"/>
    <w:rsid w:val="6A29438D"/>
    <w:rsid w:val="6A464060"/>
    <w:rsid w:val="6A484E48"/>
    <w:rsid w:val="6A897AB6"/>
    <w:rsid w:val="6A9D5707"/>
    <w:rsid w:val="6AA650F5"/>
    <w:rsid w:val="6AC746BA"/>
    <w:rsid w:val="6ADE2120"/>
    <w:rsid w:val="6AEB5D2C"/>
    <w:rsid w:val="6AFB3EEA"/>
    <w:rsid w:val="6B0341A5"/>
    <w:rsid w:val="6B055571"/>
    <w:rsid w:val="6B40438D"/>
    <w:rsid w:val="6B7F03BF"/>
    <w:rsid w:val="6BBE15EE"/>
    <w:rsid w:val="6BEC35E7"/>
    <w:rsid w:val="6BF939B8"/>
    <w:rsid w:val="6C59680E"/>
    <w:rsid w:val="6C5F60E8"/>
    <w:rsid w:val="6C743707"/>
    <w:rsid w:val="6C7754E2"/>
    <w:rsid w:val="6D1F0158"/>
    <w:rsid w:val="6D342AFD"/>
    <w:rsid w:val="6D3719AB"/>
    <w:rsid w:val="6D3E3544"/>
    <w:rsid w:val="6D403D5F"/>
    <w:rsid w:val="6DBF2D43"/>
    <w:rsid w:val="6DDB78FD"/>
    <w:rsid w:val="6E18563E"/>
    <w:rsid w:val="6E790B79"/>
    <w:rsid w:val="6E925610"/>
    <w:rsid w:val="6EA17B6E"/>
    <w:rsid w:val="6EBE3875"/>
    <w:rsid w:val="6ECD2F45"/>
    <w:rsid w:val="6F3E041D"/>
    <w:rsid w:val="6F3F2D3D"/>
    <w:rsid w:val="6F5A1072"/>
    <w:rsid w:val="6F883D47"/>
    <w:rsid w:val="6FA042F6"/>
    <w:rsid w:val="6FF724F7"/>
    <w:rsid w:val="701329B0"/>
    <w:rsid w:val="70281975"/>
    <w:rsid w:val="707A1BD1"/>
    <w:rsid w:val="708D3A4E"/>
    <w:rsid w:val="709F7C50"/>
    <w:rsid w:val="70E201BE"/>
    <w:rsid w:val="710E40FC"/>
    <w:rsid w:val="71506E03"/>
    <w:rsid w:val="71710278"/>
    <w:rsid w:val="71847510"/>
    <w:rsid w:val="719B65D8"/>
    <w:rsid w:val="71C954E0"/>
    <w:rsid w:val="71E95746"/>
    <w:rsid w:val="722A30A0"/>
    <w:rsid w:val="725A6CA1"/>
    <w:rsid w:val="726C03D7"/>
    <w:rsid w:val="727A7F8F"/>
    <w:rsid w:val="72FA3392"/>
    <w:rsid w:val="733D11A6"/>
    <w:rsid w:val="737067CE"/>
    <w:rsid w:val="73A34E9A"/>
    <w:rsid w:val="73C547F1"/>
    <w:rsid w:val="73D7054B"/>
    <w:rsid w:val="7407283E"/>
    <w:rsid w:val="74132110"/>
    <w:rsid w:val="741D2533"/>
    <w:rsid w:val="74262A23"/>
    <w:rsid w:val="745E548C"/>
    <w:rsid w:val="746E749B"/>
    <w:rsid w:val="74731223"/>
    <w:rsid w:val="747F5466"/>
    <w:rsid w:val="748D0C82"/>
    <w:rsid w:val="74D56C0F"/>
    <w:rsid w:val="74DD69CD"/>
    <w:rsid w:val="74FF47A1"/>
    <w:rsid w:val="75431628"/>
    <w:rsid w:val="75463003"/>
    <w:rsid w:val="756977DA"/>
    <w:rsid w:val="756E632A"/>
    <w:rsid w:val="75B0387E"/>
    <w:rsid w:val="75C53ABD"/>
    <w:rsid w:val="75D35FFF"/>
    <w:rsid w:val="76125EFF"/>
    <w:rsid w:val="762A10A6"/>
    <w:rsid w:val="762E4762"/>
    <w:rsid w:val="764E18FF"/>
    <w:rsid w:val="76593D0B"/>
    <w:rsid w:val="7680587B"/>
    <w:rsid w:val="76BC3F82"/>
    <w:rsid w:val="76F07B59"/>
    <w:rsid w:val="76F16ADA"/>
    <w:rsid w:val="771E0313"/>
    <w:rsid w:val="77A50552"/>
    <w:rsid w:val="77A54EDD"/>
    <w:rsid w:val="78191D66"/>
    <w:rsid w:val="784E22BB"/>
    <w:rsid w:val="78522DC4"/>
    <w:rsid w:val="7861441F"/>
    <w:rsid w:val="787A1067"/>
    <w:rsid w:val="78AD1C53"/>
    <w:rsid w:val="78B46ACB"/>
    <w:rsid w:val="78B82BE7"/>
    <w:rsid w:val="78C450DB"/>
    <w:rsid w:val="78EB4549"/>
    <w:rsid w:val="78F85C68"/>
    <w:rsid w:val="790F3F01"/>
    <w:rsid w:val="793331A6"/>
    <w:rsid w:val="793A7C33"/>
    <w:rsid w:val="796D0FC0"/>
    <w:rsid w:val="799F19F3"/>
    <w:rsid w:val="79C101BF"/>
    <w:rsid w:val="79E318E8"/>
    <w:rsid w:val="7A144D2E"/>
    <w:rsid w:val="7A79355C"/>
    <w:rsid w:val="7AB478EC"/>
    <w:rsid w:val="7AC30064"/>
    <w:rsid w:val="7B316F64"/>
    <w:rsid w:val="7BD03DCC"/>
    <w:rsid w:val="7C180FFA"/>
    <w:rsid w:val="7C1E6C2C"/>
    <w:rsid w:val="7C3D67AD"/>
    <w:rsid w:val="7C5C082E"/>
    <w:rsid w:val="7C5D0F84"/>
    <w:rsid w:val="7CD0501C"/>
    <w:rsid w:val="7CE54DAA"/>
    <w:rsid w:val="7D712F81"/>
    <w:rsid w:val="7D940FFA"/>
    <w:rsid w:val="7D9C0468"/>
    <w:rsid w:val="7DC84F52"/>
    <w:rsid w:val="7E0F03ED"/>
    <w:rsid w:val="7E115CED"/>
    <w:rsid w:val="7E1214FF"/>
    <w:rsid w:val="7E3331AB"/>
    <w:rsid w:val="7E590486"/>
    <w:rsid w:val="7E924495"/>
    <w:rsid w:val="7E9B2239"/>
    <w:rsid w:val="7EAE405D"/>
    <w:rsid w:val="7F5364B5"/>
    <w:rsid w:val="7F752D8A"/>
    <w:rsid w:val="7F9403CC"/>
    <w:rsid w:val="7FA96A0C"/>
    <w:rsid w:val="7FC55382"/>
    <w:rsid w:val="7FC55BB2"/>
    <w:rsid w:val="7FFB0551"/>
    <w:rsid w:val="7FFB105D"/>
    <w:rsid w:val="FFB7CB88"/>
    <w:rsid w:val="FFBD48C6"/>
    <w:rsid w:val="FFD76D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9"/>
    <w:pPr>
      <w:keepNext/>
      <w:keepLines/>
      <w:spacing w:before="340" w:after="240" w:line="360" w:lineRule="auto"/>
      <w:outlineLvl w:val="0"/>
    </w:pPr>
    <w:rPr>
      <w:rFonts w:eastAsia="黑体"/>
      <w:bCs/>
      <w:kern w:val="44"/>
      <w:sz w:val="36"/>
      <w:szCs w:val="44"/>
    </w:rPr>
  </w:style>
  <w:style w:type="paragraph" w:styleId="3">
    <w:name w:val="heading 2"/>
    <w:basedOn w:val="1"/>
    <w:next w:val="1"/>
    <w:link w:val="25"/>
    <w:unhideWhenUsed/>
    <w:qFormat/>
    <w:uiPriority w:val="9"/>
    <w:pPr>
      <w:keepNext/>
      <w:keepLines/>
      <w:spacing w:before="240" w:after="120" w:line="360" w:lineRule="auto"/>
      <w:outlineLvl w:val="1"/>
    </w:pPr>
    <w:rPr>
      <w:rFonts w:ascii="Times New Roman" w:hAnsi="Times New Roman" w:eastAsia="宋体" w:cstheme="majorBidi"/>
      <w:b/>
      <w:bCs/>
      <w:sz w:val="32"/>
      <w:szCs w:val="32"/>
    </w:rPr>
  </w:style>
  <w:style w:type="paragraph" w:styleId="4">
    <w:name w:val="heading 3"/>
    <w:basedOn w:val="1"/>
    <w:next w:val="1"/>
    <w:link w:val="26"/>
    <w:unhideWhenUsed/>
    <w:qFormat/>
    <w:uiPriority w:val="9"/>
    <w:pPr>
      <w:keepNext/>
      <w:keepLines/>
      <w:spacing w:before="120" w:line="360" w:lineRule="auto"/>
      <w:outlineLvl w:val="2"/>
    </w:pPr>
    <w:rPr>
      <w:rFonts w:ascii="Times New Roman" w:hAnsi="Times New Roman" w:eastAsia="宋体"/>
      <w:b/>
      <w:bCs/>
      <w:sz w:val="28"/>
      <w:szCs w:val="32"/>
    </w:rPr>
  </w:style>
  <w:style w:type="paragraph" w:styleId="5">
    <w:name w:val="heading 4"/>
    <w:basedOn w:val="1"/>
    <w:next w:val="1"/>
    <w:link w:val="2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pPr>
    <w:rPr>
      <w:rFonts w:ascii="Calibri" w:hAnsi="Calibri" w:eastAsia="宋体" w:cs="Times New Roman"/>
      <w:sz w:val="32"/>
      <w:szCs w:val="32"/>
    </w:rPr>
  </w:style>
  <w:style w:type="paragraph" w:styleId="7">
    <w:name w:val="annotation text"/>
    <w:basedOn w:val="1"/>
    <w:link w:val="48"/>
    <w:semiHidden/>
    <w:unhideWhenUsed/>
    <w:qFormat/>
    <w:uiPriority w:val="99"/>
    <w:pPr>
      <w:jc w:val="left"/>
    </w:pPr>
  </w:style>
  <w:style w:type="paragraph" w:styleId="8">
    <w:name w:val="Body Text"/>
    <w:basedOn w:val="1"/>
    <w:link w:val="31"/>
    <w:unhideWhenUsed/>
    <w:qFormat/>
    <w:uiPriority w:val="99"/>
    <w:pPr>
      <w:spacing w:line="360" w:lineRule="auto"/>
      <w:ind w:firstLine="480" w:firstLineChars="200"/>
    </w:pPr>
    <w:rPr>
      <w:rFonts w:ascii="Times New Roman" w:hAnsi="Times New Roman" w:eastAsia="宋体"/>
      <w:sz w:val="24"/>
    </w:rPr>
  </w:style>
  <w:style w:type="paragraph" w:styleId="9">
    <w:name w:val="toc 3"/>
    <w:basedOn w:val="1"/>
    <w:next w:val="1"/>
    <w:unhideWhenUsed/>
    <w:qFormat/>
    <w:uiPriority w:val="39"/>
    <w:pPr>
      <w:ind w:left="840" w:leftChars="400"/>
    </w:pPr>
  </w:style>
  <w:style w:type="paragraph" w:styleId="10">
    <w:name w:val="Balloon Text"/>
    <w:basedOn w:val="1"/>
    <w:link w:val="46"/>
    <w:semiHidden/>
    <w:unhideWhenUsed/>
    <w:qFormat/>
    <w:uiPriority w:val="99"/>
    <w:rPr>
      <w:sz w:val="18"/>
      <w:szCs w:val="18"/>
    </w:rPr>
  </w:style>
  <w:style w:type="paragraph" w:styleId="11">
    <w:name w:val="footer"/>
    <w:basedOn w:val="1"/>
    <w:link w:val="24"/>
    <w:unhideWhenUsed/>
    <w:qFormat/>
    <w:uiPriority w:val="99"/>
    <w:pPr>
      <w:tabs>
        <w:tab w:val="center" w:pos="4153"/>
        <w:tab w:val="right" w:pos="8306"/>
      </w:tabs>
      <w:snapToGrid w:val="0"/>
      <w:jc w:val="left"/>
    </w:pPr>
    <w:rPr>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tabs>
        <w:tab w:val="right" w:leader="dot" w:pos="10243"/>
      </w:tabs>
      <w:spacing w:before="156" w:beforeLines="50" w:line="360" w:lineRule="auto"/>
    </w:pPr>
    <w:rPr>
      <w:rFonts w:ascii="Arial" w:hAnsi="Arial" w:eastAsia="黑体"/>
      <w:sz w:val="32"/>
    </w:rPr>
  </w:style>
  <w:style w:type="paragraph" w:styleId="14">
    <w:name w:val="toc 2"/>
    <w:basedOn w:val="1"/>
    <w:next w:val="1"/>
    <w:unhideWhenUsed/>
    <w:qFormat/>
    <w:uiPriority w:val="39"/>
    <w:pPr>
      <w:spacing w:line="360" w:lineRule="auto"/>
      <w:ind w:left="200" w:leftChars="200"/>
    </w:pPr>
    <w:rPr>
      <w:rFonts w:ascii="Times New Roman" w:hAnsi="Times New Roman" w:eastAsia="宋体"/>
      <w:sz w:val="28"/>
    </w:rPr>
  </w:style>
  <w:style w:type="paragraph" w:styleId="15">
    <w:name w:val="Normal (Web)"/>
    <w:basedOn w:val="1"/>
    <w:semiHidden/>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16">
    <w:name w:val="Title"/>
    <w:basedOn w:val="1"/>
    <w:next w:val="1"/>
    <w:link w:val="51"/>
    <w:qFormat/>
    <w:uiPriority w:val="0"/>
    <w:pPr>
      <w:snapToGrid w:val="0"/>
      <w:spacing w:line="560" w:lineRule="exact"/>
      <w:jc w:val="center"/>
      <w:outlineLvl w:val="0"/>
    </w:pPr>
    <w:rPr>
      <w:rFonts w:ascii="Cambria" w:hAnsi="Cambria" w:eastAsia="方正小标宋简体" w:cs="Times New Roman"/>
      <w:b/>
      <w:bCs/>
      <w:sz w:val="44"/>
      <w:szCs w:val="32"/>
    </w:rPr>
  </w:style>
  <w:style w:type="paragraph" w:styleId="17">
    <w:name w:val="annotation subject"/>
    <w:basedOn w:val="7"/>
    <w:next w:val="7"/>
    <w:link w:val="49"/>
    <w:semiHidden/>
    <w:qFormat/>
    <w:uiPriority w:val="0"/>
    <w:pPr>
      <w:widowControl/>
      <w:spacing w:line="360" w:lineRule="auto"/>
      <w:ind w:firstLine="200" w:firstLineChars="200"/>
    </w:pPr>
    <w:rPr>
      <w:rFonts w:ascii="宋体" w:hAnsi="宋体" w:cs="Times New Roman"/>
      <w:b/>
      <w:bCs/>
      <w:kern w:val="0"/>
      <w:sz w:val="24"/>
      <w:szCs w:val="24"/>
      <w:lang w:eastAsia="en-US" w:bidi="en-US"/>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basedOn w:val="20"/>
    <w:semiHidden/>
    <w:unhideWhenUsed/>
    <w:qFormat/>
    <w:uiPriority w:val="99"/>
    <w:rPr>
      <w:color w:val="954F72"/>
      <w:u w:val="single"/>
    </w:rPr>
  </w:style>
  <w:style w:type="character" w:styleId="22">
    <w:name w:val="Hyperlink"/>
    <w:basedOn w:val="20"/>
    <w:unhideWhenUsed/>
    <w:qFormat/>
    <w:uiPriority w:val="99"/>
    <w:rPr>
      <w:color w:val="0000FF"/>
      <w:u w:val="single"/>
    </w:rPr>
  </w:style>
  <w:style w:type="character" w:customStyle="1" w:styleId="23">
    <w:name w:val="页眉 字符"/>
    <w:basedOn w:val="20"/>
    <w:link w:val="12"/>
    <w:qFormat/>
    <w:uiPriority w:val="99"/>
    <w:rPr>
      <w:sz w:val="18"/>
      <w:szCs w:val="18"/>
    </w:rPr>
  </w:style>
  <w:style w:type="character" w:customStyle="1" w:styleId="24">
    <w:name w:val="页脚 字符"/>
    <w:basedOn w:val="20"/>
    <w:link w:val="11"/>
    <w:qFormat/>
    <w:uiPriority w:val="99"/>
    <w:rPr>
      <w:sz w:val="18"/>
      <w:szCs w:val="18"/>
    </w:rPr>
  </w:style>
  <w:style w:type="character" w:customStyle="1" w:styleId="25">
    <w:name w:val="标题 2 字符"/>
    <w:basedOn w:val="20"/>
    <w:link w:val="3"/>
    <w:qFormat/>
    <w:uiPriority w:val="9"/>
    <w:rPr>
      <w:rFonts w:cstheme="majorBidi"/>
      <w:b/>
      <w:bCs/>
      <w:kern w:val="2"/>
      <w:sz w:val="32"/>
      <w:szCs w:val="32"/>
    </w:rPr>
  </w:style>
  <w:style w:type="character" w:customStyle="1" w:styleId="26">
    <w:name w:val="标题 3 字符"/>
    <w:basedOn w:val="20"/>
    <w:link w:val="4"/>
    <w:qFormat/>
    <w:uiPriority w:val="9"/>
    <w:rPr>
      <w:rFonts w:cstheme="minorBidi"/>
      <w:b/>
      <w:bCs/>
      <w:kern w:val="2"/>
      <w:sz w:val="28"/>
      <w:szCs w:val="32"/>
    </w:rPr>
  </w:style>
  <w:style w:type="character" w:customStyle="1" w:styleId="27">
    <w:name w:val="标题 1 字符"/>
    <w:basedOn w:val="20"/>
    <w:link w:val="2"/>
    <w:qFormat/>
    <w:uiPriority w:val="9"/>
    <w:rPr>
      <w:rFonts w:eastAsia="黑体" w:asciiTheme="minorHAnsi" w:hAnsiTheme="minorHAnsi" w:cstheme="minorBidi"/>
      <w:bCs/>
      <w:kern w:val="44"/>
      <w:sz w:val="36"/>
      <w:szCs w:val="44"/>
    </w:rPr>
  </w:style>
  <w:style w:type="paragraph" w:styleId="28">
    <w:name w:val="List Paragraph"/>
    <w:basedOn w:val="1"/>
    <w:qFormat/>
    <w:uiPriority w:val="99"/>
    <w:pPr>
      <w:ind w:firstLine="420" w:firstLineChars="200"/>
    </w:pPr>
  </w:style>
  <w:style w:type="character" w:customStyle="1" w:styleId="29">
    <w:name w:val="标题 4 字符"/>
    <w:basedOn w:val="20"/>
    <w:link w:val="5"/>
    <w:qFormat/>
    <w:uiPriority w:val="9"/>
    <w:rPr>
      <w:rFonts w:asciiTheme="majorHAnsi" w:hAnsiTheme="majorHAnsi" w:eastAsiaTheme="majorEastAsia" w:cstheme="majorBidi"/>
      <w:b/>
      <w:bCs/>
      <w:kern w:val="2"/>
      <w:sz w:val="28"/>
      <w:szCs w:val="28"/>
    </w:rPr>
  </w:style>
  <w:style w:type="character" w:customStyle="1" w:styleId="30">
    <w:name w:val="font01"/>
    <w:basedOn w:val="20"/>
    <w:qFormat/>
    <w:uiPriority w:val="0"/>
    <w:rPr>
      <w:rFonts w:ascii="font-weight : 400" w:hAnsi="font-weight : 400" w:eastAsia="font-weight : 400" w:cs="font-weight : 400"/>
      <w:color w:val="000000"/>
      <w:sz w:val="22"/>
      <w:szCs w:val="22"/>
      <w:u w:val="none"/>
    </w:rPr>
  </w:style>
  <w:style w:type="character" w:customStyle="1" w:styleId="31">
    <w:name w:val="正文文本 字符"/>
    <w:basedOn w:val="20"/>
    <w:link w:val="8"/>
    <w:qFormat/>
    <w:uiPriority w:val="99"/>
    <w:rPr>
      <w:rFonts w:cstheme="minorBidi"/>
      <w:kern w:val="2"/>
      <w:sz w:val="24"/>
      <w:szCs w:val="22"/>
    </w:rPr>
  </w:style>
  <w:style w:type="paragraph" w:customStyle="1" w:styleId="32">
    <w:name w:val="TOC 标题1"/>
    <w:basedOn w:val="2"/>
    <w:next w:val="1"/>
    <w:unhideWhenUsed/>
    <w:qFormat/>
    <w:uiPriority w:val="39"/>
    <w:pPr>
      <w:widowControl/>
      <w:spacing w:before="240" w:after="100" w:afterLines="100" w:line="480" w:lineRule="auto"/>
      <w:jc w:val="left"/>
      <w:outlineLvl w:val="9"/>
    </w:pPr>
    <w:rPr>
      <w:rFonts w:asciiTheme="majorHAnsi" w:hAnsiTheme="majorHAnsi" w:cstheme="majorBidi"/>
      <w:bCs w:val="0"/>
      <w:kern w:val="0"/>
      <w:szCs w:val="32"/>
    </w:rPr>
  </w:style>
  <w:style w:type="paragraph" w:customStyle="1" w:styleId="33">
    <w:name w:val="表格标题"/>
    <w:basedOn w:val="1"/>
    <w:qFormat/>
    <w:uiPriority w:val="0"/>
    <w:pPr>
      <w:spacing w:line="360" w:lineRule="auto"/>
      <w:jc w:val="center"/>
    </w:pPr>
    <w:rPr>
      <w:rFonts w:ascii="Times New Roman" w:hAnsi="Times New Roman" w:eastAsia="宋体" w:cs="宋体"/>
      <w:sz w:val="24"/>
      <w:szCs w:val="20"/>
    </w:rPr>
  </w:style>
  <w:style w:type="paragraph" w:customStyle="1" w:styleId="34">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5">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36">
    <w:name w:val="font6"/>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37">
    <w:name w:val="font7"/>
    <w:basedOn w:val="1"/>
    <w:qFormat/>
    <w:uiPriority w:val="0"/>
    <w:pPr>
      <w:widowControl/>
      <w:spacing w:before="100" w:beforeAutospacing="1" w:after="100" w:afterAutospacing="1"/>
      <w:jc w:val="left"/>
    </w:pPr>
    <w:rPr>
      <w:rFonts w:ascii="等线" w:hAnsi="等线" w:eastAsia="等线" w:cs="宋体"/>
      <w:kern w:val="0"/>
      <w:sz w:val="22"/>
    </w:rPr>
  </w:style>
  <w:style w:type="paragraph" w:customStyle="1" w:styleId="38">
    <w:name w:val="font8"/>
    <w:basedOn w:val="1"/>
    <w:qFormat/>
    <w:uiPriority w:val="0"/>
    <w:pPr>
      <w:widowControl/>
      <w:spacing w:before="100" w:beforeAutospacing="1" w:after="100" w:afterAutospacing="1"/>
      <w:jc w:val="left"/>
    </w:pPr>
    <w:rPr>
      <w:rFonts w:ascii="等线" w:hAnsi="等线" w:eastAsia="等线" w:cs="宋体"/>
      <w:i/>
      <w:iCs/>
      <w:color w:val="000000"/>
      <w:kern w:val="0"/>
      <w:sz w:val="22"/>
    </w:rPr>
  </w:style>
  <w:style w:type="paragraph" w:customStyle="1" w:styleId="39">
    <w:name w:val="font9"/>
    <w:basedOn w:val="1"/>
    <w:qFormat/>
    <w:uiPriority w:val="0"/>
    <w:pPr>
      <w:widowControl/>
      <w:spacing w:before="100" w:beforeAutospacing="1" w:after="100" w:afterAutospacing="1"/>
      <w:jc w:val="left"/>
    </w:pPr>
    <w:rPr>
      <w:rFonts w:ascii="等线" w:hAnsi="等线" w:eastAsia="等线" w:cs="宋体"/>
      <w:color w:val="000000"/>
      <w:kern w:val="0"/>
      <w:sz w:val="24"/>
      <w:szCs w:val="24"/>
    </w:rPr>
  </w:style>
  <w:style w:type="paragraph" w:customStyle="1" w:styleId="40">
    <w:name w:val="xl65"/>
    <w:basedOn w:val="1"/>
    <w:qFormat/>
    <w:uiPriority w:val="0"/>
    <w:pPr>
      <w:widowControl/>
      <w:spacing w:before="100" w:beforeAutospacing="1" w:after="100" w:afterAutospacing="1"/>
      <w:jc w:val="left"/>
      <w:textAlignment w:val="center"/>
    </w:pPr>
    <w:rPr>
      <w:rFonts w:ascii="宋体" w:hAnsi="宋体" w:eastAsia="宋体" w:cs="宋体"/>
      <w:kern w:val="0"/>
      <w:sz w:val="22"/>
    </w:rPr>
  </w:style>
  <w:style w:type="paragraph" w:customStyle="1" w:styleId="41">
    <w:name w:val="xl66"/>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42">
    <w:name w:val="xl68"/>
    <w:basedOn w:val="1"/>
    <w:qFormat/>
    <w:uiPriority w:val="0"/>
    <w:pPr>
      <w:widowControl/>
      <w:spacing w:before="100" w:beforeAutospacing="1" w:after="100" w:afterAutospacing="1"/>
      <w:textAlignment w:val="center"/>
    </w:pPr>
    <w:rPr>
      <w:rFonts w:ascii="宋体" w:hAnsi="宋体" w:eastAsia="宋体" w:cs="宋体"/>
      <w:kern w:val="0"/>
      <w:sz w:val="24"/>
      <w:szCs w:val="24"/>
    </w:rPr>
  </w:style>
  <w:style w:type="paragraph" w:customStyle="1" w:styleId="43">
    <w:name w:val="xl69"/>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44">
    <w:name w:val="xl70"/>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45">
    <w:name w:val="xl71"/>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character" w:customStyle="1" w:styleId="46">
    <w:name w:val="批注框文本 字符"/>
    <w:basedOn w:val="20"/>
    <w:link w:val="10"/>
    <w:semiHidden/>
    <w:qFormat/>
    <w:uiPriority w:val="99"/>
    <w:rPr>
      <w:rFonts w:asciiTheme="minorHAnsi" w:hAnsiTheme="minorHAnsi" w:eastAsiaTheme="minorEastAsia" w:cstheme="minorBidi"/>
      <w:kern w:val="2"/>
      <w:sz w:val="18"/>
      <w:szCs w:val="18"/>
    </w:rPr>
  </w:style>
  <w:style w:type="table" w:customStyle="1" w:styleId="47">
    <w:name w:val="网格型1"/>
    <w:basedOn w:val="18"/>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8">
    <w:name w:val="批注文字 字符"/>
    <w:basedOn w:val="20"/>
    <w:link w:val="7"/>
    <w:semiHidden/>
    <w:qFormat/>
    <w:uiPriority w:val="99"/>
    <w:rPr>
      <w:rFonts w:asciiTheme="minorHAnsi" w:hAnsiTheme="minorHAnsi" w:eastAsiaTheme="minorEastAsia" w:cstheme="minorBidi"/>
      <w:kern w:val="2"/>
      <w:sz w:val="21"/>
      <w:szCs w:val="22"/>
    </w:rPr>
  </w:style>
  <w:style w:type="character" w:customStyle="1" w:styleId="49">
    <w:name w:val="批注主题 字符"/>
    <w:basedOn w:val="48"/>
    <w:link w:val="17"/>
    <w:semiHidden/>
    <w:qFormat/>
    <w:uiPriority w:val="0"/>
    <w:rPr>
      <w:rFonts w:ascii="宋体" w:hAnsi="宋体" w:eastAsiaTheme="minorEastAsia" w:cstheme="minorBidi"/>
      <w:b/>
      <w:bCs/>
      <w:kern w:val="2"/>
      <w:sz w:val="24"/>
      <w:szCs w:val="24"/>
      <w:lang w:eastAsia="en-US" w:bidi="en-US"/>
    </w:rPr>
  </w:style>
  <w:style w:type="paragraph" w:customStyle="1" w:styleId="50">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51">
    <w:name w:val="标题 字符"/>
    <w:basedOn w:val="20"/>
    <w:link w:val="16"/>
    <w:qFormat/>
    <w:uiPriority w:val="0"/>
    <w:rPr>
      <w:rFonts w:ascii="Cambria" w:hAnsi="Cambria" w:eastAsia="方正小标宋简体"/>
      <w:b/>
      <w:bCs/>
      <w:kern w:val="2"/>
      <w:sz w:val="44"/>
      <w:szCs w:val="32"/>
    </w:rPr>
  </w:style>
  <w:style w:type="character" w:customStyle="1" w:styleId="52">
    <w:name w:val="tblt"/>
    <w:basedOn w:val="20"/>
    <w:qFormat/>
    <w:uiPriority w:val="0"/>
  </w:style>
  <w:style w:type="paragraph" w:customStyle="1" w:styleId="53">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54">
    <w:name w:val="修订3"/>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55">
    <w:name w:val="修订4"/>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67</Pages>
  <Words>75707</Words>
  <Characters>78269</Characters>
  <Lines>645</Lines>
  <Paragraphs>181</Paragraphs>
  <TotalTime>30</TotalTime>
  <ScaleCrop>false</ScaleCrop>
  <LinksUpToDate>false</LinksUpToDate>
  <CharactersWithSpaces>78643</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2022-12-28T21:44:00Z</dcterms:created>
  <dc:creator>AESEU</dc:creator>
  <cp:lastModifiedBy>小容</cp:lastModifiedBy>
  <cp:lastPrinted>2022-09-16T09:40:00Z</cp:lastPrinted>
  <dcterms:modified xsi:type="dcterms:W3CDTF">2023-09-12T10:10:45Z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1788FFA9DFAB4298BE7EB892D719073F</vt:lpwstr>
  </property>
</Properties>
</file>